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7E214DB1" w14:textId="77777777" w:rsidR="00446241" w:rsidRPr="005C6A21" w:rsidRDefault="00446241" w:rsidP="00446241">
      <w:pPr>
        <w:tabs>
          <w:tab w:val="left" w:pos="3795"/>
        </w:tabs>
        <w:rPr>
          <w:rFonts w:ascii="Arial" w:hAnsi="Arial" w:cs="Arial"/>
          <w:sz w:val="16"/>
          <w:szCs w:val="16"/>
        </w:rPr>
      </w:pPr>
      <w:r w:rsidRPr="00A43CED">
        <w:rPr>
          <w:rFonts w:ascii="Arial" w:hAnsi="Arial" w:cs="Arial"/>
          <w:b/>
          <w:sz w:val="16"/>
          <w:szCs w:val="16"/>
        </w:rPr>
        <w:t xml:space="preserve">A.M.I. - </w:t>
      </w:r>
      <w:proofErr w:type="spellStart"/>
      <w:r w:rsidRPr="00A43CED">
        <w:rPr>
          <w:rFonts w:ascii="Arial" w:hAnsi="Arial" w:cs="Arial"/>
          <w:b/>
          <w:sz w:val="16"/>
          <w:szCs w:val="16"/>
        </w:rPr>
        <w:t>Analytical</w:t>
      </w:r>
      <w:proofErr w:type="spellEnd"/>
      <w:r w:rsidRPr="00A43CED">
        <w:rPr>
          <w:rFonts w:ascii="Arial" w:hAnsi="Arial" w:cs="Arial"/>
          <w:b/>
          <w:sz w:val="16"/>
          <w:szCs w:val="16"/>
        </w:rPr>
        <w:t xml:space="preserve"> </w:t>
      </w:r>
      <w:proofErr w:type="spellStart"/>
      <w:r w:rsidRPr="00A43CED">
        <w:rPr>
          <w:rFonts w:ascii="Arial" w:hAnsi="Arial" w:cs="Arial"/>
          <w:b/>
          <w:sz w:val="16"/>
          <w:szCs w:val="16"/>
        </w:rPr>
        <w:t>Medical</w:t>
      </w:r>
      <w:proofErr w:type="spellEnd"/>
      <w:r w:rsidRPr="00A43CED">
        <w:rPr>
          <w:rFonts w:ascii="Arial" w:hAnsi="Arial" w:cs="Arial"/>
          <w:b/>
          <w:sz w:val="16"/>
          <w:szCs w:val="16"/>
        </w:rPr>
        <w:t xml:space="preserve"> Instruments, s.r.o.</w:t>
      </w:r>
    </w:p>
    <w:p w14:paraId="5EAE8BCA" w14:textId="77777777" w:rsidR="00446241" w:rsidRPr="00601E9F" w:rsidRDefault="00446241" w:rsidP="00446241">
      <w:pPr>
        <w:rPr>
          <w:rFonts w:ascii="Arial" w:hAnsi="Arial" w:cs="Arial"/>
          <w:sz w:val="16"/>
          <w:szCs w:val="16"/>
        </w:rPr>
      </w:pPr>
      <w:r w:rsidRPr="00601E9F">
        <w:rPr>
          <w:rFonts w:ascii="Arial" w:hAnsi="Arial" w:cs="Arial"/>
          <w:sz w:val="16"/>
          <w:szCs w:val="16"/>
        </w:rPr>
        <w:t xml:space="preserve">zapsána v obchodním rejstříku vedeném Městským soudem v Praze, </w:t>
      </w:r>
      <w:proofErr w:type="spellStart"/>
      <w:r w:rsidRPr="00601E9F">
        <w:rPr>
          <w:rFonts w:ascii="Arial" w:hAnsi="Arial" w:cs="Arial"/>
          <w:sz w:val="16"/>
          <w:szCs w:val="16"/>
        </w:rPr>
        <w:t>sp</w:t>
      </w:r>
      <w:proofErr w:type="spellEnd"/>
      <w:r w:rsidRPr="00601E9F">
        <w:rPr>
          <w:rFonts w:ascii="Arial" w:hAnsi="Arial" w:cs="Arial"/>
          <w:sz w:val="16"/>
          <w:szCs w:val="16"/>
        </w:rPr>
        <w:t>. zn. C40068</w:t>
      </w:r>
    </w:p>
    <w:p w14:paraId="6935B466" w14:textId="77777777" w:rsidR="00446241" w:rsidRPr="00601E9F" w:rsidRDefault="00446241" w:rsidP="00446241">
      <w:pPr>
        <w:rPr>
          <w:rFonts w:ascii="Arial" w:hAnsi="Arial" w:cs="Arial"/>
          <w:sz w:val="16"/>
          <w:szCs w:val="16"/>
        </w:rPr>
      </w:pPr>
      <w:r w:rsidRPr="00601E9F">
        <w:rPr>
          <w:rFonts w:ascii="Arial" w:hAnsi="Arial" w:cs="Arial"/>
          <w:sz w:val="16"/>
          <w:szCs w:val="16"/>
        </w:rPr>
        <w:t>se sídlem:</w:t>
      </w:r>
      <w:r w:rsidRPr="00601E9F">
        <w:rPr>
          <w:rFonts w:ascii="Arial" w:hAnsi="Arial" w:cs="Arial"/>
          <w:sz w:val="16"/>
          <w:szCs w:val="16"/>
        </w:rPr>
        <w:tab/>
      </w:r>
      <w:r w:rsidRPr="00601E9F">
        <w:rPr>
          <w:rFonts w:ascii="Arial" w:hAnsi="Arial" w:cs="Arial"/>
          <w:sz w:val="16"/>
          <w:szCs w:val="16"/>
        </w:rPr>
        <w:tab/>
      </w:r>
      <w:r w:rsidRPr="00601E9F">
        <w:rPr>
          <w:rFonts w:ascii="Arial" w:hAnsi="Arial" w:cs="Arial"/>
          <w:sz w:val="16"/>
          <w:szCs w:val="16"/>
        </w:rPr>
        <w:tab/>
        <w:t>Letohradská 3/369, Praha 7, 170 00</w:t>
      </w:r>
    </w:p>
    <w:p w14:paraId="4C569C19" w14:textId="58CB1856" w:rsidR="00446241" w:rsidRPr="00601E9F" w:rsidRDefault="00446241" w:rsidP="00446241">
      <w:pPr>
        <w:rPr>
          <w:rFonts w:ascii="Arial" w:hAnsi="Arial" w:cs="Arial"/>
          <w:sz w:val="16"/>
          <w:szCs w:val="16"/>
        </w:rPr>
      </w:pPr>
      <w:r w:rsidRPr="00601E9F">
        <w:rPr>
          <w:rFonts w:ascii="Arial" w:hAnsi="Arial" w:cs="Arial"/>
          <w:sz w:val="16"/>
          <w:szCs w:val="16"/>
        </w:rPr>
        <w:t>IČ: 639</w:t>
      </w:r>
      <w:r w:rsidR="00601E9F" w:rsidRPr="00601E9F">
        <w:rPr>
          <w:rFonts w:ascii="Arial" w:hAnsi="Arial" w:cs="Arial"/>
          <w:sz w:val="16"/>
          <w:szCs w:val="16"/>
        </w:rPr>
        <w:t xml:space="preserve"> </w:t>
      </w:r>
      <w:r w:rsidRPr="00601E9F">
        <w:rPr>
          <w:rFonts w:ascii="Arial" w:hAnsi="Arial" w:cs="Arial"/>
          <w:sz w:val="16"/>
          <w:szCs w:val="16"/>
        </w:rPr>
        <w:t>83</w:t>
      </w:r>
      <w:r w:rsidR="00601E9F" w:rsidRPr="00601E9F">
        <w:rPr>
          <w:rFonts w:ascii="Arial" w:hAnsi="Arial" w:cs="Arial"/>
          <w:sz w:val="16"/>
          <w:szCs w:val="16"/>
        </w:rPr>
        <w:t xml:space="preserve"> </w:t>
      </w:r>
      <w:r w:rsidRPr="00601E9F">
        <w:rPr>
          <w:rFonts w:ascii="Arial" w:hAnsi="Arial" w:cs="Arial"/>
          <w:sz w:val="16"/>
          <w:szCs w:val="16"/>
        </w:rPr>
        <w:t>524</w:t>
      </w:r>
      <w:r w:rsidRPr="00601E9F">
        <w:rPr>
          <w:rFonts w:ascii="Arial" w:hAnsi="Arial" w:cs="Arial"/>
          <w:sz w:val="16"/>
          <w:szCs w:val="16"/>
        </w:rPr>
        <w:tab/>
      </w:r>
      <w:r w:rsidRPr="00601E9F">
        <w:rPr>
          <w:rFonts w:ascii="Arial" w:hAnsi="Arial" w:cs="Arial"/>
          <w:sz w:val="16"/>
          <w:szCs w:val="16"/>
        </w:rPr>
        <w:tab/>
        <w:t>DIČ: CZ</w:t>
      </w:r>
      <w:r w:rsidRPr="00601E9F">
        <w:rPr>
          <w:rFonts w:ascii="Arial" w:hAnsi="Arial" w:cs="Arial"/>
        </w:rPr>
        <w:t xml:space="preserve"> </w:t>
      </w:r>
      <w:r w:rsidRPr="00601E9F">
        <w:rPr>
          <w:rFonts w:ascii="Arial" w:hAnsi="Arial" w:cs="Arial"/>
          <w:sz w:val="16"/>
          <w:szCs w:val="16"/>
        </w:rPr>
        <w:t>63983524</w:t>
      </w:r>
    </w:p>
    <w:p w14:paraId="31AF4C44" w14:textId="579F618A" w:rsidR="00446241" w:rsidRPr="00601E9F" w:rsidRDefault="00446241" w:rsidP="00446241">
      <w:pPr>
        <w:rPr>
          <w:rFonts w:ascii="Arial" w:hAnsi="Arial" w:cs="Arial"/>
          <w:sz w:val="16"/>
          <w:szCs w:val="16"/>
        </w:rPr>
      </w:pPr>
      <w:r w:rsidRPr="00601E9F">
        <w:rPr>
          <w:rFonts w:ascii="Arial" w:hAnsi="Arial" w:cs="Arial"/>
          <w:sz w:val="16"/>
          <w:szCs w:val="16"/>
        </w:rPr>
        <w:t>zastoupen</w:t>
      </w:r>
      <w:r w:rsidR="00601E9F" w:rsidRPr="00601E9F">
        <w:rPr>
          <w:rFonts w:ascii="Arial" w:hAnsi="Arial" w:cs="Arial"/>
          <w:sz w:val="16"/>
          <w:szCs w:val="16"/>
        </w:rPr>
        <w:t>á</w:t>
      </w:r>
      <w:r w:rsidRPr="00601E9F">
        <w:rPr>
          <w:rFonts w:ascii="Arial" w:hAnsi="Arial" w:cs="Arial"/>
          <w:sz w:val="16"/>
          <w:szCs w:val="16"/>
        </w:rPr>
        <w:t>:</w:t>
      </w:r>
      <w:r w:rsidRPr="00601E9F">
        <w:rPr>
          <w:rFonts w:ascii="Arial" w:hAnsi="Arial" w:cs="Arial"/>
          <w:sz w:val="16"/>
          <w:szCs w:val="16"/>
        </w:rPr>
        <w:tab/>
      </w:r>
      <w:r w:rsidRPr="00601E9F">
        <w:rPr>
          <w:rFonts w:ascii="Arial" w:hAnsi="Arial" w:cs="Arial"/>
          <w:sz w:val="16"/>
          <w:szCs w:val="16"/>
        </w:rPr>
        <w:tab/>
        <w:t xml:space="preserve">Mgr. </w:t>
      </w:r>
      <w:r w:rsidR="00F84996" w:rsidRPr="00601E9F">
        <w:rPr>
          <w:rFonts w:ascii="Arial" w:hAnsi="Arial" w:cs="Arial"/>
          <w:sz w:val="16"/>
          <w:szCs w:val="16"/>
        </w:rPr>
        <w:t>Lu</w:t>
      </w:r>
      <w:r w:rsidRPr="00601E9F">
        <w:rPr>
          <w:rFonts w:ascii="Arial" w:hAnsi="Arial" w:cs="Arial"/>
          <w:sz w:val="16"/>
          <w:szCs w:val="16"/>
        </w:rPr>
        <w:t>kášem Macháčkem, MBA, jednatelem</w:t>
      </w:r>
    </w:p>
    <w:p w14:paraId="2D0D96BC" w14:textId="77777777" w:rsidR="00446241" w:rsidRPr="00601E9F" w:rsidRDefault="00446241" w:rsidP="00446241">
      <w:pPr>
        <w:rPr>
          <w:rFonts w:ascii="Arial" w:hAnsi="Arial" w:cs="Arial"/>
          <w:sz w:val="16"/>
          <w:szCs w:val="16"/>
        </w:rPr>
      </w:pPr>
      <w:r w:rsidRPr="00601E9F">
        <w:rPr>
          <w:rFonts w:ascii="Arial" w:hAnsi="Arial" w:cs="Arial"/>
          <w:sz w:val="16"/>
          <w:szCs w:val="16"/>
        </w:rPr>
        <w:t xml:space="preserve">bankovní spojení: </w:t>
      </w:r>
      <w:r w:rsidRPr="00601E9F">
        <w:rPr>
          <w:rFonts w:ascii="Arial" w:hAnsi="Arial" w:cs="Arial"/>
          <w:sz w:val="16"/>
          <w:szCs w:val="16"/>
        </w:rPr>
        <w:tab/>
        <w:t>UNICREDIT BANK</w:t>
      </w:r>
    </w:p>
    <w:p w14:paraId="7D5C6F74" w14:textId="243335E8" w:rsidR="00446241" w:rsidRPr="00601E9F" w:rsidRDefault="00446241" w:rsidP="00446241">
      <w:pPr>
        <w:rPr>
          <w:rFonts w:ascii="Arial" w:hAnsi="Arial" w:cs="Arial"/>
          <w:sz w:val="16"/>
          <w:szCs w:val="16"/>
        </w:rPr>
      </w:pPr>
      <w:r w:rsidRPr="00601E9F">
        <w:rPr>
          <w:rFonts w:ascii="Arial" w:hAnsi="Arial" w:cs="Arial"/>
          <w:sz w:val="16"/>
          <w:szCs w:val="16"/>
        </w:rPr>
        <w:t>číslo účtu:</w:t>
      </w:r>
      <w:r w:rsidRPr="00601E9F">
        <w:rPr>
          <w:rFonts w:ascii="Arial" w:hAnsi="Arial" w:cs="Arial"/>
          <w:sz w:val="16"/>
          <w:szCs w:val="16"/>
        </w:rPr>
        <w:tab/>
      </w:r>
      <w:r w:rsidRPr="00601E9F">
        <w:rPr>
          <w:rFonts w:ascii="Arial" w:hAnsi="Arial" w:cs="Arial"/>
          <w:sz w:val="16"/>
          <w:szCs w:val="16"/>
        </w:rPr>
        <w:tab/>
      </w:r>
      <w:r w:rsidRPr="00601E9F">
        <w:rPr>
          <w:rFonts w:ascii="Arial" w:hAnsi="Arial" w:cs="Arial"/>
          <w:sz w:val="16"/>
          <w:szCs w:val="16"/>
        </w:rPr>
        <w:tab/>
        <w:t>2104416851/2700</w:t>
      </w:r>
    </w:p>
    <w:p w14:paraId="551B9454" w14:textId="77777777" w:rsidR="00126A29" w:rsidRPr="00601E9F" w:rsidRDefault="00126A29" w:rsidP="00F07574">
      <w:pPr>
        <w:rPr>
          <w:rFonts w:ascii="Arial" w:hAnsi="Arial" w:cs="Arial"/>
          <w:b/>
          <w:sz w:val="16"/>
          <w:szCs w:val="16"/>
        </w:rPr>
      </w:pPr>
      <w:r w:rsidRPr="00601E9F">
        <w:rPr>
          <w:rFonts w:ascii="Arial" w:hAnsi="Arial" w:cs="Arial"/>
          <w:sz w:val="16"/>
          <w:szCs w:val="16"/>
        </w:rPr>
        <w:t xml:space="preserve">jako </w:t>
      </w:r>
      <w:r w:rsidRPr="00601E9F">
        <w:rPr>
          <w:rFonts w:ascii="Arial" w:hAnsi="Arial" w:cs="Arial"/>
          <w:b/>
          <w:sz w:val="16"/>
          <w:szCs w:val="16"/>
        </w:rPr>
        <w:t>prodávající</w:t>
      </w:r>
      <w:r w:rsidRPr="00601E9F">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89864B0" w:rsidR="00126A29" w:rsidRPr="005C6A21" w:rsidRDefault="00126A29" w:rsidP="00F07574">
      <w:pPr>
        <w:rPr>
          <w:rFonts w:ascii="Arial" w:hAnsi="Arial" w:cs="Arial"/>
          <w:sz w:val="16"/>
          <w:szCs w:val="16"/>
        </w:rPr>
      </w:pPr>
      <w:r w:rsidRPr="005C6A21">
        <w:rPr>
          <w:rFonts w:ascii="Arial" w:hAnsi="Arial" w:cs="Arial"/>
          <w:sz w:val="16"/>
          <w:szCs w:val="16"/>
        </w:rPr>
        <w:t>IČ</w:t>
      </w:r>
      <w:r w:rsidR="00D00BEF">
        <w:rPr>
          <w:rFonts w:ascii="Arial" w:hAnsi="Arial" w:cs="Arial"/>
          <w:sz w:val="16"/>
          <w:szCs w:val="16"/>
        </w:rPr>
        <w:t>O</w:t>
      </w:r>
      <w:r w:rsidRPr="005C6A21">
        <w:rPr>
          <w:rFonts w:ascii="Arial" w:hAnsi="Arial" w:cs="Arial"/>
          <w:sz w:val="16"/>
          <w:szCs w:val="16"/>
        </w:rPr>
        <w:t>: 000 64 165</w:t>
      </w:r>
      <w:r w:rsidRPr="005C6A21">
        <w:rPr>
          <w:rFonts w:ascii="Arial" w:hAnsi="Arial" w:cs="Arial"/>
          <w:sz w:val="16"/>
          <w:szCs w:val="16"/>
        </w:rPr>
        <w:tab/>
        <w:t>DIČ: CZ00064165</w:t>
      </w:r>
    </w:p>
    <w:p w14:paraId="400209DF" w14:textId="10529AE5" w:rsidR="005646DB" w:rsidRDefault="00126A29" w:rsidP="005646DB">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646DB" w:rsidRPr="00447588">
        <w:rPr>
          <w:rFonts w:ascii="Arial" w:hAnsi="Arial" w:cs="Arial"/>
          <w:sz w:val="16"/>
          <w:szCs w:val="16"/>
        </w:rPr>
        <w:t>doc. MUDr. Ján</w:t>
      </w:r>
      <w:r w:rsidR="00987341">
        <w:rPr>
          <w:rFonts w:ascii="Arial" w:hAnsi="Arial" w:cs="Arial"/>
          <w:sz w:val="16"/>
          <w:szCs w:val="16"/>
        </w:rPr>
        <w:t>em</w:t>
      </w:r>
      <w:r w:rsidR="005646DB" w:rsidRPr="00447588">
        <w:rPr>
          <w:rFonts w:ascii="Arial" w:hAnsi="Arial" w:cs="Arial"/>
          <w:sz w:val="16"/>
          <w:szCs w:val="16"/>
        </w:rPr>
        <w:t xml:space="preserve"> </w:t>
      </w:r>
      <w:proofErr w:type="spellStart"/>
      <w:r w:rsidR="005646DB" w:rsidRPr="00447588">
        <w:rPr>
          <w:rFonts w:ascii="Arial" w:hAnsi="Arial" w:cs="Arial"/>
          <w:sz w:val="16"/>
          <w:szCs w:val="16"/>
        </w:rPr>
        <w:t>Dudr</w:t>
      </w:r>
      <w:r w:rsidR="00987341">
        <w:rPr>
          <w:rFonts w:ascii="Arial" w:hAnsi="Arial" w:cs="Arial"/>
          <w:sz w:val="16"/>
          <w:szCs w:val="16"/>
        </w:rPr>
        <w:t>ou</w:t>
      </w:r>
      <w:proofErr w:type="spellEnd"/>
      <w:r w:rsidR="005646DB" w:rsidRPr="00447588">
        <w:rPr>
          <w:rFonts w:ascii="Arial" w:hAnsi="Arial" w:cs="Arial"/>
          <w:sz w:val="16"/>
          <w:szCs w:val="16"/>
        </w:rPr>
        <w:t>, PhD., MPH</w:t>
      </w:r>
      <w:r w:rsidR="00987341">
        <w:rPr>
          <w:rFonts w:ascii="Arial" w:hAnsi="Arial" w:cs="Arial"/>
          <w:sz w:val="16"/>
          <w:szCs w:val="16"/>
        </w:rPr>
        <w:t>, ředitelem</w:t>
      </w:r>
    </w:p>
    <w:p w14:paraId="7F4667B8" w14:textId="6D4D0D3F" w:rsidR="00126A29" w:rsidRPr="005C6A21" w:rsidRDefault="00126A29" w:rsidP="005646DB">
      <w:pPr>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643CAC20" w:rsidR="00126A29" w:rsidRDefault="00987341" w:rsidP="00F07574">
      <w:pPr>
        <w:rPr>
          <w:rFonts w:ascii="Arial" w:hAnsi="Arial" w:cs="Arial"/>
          <w:sz w:val="16"/>
          <w:szCs w:val="16"/>
        </w:rPr>
      </w:pPr>
      <w:r>
        <w:rPr>
          <w:rFonts w:ascii="Arial" w:hAnsi="Arial" w:cs="Arial"/>
          <w:sz w:val="16"/>
          <w:szCs w:val="16"/>
        </w:rPr>
        <w:t>Prodávající a kupující společně též jako „smluvní strany“</w:t>
      </w:r>
    </w:p>
    <w:p w14:paraId="6561D8D6" w14:textId="77777777" w:rsidR="00987341" w:rsidRDefault="00987341" w:rsidP="00F07574">
      <w:pPr>
        <w:rPr>
          <w:rFonts w:ascii="Arial" w:hAnsi="Arial" w:cs="Arial"/>
          <w:sz w:val="16"/>
          <w:szCs w:val="16"/>
        </w:rPr>
      </w:pPr>
    </w:p>
    <w:p w14:paraId="24E02E73" w14:textId="77777777" w:rsidR="00987341" w:rsidRPr="005C6A21" w:rsidRDefault="00987341" w:rsidP="00F07574">
      <w:pPr>
        <w:rPr>
          <w:rFonts w:ascii="Arial" w:hAnsi="Arial" w:cs="Arial"/>
          <w:sz w:val="16"/>
          <w:szCs w:val="16"/>
        </w:rPr>
      </w:pPr>
    </w:p>
    <w:p w14:paraId="3813DF0A" w14:textId="2C7FDFAF"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783295" w:rsidRPr="005C6A21">
        <w:rPr>
          <w:rFonts w:ascii="Arial" w:hAnsi="Arial" w:cs="Arial"/>
          <w:b/>
          <w:sz w:val="16"/>
          <w:szCs w:val="16"/>
        </w:rPr>
        <w:t>veřejné zakázky s názv</w:t>
      </w:r>
      <w:r w:rsidR="00783295" w:rsidRPr="00783295">
        <w:rPr>
          <w:rFonts w:ascii="Arial" w:hAnsi="Arial" w:cs="Arial"/>
          <w:b/>
          <w:sz w:val="16"/>
          <w:szCs w:val="16"/>
        </w:rPr>
        <w:t>em „</w:t>
      </w:r>
      <w:proofErr w:type="spellStart"/>
      <w:r w:rsidR="00783295" w:rsidRPr="00783295">
        <w:rPr>
          <w:rFonts w:ascii="Arial" w:hAnsi="Arial" w:cs="Arial"/>
          <w:b/>
          <w:sz w:val="16"/>
          <w:szCs w:val="16"/>
        </w:rPr>
        <w:t>Kontrapulzační</w:t>
      </w:r>
      <w:proofErr w:type="spellEnd"/>
      <w:r w:rsidR="00783295" w:rsidRPr="00783295">
        <w:rPr>
          <w:rFonts w:ascii="Arial" w:hAnsi="Arial" w:cs="Arial"/>
          <w:b/>
          <w:sz w:val="16"/>
          <w:szCs w:val="16"/>
        </w:rPr>
        <w:t xml:space="preserve"> přístroj s průběžnými dodávkami spotřebního materiálu</w:t>
      </w:r>
      <w:r w:rsidR="00987341">
        <w:rPr>
          <w:rFonts w:ascii="Arial" w:hAnsi="Arial" w:cs="Arial"/>
          <w:b/>
          <w:sz w:val="16"/>
          <w:szCs w:val="16"/>
        </w:rPr>
        <w:t xml:space="preserve"> - opakovaná</w:t>
      </w:r>
      <w:r w:rsidR="00783295" w:rsidRPr="00783295">
        <w:rPr>
          <w:rFonts w:ascii="Arial" w:hAnsi="Arial" w:cs="Arial"/>
          <w:b/>
          <w:sz w:val="16"/>
          <w:szCs w:val="16"/>
        </w:rPr>
        <w:t>“, vyhl</w:t>
      </w:r>
      <w:r w:rsidR="00783295" w:rsidRPr="005C6A21">
        <w:rPr>
          <w:rFonts w:ascii="Arial" w:hAnsi="Arial" w:cs="Arial"/>
          <w:b/>
          <w:sz w:val="16"/>
          <w:szCs w:val="16"/>
        </w:rPr>
        <w:t>ášené otevřeným řízením</w:t>
      </w:r>
      <w:r w:rsidR="00783295" w:rsidRPr="005C6A21">
        <w:rPr>
          <w:rFonts w:ascii="Arial" w:hAnsi="Arial" w:cs="Arial"/>
          <w:sz w:val="16"/>
          <w:szCs w:val="16"/>
        </w:rPr>
        <w:t xml:space="preserve"> dle zákona č. 134/2016 Sb.</w:t>
      </w:r>
      <w:r w:rsidR="00783295">
        <w:rPr>
          <w:rFonts w:ascii="Arial" w:hAnsi="Arial" w:cs="Arial"/>
          <w:sz w:val="16"/>
          <w:szCs w:val="16"/>
        </w:rPr>
        <w:t>,</w:t>
      </w:r>
      <w:r w:rsidR="00783295" w:rsidRPr="005C6A21">
        <w:rPr>
          <w:rFonts w:ascii="Arial" w:hAnsi="Arial" w:cs="Arial"/>
          <w:sz w:val="16"/>
          <w:szCs w:val="16"/>
        </w:rPr>
        <w:t xml:space="preserve"> o zadávání veřejných zakázek (dále jen „z. č. 134/2016 Sb.“)</w:t>
      </w:r>
      <w:r w:rsidR="00783295">
        <w:rPr>
          <w:rFonts w:ascii="Arial" w:hAnsi="Arial" w:cs="Arial"/>
          <w:sz w:val="16"/>
          <w:szCs w:val="16"/>
        </w:rPr>
        <w:t>,</w:t>
      </w:r>
      <w:r w:rsidR="00783295" w:rsidRPr="005C6A21">
        <w:rPr>
          <w:rFonts w:ascii="Arial" w:hAnsi="Arial" w:cs="Arial"/>
          <w:sz w:val="16"/>
          <w:szCs w:val="16"/>
        </w:rPr>
        <w:t xml:space="preserve"> a zveřejněné ve Věstníku veřejných zakázek pod ev. č. VZ</w:t>
      </w:r>
      <w:hyperlink r:id="rId12" w:history="1">
        <w:r w:rsidR="00446241" w:rsidRPr="003F26FF">
          <w:rPr>
            <w:rFonts w:ascii="Arial" w:hAnsi="Arial" w:cs="Arial"/>
            <w:sz w:val="16"/>
            <w:szCs w:val="16"/>
          </w:rPr>
          <w:br/>
          <w:t>Z2025-052489</w:t>
        </w:r>
      </w:hyperlink>
      <w:r w:rsidR="00446241">
        <w:rPr>
          <w:rFonts w:ascii="Arial" w:hAnsi="Arial" w:cs="Arial"/>
          <w:sz w:val="16"/>
          <w:szCs w:val="16"/>
        </w:rPr>
        <w:t xml:space="preserve"> , ID veřejné zakázky na profilu Zadavatele</w:t>
      </w:r>
      <w:r w:rsidR="00446241" w:rsidRPr="003F26FF">
        <w:rPr>
          <w:rFonts w:ascii="Arial" w:hAnsi="Arial" w:cs="Arial"/>
          <w:sz w:val="16"/>
          <w:szCs w:val="16"/>
        </w:rPr>
        <w:t xml:space="preserve"> VZ0229700</w:t>
      </w:r>
      <w:r w:rsidRPr="005C6A21">
        <w:rPr>
          <w:rFonts w:ascii="Arial" w:hAnsi="Arial" w:cs="Arial"/>
          <w:sz w:val="16"/>
          <w:szCs w:val="16"/>
        </w:rPr>
        <w:t>(dále jen „veřejná zakázka“), tuto</w:t>
      </w:r>
    </w:p>
    <w:p w14:paraId="2394CD78" w14:textId="40B50F25"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0197199"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w:t>
      </w:r>
      <w:r w:rsidR="00446241">
        <w:rPr>
          <w:rFonts w:ascii="Arial" w:hAnsi="Arial" w:cs="Arial"/>
          <w:sz w:val="16"/>
          <w:szCs w:val="16"/>
        </w:rPr>
        <w:t xml:space="preserve"> </w:t>
      </w:r>
      <w:r w:rsidR="00446241" w:rsidRPr="003F26FF">
        <w:rPr>
          <w:rFonts w:ascii="Arial" w:hAnsi="Arial" w:cs="Arial"/>
          <w:b/>
          <w:bCs/>
          <w:sz w:val="16"/>
          <w:szCs w:val="16"/>
        </w:rPr>
        <w:t xml:space="preserve">IAB Pump Console-AC3 </w:t>
      </w:r>
      <w:proofErr w:type="spellStart"/>
      <w:r w:rsidR="00446241" w:rsidRPr="003F26FF">
        <w:rPr>
          <w:rFonts w:ascii="Arial" w:hAnsi="Arial" w:cs="Arial"/>
          <w:b/>
          <w:bCs/>
          <w:sz w:val="16"/>
          <w:szCs w:val="16"/>
        </w:rPr>
        <w:t>Optimus</w:t>
      </w:r>
      <w:proofErr w:type="spellEnd"/>
      <w:r w:rsidR="00446241" w:rsidRPr="003F26FF">
        <w:rPr>
          <w:rFonts w:ascii="Arial" w:hAnsi="Arial" w:cs="Arial"/>
          <w:b/>
          <w:bCs/>
          <w:sz w:val="16"/>
          <w:szCs w:val="16"/>
        </w:rPr>
        <w:t xml:space="preserve"> včetně příslušenstv</w:t>
      </w:r>
      <w:r w:rsidR="00446241">
        <w:rPr>
          <w:rFonts w:ascii="Arial" w:hAnsi="Arial" w:cs="Arial"/>
          <w:sz w:val="16"/>
          <w:szCs w:val="16"/>
        </w:rPr>
        <w:t>í</w:t>
      </w:r>
      <w:r w:rsidR="00446241" w:rsidRPr="005C6A21" w:rsidDel="005D393B">
        <w:rPr>
          <w:rFonts w:ascii="Arial" w:hAnsi="Arial" w:cs="Arial"/>
          <w:sz w:val="16"/>
          <w:szCs w:val="16"/>
        </w:rPr>
        <w:t xml:space="preserve"> </w:t>
      </w:r>
      <w:r w:rsidR="00446241">
        <w:rPr>
          <w:rFonts w:ascii="Arial" w:hAnsi="Arial" w:cs="Arial"/>
          <w:sz w:val="16"/>
          <w:szCs w:val="16"/>
        </w:rPr>
        <w:t>(</w:t>
      </w:r>
      <w:r w:rsidRPr="005C6A21">
        <w:rPr>
          <w:rFonts w:ascii="Arial" w:hAnsi="Arial" w:cs="Arial"/>
          <w:sz w:val="16"/>
          <w:szCs w:val="16"/>
        </w:rPr>
        <w:t>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446241" w:rsidRPr="00BD29A5">
        <w:rPr>
          <w:rFonts w:ascii="Arial" w:hAnsi="Arial" w:cs="Arial"/>
          <w:sz w:val="16"/>
          <w:szCs w:val="16"/>
        </w:rPr>
        <w:t>vz501-</w:t>
      </w:r>
      <w:r w:rsidR="00446241" w:rsidRPr="005D393B">
        <w:rPr>
          <w:rFonts w:ascii="Arial" w:hAnsi="Arial" w:cs="Arial"/>
          <w:sz w:val="16"/>
          <w:szCs w:val="16"/>
        </w:rPr>
        <w:t xml:space="preserve">2025 ze dne </w:t>
      </w:r>
      <w:r w:rsidR="00446241">
        <w:rPr>
          <w:rFonts w:ascii="Arial" w:hAnsi="Arial" w:cs="Arial"/>
          <w:sz w:val="16"/>
          <w:szCs w:val="16"/>
        </w:rPr>
        <w:t>30.11</w:t>
      </w:r>
      <w:r w:rsidR="00446241" w:rsidRPr="003F26FF">
        <w:rPr>
          <w:rFonts w:ascii="Arial" w:hAnsi="Arial" w:cs="Arial"/>
          <w:sz w:val="16"/>
          <w:szCs w:val="16"/>
        </w:rPr>
        <w:t>.2025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415B5ED"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5F7155" w:rsidRPr="005F7155">
        <w:rPr>
          <w:rFonts w:ascii="Arial" w:hAnsi="Arial" w:cs="Arial"/>
          <w:sz w:val="16"/>
          <w:szCs w:val="16"/>
        </w:rPr>
        <w:t>včetně tzv. „startovacího balíčku“ obsahujícího spotřební materiál nutný pro vyzkoušení a zahájení provozu přístroje (pokud je startovací balíček dle zadávacích podmínek k VZ požadován)</w:t>
      </w:r>
      <w:r w:rsidR="005F7155">
        <w:rPr>
          <w:rFonts w:ascii="Arial" w:hAnsi="Arial" w:cs="Arial"/>
          <w:sz w:val="16"/>
          <w:szCs w:val="16"/>
        </w:rPr>
        <w:t>,</w:t>
      </w:r>
      <w:r w:rsidRP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0D82EC8A" w:rsidR="00143F97" w:rsidRPr="00CD51ED" w:rsidRDefault="00C13BCB"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460C06C3"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29B799D5" w:rsidR="007615DC" w:rsidRPr="00784CE5" w:rsidRDefault="00126A29" w:rsidP="00784CE5">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25CD769"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6E33FD" w:rsidRPr="000A21ED">
        <w:rPr>
          <w:rFonts w:ascii="Arial" w:hAnsi="Arial" w:cs="Arial"/>
          <w:b/>
          <w:bCs/>
          <w:sz w:val="16"/>
          <w:szCs w:val="16"/>
        </w:rPr>
        <w:t>90</w:t>
      </w:r>
      <w:r w:rsidR="00C13BCB">
        <w:rPr>
          <w:rFonts w:ascii="Arial" w:hAnsi="Arial" w:cs="Arial"/>
          <w:b/>
          <w:sz w:val="16"/>
          <w:szCs w:val="16"/>
        </w:rPr>
        <w:t xml:space="preserve"> dnů</w:t>
      </w:r>
      <w:r w:rsidRPr="005C6A21">
        <w:rPr>
          <w:rFonts w:ascii="Arial" w:hAnsi="Arial" w:cs="Arial"/>
          <w:sz w:val="16"/>
          <w:szCs w:val="16"/>
        </w:rPr>
        <w:t xml:space="preserve"> od účinnosti smlouvy</w:t>
      </w:r>
      <w:r w:rsidR="007F6134">
        <w:rPr>
          <w:rFonts w:ascii="Arial" w:hAnsi="Arial" w:cs="Arial"/>
          <w:sz w:val="16"/>
          <w:szCs w:val="16"/>
        </w:rPr>
        <w:t>.</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32E8ABEE"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446241" w:rsidRPr="0053444C">
        <w:rPr>
          <w:rFonts w:ascii="Arial" w:hAnsi="Arial" w:cs="Arial"/>
          <w:bCs/>
          <w:sz w:val="16"/>
          <w:szCs w:val="16"/>
        </w:rPr>
        <w:t>1 086 000,00 Kč</w:t>
      </w:r>
      <w:r w:rsidR="00446241" w:rsidRPr="005C6A21">
        <w:rPr>
          <w:rFonts w:ascii="Arial" w:hAnsi="Arial" w:cs="Arial"/>
          <w:sz w:val="16"/>
          <w:szCs w:val="16"/>
        </w:rPr>
        <w:t xml:space="preserve"> bez DPH</w:t>
      </w:r>
      <w:r w:rsidR="00446241" w:rsidRPr="005C6A21">
        <w:rPr>
          <w:rFonts w:ascii="Arial" w:hAnsi="Arial" w:cs="Arial"/>
          <w:b/>
          <w:sz w:val="16"/>
          <w:szCs w:val="16"/>
        </w:rPr>
        <w:t xml:space="preserve">, </w:t>
      </w:r>
      <w:r w:rsidR="00446241" w:rsidRPr="005C6A21">
        <w:rPr>
          <w:rFonts w:ascii="Arial" w:hAnsi="Arial" w:cs="Arial"/>
          <w:sz w:val="16"/>
          <w:szCs w:val="16"/>
        </w:rPr>
        <w:t>tj.</w:t>
      </w:r>
      <w:r w:rsidR="00446241">
        <w:rPr>
          <w:rFonts w:ascii="Arial" w:hAnsi="Arial" w:cs="Arial"/>
          <w:b/>
          <w:sz w:val="16"/>
          <w:szCs w:val="16"/>
        </w:rPr>
        <w:t>1 314 060</w:t>
      </w:r>
      <w:r w:rsidR="00446241" w:rsidRPr="005C6A21">
        <w:rPr>
          <w:rFonts w:ascii="Arial" w:hAnsi="Arial" w:cs="Arial"/>
          <w:b/>
          <w:sz w:val="16"/>
          <w:szCs w:val="16"/>
        </w:rPr>
        <w:t xml:space="preserve"> Kč vč. 21 % DPH.</w:t>
      </w:r>
    </w:p>
    <w:p w14:paraId="2A71B97A" w14:textId="0E27BF3A"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3" w:history="1">
        <w:proofErr w:type="spellStart"/>
        <w:r w:rsidR="002655A0">
          <w:rPr>
            <w:rFonts w:ascii="Arial" w:hAnsi="Arial" w:cs="Arial"/>
            <w:sz w:val="16"/>
            <w:szCs w:val="16"/>
          </w:rPr>
          <w:t>xxxxx</w:t>
        </w:r>
        <w:proofErr w:type="spellEnd"/>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5314D40"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C13BCB">
        <w:rPr>
          <w:rFonts w:ascii="Arial" w:hAnsi="Arial" w:cs="Arial"/>
          <w:b/>
          <w:bCs/>
          <w:sz w:val="16"/>
          <w:szCs w:val="16"/>
        </w:rPr>
        <w:t xml:space="preserve">II. </w:t>
      </w:r>
      <w:r w:rsidR="007F6134">
        <w:rPr>
          <w:rFonts w:ascii="Arial" w:hAnsi="Arial" w:cs="Arial"/>
          <w:b/>
          <w:bCs/>
          <w:sz w:val="16"/>
          <w:szCs w:val="16"/>
        </w:rPr>
        <w:t>c</w:t>
      </w:r>
      <w:r w:rsidR="00C13BCB">
        <w:rPr>
          <w:rFonts w:ascii="Arial" w:hAnsi="Arial" w:cs="Arial"/>
          <w:b/>
          <w:bCs/>
          <w:sz w:val="16"/>
          <w:szCs w:val="16"/>
        </w:rPr>
        <w:t>hirurgická klinika</w:t>
      </w:r>
      <w:r w:rsidR="00E549B0">
        <w:rPr>
          <w:rFonts w:ascii="Arial" w:hAnsi="Arial" w:cs="Arial"/>
          <w:b/>
          <w:bCs/>
          <w:sz w:val="16"/>
          <w:szCs w:val="16"/>
        </w:rPr>
        <w:t xml:space="preserve"> – kardiovaskulární chirurgie</w:t>
      </w:r>
      <w:r w:rsidR="00182275" w:rsidRPr="004B24FB">
        <w:rPr>
          <w:rFonts w:ascii="Arial" w:hAnsi="Arial" w:cs="Arial"/>
          <w:b/>
          <w:bCs/>
          <w:sz w:val="16"/>
          <w:szCs w:val="16"/>
        </w:rPr>
        <w:t xml:space="preserve">, </w:t>
      </w:r>
      <w:r w:rsidR="00C13BCB">
        <w:rPr>
          <w:rFonts w:ascii="Arial" w:hAnsi="Arial" w:cs="Arial"/>
          <w:b/>
          <w:bCs/>
          <w:sz w:val="16"/>
          <w:szCs w:val="16"/>
        </w:rPr>
        <w:t>U Nemocnice</w:t>
      </w:r>
      <w:r w:rsidR="007F6134">
        <w:rPr>
          <w:rFonts w:ascii="Arial" w:hAnsi="Arial" w:cs="Arial"/>
          <w:b/>
          <w:bCs/>
          <w:sz w:val="16"/>
          <w:szCs w:val="16"/>
        </w:rPr>
        <w:t xml:space="preserve"> 2</w:t>
      </w:r>
      <w:r w:rsidR="00C13BCB">
        <w:rPr>
          <w:rFonts w:ascii="Arial" w:hAnsi="Arial" w:cs="Arial"/>
          <w:b/>
          <w:bCs/>
          <w:sz w:val="16"/>
          <w:szCs w:val="16"/>
        </w:rPr>
        <w:t>, 128 08 Praha 2</w:t>
      </w:r>
      <w:r w:rsidR="00182275" w:rsidRPr="004B24FB">
        <w:rPr>
          <w:rFonts w:ascii="Arial" w:hAnsi="Arial" w:cs="Arial"/>
          <w:b/>
          <w:bCs/>
          <w:sz w:val="16"/>
          <w:szCs w:val="16"/>
        </w:rPr>
        <w:t>, Pavilón</w:t>
      </w:r>
      <w:r w:rsidR="00C13BCB">
        <w:rPr>
          <w:rFonts w:ascii="Arial" w:hAnsi="Arial" w:cs="Arial"/>
          <w:b/>
          <w:bCs/>
          <w:sz w:val="16"/>
          <w:szCs w:val="16"/>
        </w:rPr>
        <w:t xml:space="preserve"> A2</w:t>
      </w:r>
      <w:r w:rsidR="00182275" w:rsidRPr="004B24FB">
        <w:rPr>
          <w:rFonts w:ascii="Arial" w:hAnsi="Arial" w:cs="Arial"/>
          <w:b/>
          <w:bCs/>
          <w:sz w:val="16"/>
          <w:szCs w:val="16"/>
        </w:rPr>
        <w:t xml:space="preserve">, </w:t>
      </w:r>
      <w:r w:rsidR="00C13BCB">
        <w:rPr>
          <w:rFonts w:ascii="Arial" w:hAnsi="Arial" w:cs="Arial"/>
          <w:b/>
          <w:bCs/>
          <w:sz w:val="16"/>
          <w:szCs w:val="16"/>
        </w:rPr>
        <w:t>3. patro</w:t>
      </w:r>
      <w:r w:rsidR="005646DB">
        <w:rPr>
          <w:rFonts w:ascii="Arial" w:hAnsi="Arial" w:cs="Arial"/>
          <w:b/>
          <w:bCs/>
          <w:sz w:val="16"/>
          <w:szCs w:val="16"/>
        </w:rPr>
        <w:t>.</w:t>
      </w:r>
    </w:p>
    <w:p w14:paraId="52FDF90A" w14:textId="097C2BF9"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5646DB">
        <w:rPr>
          <w:rFonts w:ascii="Arial" w:hAnsi="Arial" w:cs="Arial"/>
          <w:sz w:val="16"/>
          <w:szCs w:val="16"/>
        </w:rPr>
        <w:t xml:space="preserve"> </w:t>
      </w:r>
      <w:proofErr w:type="spellStart"/>
      <w:r w:rsidR="002655A0">
        <w:rPr>
          <w:rFonts w:ascii="Arial" w:hAnsi="Arial" w:cs="Arial"/>
          <w:sz w:val="16"/>
          <w:szCs w:val="16"/>
        </w:rPr>
        <w:t>xxxxx</w:t>
      </w:r>
      <w:proofErr w:type="spellEnd"/>
      <w:r w:rsidRPr="005C6A21">
        <w:rPr>
          <w:rFonts w:ascii="Arial" w:hAnsi="Arial" w:cs="Arial"/>
          <w:sz w:val="16"/>
          <w:szCs w:val="16"/>
        </w:rPr>
        <w:t>, tel.</w:t>
      </w:r>
      <w:r w:rsidR="00EC25A5" w:rsidRPr="005C6A21">
        <w:rPr>
          <w:rFonts w:ascii="Arial" w:hAnsi="Arial" w:cs="Arial"/>
          <w:sz w:val="16"/>
          <w:szCs w:val="16"/>
        </w:rPr>
        <w:t xml:space="preserve">: </w:t>
      </w:r>
      <w:proofErr w:type="spellStart"/>
      <w:r w:rsidR="002655A0">
        <w:rPr>
          <w:rFonts w:ascii="Arial" w:hAnsi="Arial" w:cs="Arial"/>
          <w:sz w:val="16"/>
          <w:szCs w:val="16"/>
        </w:rPr>
        <w:t>xxxxx</w:t>
      </w:r>
      <w:proofErr w:type="spellEnd"/>
      <w:r w:rsidRPr="005C6A21">
        <w:rPr>
          <w:rFonts w:ascii="Arial" w:hAnsi="Arial" w:cs="Arial"/>
          <w:sz w:val="16"/>
          <w:szCs w:val="16"/>
        </w:rPr>
        <w:t>, e-mail:</w:t>
      </w:r>
      <w:r w:rsidR="005646DB">
        <w:rPr>
          <w:rFonts w:ascii="Arial" w:hAnsi="Arial" w:cs="Arial"/>
          <w:sz w:val="16"/>
          <w:szCs w:val="16"/>
        </w:rPr>
        <w:t xml:space="preserve"> </w:t>
      </w:r>
      <w:proofErr w:type="spellStart"/>
      <w:r w:rsidR="002655A0">
        <w:rPr>
          <w:rFonts w:ascii="Arial" w:hAnsi="Arial" w:cs="Arial"/>
          <w:sz w:val="16"/>
          <w:szCs w:val="16"/>
        </w:rPr>
        <w:t>xxxxx</w:t>
      </w:r>
      <w:proofErr w:type="spellEnd"/>
      <w:r w:rsidR="002655A0">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5646DB">
        <w:rPr>
          <w:rFonts w:ascii="Arial" w:hAnsi="Arial" w:cs="Arial"/>
          <w:sz w:val="16"/>
          <w:szCs w:val="16"/>
        </w:rPr>
        <w:t>referent nákupu ZT</w:t>
      </w:r>
      <w:r w:rsidR="008D0A8F" w:rsidRPr="005C6A21">
        <w:rPr>
          <w:rFonts w:ascii="Arial" w:hAnsi="Arial" w:cs="Arial"/>
          <w:sz w:val="16"/>
          <w:szCs w:val="16"/>
        </w:rPr>
        <w:t xml:space="preserve">, tel.: </w:t>
      </w:r>
      <w:proofErr w:type="spellStart"/>
      <w:r w:rsidR="002655A0">
        <w:rPr>
          <w:rFonts w:ascii="Arial" w:hAnsi="Arial" w:cs="Arial"/>
          <w:sz w:val="16"/>
          <w:szCs w:val="16"/>
        </w:rPr>
        <w:t>xxxxx</w:t>
      </w:r>
      <w:proofErr w:type="spellEnd"/>
      <w:r w:rsidR="008D0A8F" w:rsidRPr="005C6A21">
        <w:rPr>
          <w:rFonts w:ascii="Arial" w:hAnsi="Arial" w:cs="Arial"/>
          <w:sz w:val="16"/>
          <w:szCs w:val="16"/>
        </w:rPr>
        <w:t xml:space="preserve">, e-mail: </w:t>
      </w:r>
      <w:proofErr w:type="spellStart"/>
      <w:r w:rsidR="002655A0">
        <w:rPr>
          <w:rFonts w:ascii="Arial" w:hAnsi="Arial" w:cs="Arial"/>
          <w:sz w:val="16"/>
          <w:szCs w:val="16"/>
        </w:rPr>
        <w:t>xxxxx</w:t>
      </w:r>
      <w:proofErr w:type="spellEnd"/>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2655A0">
        <w:rPr>
          <w:rFonts w:ascii="Arial" w:hAnsi="Arial" w:cs="Arial"/>
          <w:sz w:val="16"/>
          <w:szCs w:val="16"/>
        </w:rPr>
        <w:t>xxxxx</w:t>
      </w:r>
      <w:proofErr w:type="spellEnd"/>
      <w:r w:rsidR="005646DB">
        <w:rPr>
          <w:rFonts w:ascii="Arial" w:hAnsi="Arial" w:cs="Arial"/>
          <w:sz w:val="16"/>
          <w:szCs w:val="16"/>
        </w:rPr>
        <w:t>,</w:t>
      </w:r>
      <w:r w:rsidR="00446241">
        <w:rPr>
          <w:rFonts w:ascii="Arial" w:hAnsi="Arial" w:cs="Arial"/>
          <w:sz w:val="16"/>
          <w:szCs w:val="16"/>
        </w:rPr>
        <w:t xml:space="preserve"> </w:t>
      </w:r>
      <w:r w:rsidR="00446241" w:rsidRPr="005C6A21">
        <w:rPr>
          <w:rFonts w:ascii="Arial" w:hAnsi="Arial" w:cs="Arial"/>
          <w:sz w:val="16"/>
          <w:szCs w:val="16"/>
        </w:rPr>
        <w:t xml:space="preserve">tel.: </w:t>
      </w:r>
      <w:proofErr w:type="spellStart"/>
      <w:r w:rsidR="002655A0">
        <w:rPr>
          <w:rFonts w:ascii="Arial" w:hAnsi="Arial" w:cs="Arial"/>
          <w:sz w:val="16"/>
          <w:szCs w:val="16"/>
        </w:rPr>
        <w:t>xxxxx</w:t>
      </w:r>
      <w:proofErr w:type="spellEnd"/>
      <w:r w:rsidR="005646DB">
        <w:rPr>
          <w:rFonts w:ascii="Arial" w:hAnsi="Arial" w:cs="Arial"/>
          <w:sz w:val="16"/>
          <w:szCs w:val="16"/>
        </w:rPr>
        <w:t>,</w:t>
      </w:r>
      <w:r w:rsidR="00446241">
        <w:rPr>
          <w:rFonts w:ascii="Arial" w:hAnsi="Arial" w:cs="Arial"/>
          <w:sz w:val="16"/>
          <w:szCs w:val="16"/>
        </w:rPr>
        <w:t xml:space="preserve"> </w:t>
      </w:r>
      <w:r w:rsidR="00446241" w:rsidRPr="005C6A21">
        <w:rPr>
          <w:rFonts w:ascii="Arial" w:hAnsi="Arial" w:cs="Arial"/>
          <w:sz w:val="16"/>
          <w:szCs w:val="16"/>
        </w:rPr>
        <w:t xml:space="preserve">e-mail: </w:t>
      </w:r>
      <w:hyperlink r:id="rId14" w:history="1">
        <w:proofErr w:type="spellStart"/>
        <w:r w:rsidR="002655A0">
          <w:rPr>
            <w:rFonts w:ascii="Arial" w:hAnsi="Arial" w:cs="Arial"/>
            <w:sz w:val="16"/>
            <w:szCs w:val="16"/>
          </w:rPr>
          <w:t>xxxxx</w:t>
        </w:r>
        <w:proofErr w:type="spellEnd"/>
      </w:hyperlink>
      <w:r w:rsidR="00446241" w:rsidRPr="00446241">
        <w:rPr>
          <w:rFonts w:ascii="Arial" w:hAnsi="Arial" w:cs="Arial"/>
          <w:sz w:val="16"/>
          <w:szCs w:val="16"/>
        </w:rPr>
        <w:t>.</w:t>
      </w:r>
      <w:r w:rsidR="00446241">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7226CB">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508FCC20"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nařízeny nebo </w:t>
      </w:r>
      <w:r w:rsidR="002F6F05" w:rsidRPr="005646DB">
        <w:rPr>
          <w:rFonts w:ascii="Arial" w:hAnsi="Arial" w:cs="Arial"/>
          <w:sz w:val="16"/>
          <w:szCs w:val="16"/>
        </w:rPr>
        <w:t xml:space="preserve">doporučeny: </w:t>
      </w:r>
      <w:r w:rsidRPr="005646DB">
        <w:rPr>
          <w:rFonts w:ascii="Arial" w:hAnsi="Arial" w:cs="Arial"/>
          <w:sz w:val="16"/>
          <w:szCs w:val="16"/>
        </w:rPr>
        <w:t>bezpečnostně technick</w:t>
      </w:r>
      <w:r w:rsidR="002F6F05" w:rsidRPr="005646DB">
        <w:rPr>
          <w:rFonts w:ascii="Arial" w:hAnsi="Arial" w:cs="Arial"/>
          <w:sz w:val="16"/>
          <w:szCs w:val="16"/>
        </w:rPr>
        <w:t>é</w:t>
      </w:r>
      <w:r w:rsidRPr="005646DB">
        <w:rPr>
          <w:rFonts w:ascii="Arial" w:hAnsi="Arial" w:cs="Arial"/>
          <w:sz w:val="16"/>
          <w:szCs w:val="16"/>
        </w:rPr>
        <w:t xml:space="preserve"> kontrol</w:t>
      </w:r>
      <w:r w:rsidR="002F6F05" w:rsidRPr="005646DB">
        <w:rPr>
          <w:rFonts w:ascii="Arial" w:hAnsi="Arial" w:cs="Arial"/>
          <w:sz w:val="16"/>
          <w:szCs w:val="16"/>
        </w:rPr>
        <w:t>y</w:t>
      </w:r>
      <w:r w:rsidRPr="005646DB">
        <w:rPr>
          <w:rFonts w:ascii="Arial" w:hAnsi="Arial" w:cs="Arial"/>
          <w:sz w:val="16"/>
          <w:szCs w:val="16"/>
        </w:rPr>
        <w:t xml:space="preserve"> včetně elektrických kontrol</w:t>
      </w:r>
      <w:r w:rsidR="00FE10C0" w:rsidRPr="005646DB">
        <w:rPr>
          <w:rFonts w:ascii="Arial" w:hAnsi="Arial" w:cs="Arial"/>
          <w:sz w:val="16"/>
          <w:szCs w:val="16"/>
        </w:rPr>
        <w:t xml:space="preserve"> (BTK)</w:t>
      </w:r>
      <w:r w:rsidRPr="005646DB">
        <w:rPr>
          <w:rFonts w:ascii="Arial" w:hAnsi="Arial" w:cs="Arial"/>
          <w:sz w:val="16"/>
          <w:szCs w:val="16"/>
        </w:rPr>
        <w:t xml:space="preserve"> </w:t>
      </w:r>
      <w:r w:rsidR="007334B0" w:rsidRPr="005646DB">
        <w:rPr>
          <w:rFonts w:ascii="Arial" w:hAnsi="Arial" w:cs="Arial"/>
          <w:sz w:val="16"/>
          <w:szCs w:val="16"/>
        </w:rPr>
        <w:t xml:space="preserve">a revizí </w:t>
      </w:r>
      <w:r w:rsidRPr="005646DB">
        <w:rPr>
          <w:rFonts w:ascii="Arial" w:hAnsi="Arial" w:cs="Arial"/>
          <w:sz w:val="16"/>
          <w:szCs w:val="16"/>
        </w:rPr>
        <w:t xml:space="preserve">dle </w:t>
      </w:r>
      <w:r w:rsidR="0073396F" w:rsidRPr="005646DB">
        <w:rPr>
          <w:rFonts w:ascii="Arial" w:hAnsi="Arial" w:cs="Arial"/>
          <w:sz w:val="16"/>
          <w:szCs w:val="16"/>
        </w:rPr>
        <w:t>ZZP</w:t>
      </w:r>
      <w:r w:rsidR="002F6F05" w:rsidRPr="005646DB">
        <w:rPr>
          <w:rFonts w:ascii="Arial" w:hAnsi="Arial" w:cs="Arial"/>
          <w:sz w:val="16"/>
          <w:szCs w:val="16"/>
        </w:rPr>
        <w:t xml:space="preserve">, pravidelné revize, </w:t>
      </w:r>
      <w:r w:rsidR="007271C6" w:rsidRPr="005646DB">
        <w:rPr>
          <w:rFonts w:ascii="Arial" w:hAnsi="Arial" w:cs="Arial"/>
          <w:sz w:val="16"/>
          <w:szCs w:val="16"/>
        </w:rPr>
        <w:t>prohlídky</w:t>
      </w:r>
      <w:r w:rsidR="002F6F05" w:rsidRPr="005646DB">
        <w:rPr>
          <w:rFonts w:ascii="Arial" w:hAnsi="Arial" w:cs="Arial"/>
          <w:sz w:val="16"/>
          <w:szCs w:val="16"/>
        </w:rPr>
        <w:t xml:space="preserve">, kalibrace, </w:t>
      </w:r>
      <w:r w:rsidR="007271C6" w:rsidRPr="005646DB">
        <w:rPr>
          <w:rFonts w:ascii="Arial" w:hAnsi="Arial" w:cs="Arial"/>
          <w:sz w:val="16"/>
          <w:szCs w:val="16"/>
        </w:rPr>
        <w:t>validace</w:t>
      </w:r>
      <w:r w:rsidR="006D7303" w:rsidRPr="005646DB">
        <w:rPr>
          <w:rFonts w:ascii="Arial" w:hAnsi="Arial" w:cs="Arial"/>
          <w:sz w:val="16"/>
          <w:szCs w:val="16"/>
        </w:rPr>
        <w:t>, kontroly nařízené výrobcem</w:t>
      </w:r>
      <w:r w:rsidR="007271C6" w:rsidRPr="005646DB">
        <w:rPr>
          <w:rFonts w:ascii="Arial" w:hAnsi="Arial" w:cs="Arial"/>
          <w:sz w:val="16"/>
          <w:szCs w:val="16"/>
        </w:rPr>
        <w:t xml:space="preserve"> </w:t>
      </w:r>
      <w:r w:rsidR="002F6F05" w:rsidRPr="005646DB">
        <w:rPr>
          <w:rFonts w:ascii="Arial" w:hAnsi="Arial" w:cs="Arial"/>
          <w:sz w:val="16"/>
          <w:szCs w:val="16"/>
        </w:rPr>
        <w:t xml:space="preserve">včetně </w:t>
      </w:r>
      <w:r w:rsidR="006D12EA" w:rsidRPr="005646DB">
        <w:rPr>
          <w:rFonts w:ascii="Arial" w:hAnsi="Arial" w:cs="Arial"/>
          <w:sz w:val="16"/>
          <w:szCs w:val="16"/>
        </w:rPr>
        <w:t xml:space="preserve">povinně </w:t>
      </w:r>
      <w:r w:rsidR="002F6F05" w:rsidRPr="005646DB">
        <w:rPr>
          <w:rFonts w:ascii="Arial" w:hAnsi="Arial" w:cs="Arial"/>
          <w:sz w:val="16"/>
          <w:szCs w:val="16"/>
        </w:rPr>
        <w:t>měněných náhradních dílů</w:t>
      </w:r>
      <w:r w:rsidR="002D28A0" w:rsidRPr="005646DB">
        <w:rPr>
          <w:rFonts w:ascii="Arial" w:hAnsi="Arial" w:cs="Arial"/>
          <w:sz w:val="16"/>
          <w:szCs w:val="16"/>
        </w:rPr>
        <w:t xml:space="preserve"> a </w:t>
      </w:r>
      <w:r w:rsidRPr="005646DB">
        <w:rPr>
          <w:rFonts w:ascii="Arial" w:hAnsi="Arial" w:cs="Arial"/>
          <w:sz w:val="16"/>
          <w:szCs w:val="16"/>
        </w:rPr>
        <w:t xml:space="preserve">vystavení protokolu </w:t>
      </w:r>
      <w:r w:rsidR="006D12EA" w:rsidRPr="005646DB">
        <w:rPr>
          <w:rFonts w:ascii="Arial" w:hAnsi="Arial" w:cs="Arial"/>
          <w:sz w:val="16"/>
          <w:szCs w:val="16"/>
        </w:rPr>
        <w:t xml:space="preserve">v požadovaném intervalu </w:t>
      </w:r>
      <w:r w:rsidRPr="005646DB">
        <w:rPr>
          <w:rFonts w:ascii="Arial" w:hAnsi="Arial" w:cs="Arial"/>
          <w:sz w:val="16"/>
          <w:szCs w:val="16"/>
        </w:rPr>
        <w:t>a</w:t>
      </w:r>
      <w:r w:rsidR="007271C6" w:rsidRPr="005646DB">
        <w:rPr>
          <w:rFonts w:ascii="Arial" w:hAnsi="Arial" w:cs="Arial"/>
          <w:sz w:val="16"/>
          <w:szCs w:val="16"/>
        </w:rPr>
        <w:t xml:space="preserve"> dále</w:t>
      </w:r>
      <w:r w:rsidRPr="005646DB">
        <w:rPr>
          <w:rFonts w:ascii="Arial" w:hAnsi="Arial" w:cs="Arial"/>
          <w:sz w:val="16"/>
          <w:szCs w:val="16"/>
        </w:rPr>
        <w:t xml:space="preserve"> případný update softwar</w:t>
      </w:r>
      <w:r w:rsidR="00294824" w:rsidRPr="005646DB">
        <w:rPr>
          <w:rFonts w:ascii="Arial" w:hAnsi="Arial" w:cs="Arial"/>
          <w:sz w:val="16"/>
          <w:szCs w:val="16"/>
        </w:rPr>
        <w:t>u</w:t>
      </w:r>
      <w:r w:rsidRPr="005646DB">
        <w:rPr>
          <w:rFonts w:ascii="Arial" w:hAnsi="Arial" w:cs="Arial"/>
          <w:sz w:val="16"/>
          <w:szCs w:val="16"/>
        </w:rPr>
        <w:t>, v předepsaném</w:t>
      </w:r>
      <w:r w:rsidRPr="005C6A21">
        <w:rPr>
          <w:rFonts w:ascii="Arial" w:hAnsi="Arial" w:cs="Arial"/>
          <w:sz w:val="16"/>
          <w:szCs w:val="16"/>
        </w:rPr>
        <w:t xml:space="preserve"> intervalu</w:t>
      </w:r>
      <w:r w:rsidR="00C719C7">
        <w:rPr>
          <w:rFonts w:ascii="Arial" w:hAnsi="Arial" w:cs="Arial"/>
          <w:sz w:val="16"/>
          <w:szCs w:val="16"/>
        </w:rPr>
        <w:t xml:space="preserve"> </w:t>
      </w:r>
      <w:r w:rsidR="00446241" w:rsidRPr="00446241">
        <w:rPr>
          <w:rFonts w:ascii="Arial" w:hAnsi="Arial" w:cs="Arial"/>
          <w:sz w:val="16"/>
          <w:szCs w:val="16"/>
        </w:rPr>
        <w:t xml:space="preserve">12 měsíců </w:t>
      </w:r>
      <w:r w:rsidRPr="005C6A21">
        <w:rPr>
          <w:rFonts w:ascii="Arial" w:hAnsi="Arial" w:cs="Arial"/>
          <w:sz w:val="16"/>
          <w:szCs w:val="16"/>
        </w:rPr>
        <w:t>a následně nejpozději</w:t>
      </w:r>
      <w:r w:rsidR="00C719C7">
        <w:rPr>
          <w:rFonts w:ascii="Arial" w:hAnsi="Arial" w:cs="Arial"/>
          <w:sz w:val="16"/>
          <w:szCs w:val="16"/>
        </w:rPr>
        <w:t xml:space="preserve"> </w:t>
      </w:r>
      <w:r w:rsidR="00446241" w:rsidRPr="00446241">
        <w:rPr>
          <w:rFonts w:ascii="Arial" w:hAnsi="Arial" w:cs="Arial"/>
          <w:sz w:val="16"/>
          <w:szCs w:val="16"/>
        </w:rPr>
        <w:t>12 měsíců</w:t>
      </w:r>
      <w:r w:rsidR="008B24E0" w:rsidRPr="00446241">
        <w:rPr>
          <w:rFonts w:ascii="Arial" w:hAnsi="Arial" w:cs="Arial"/>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proofErr w:type="spellStart"/>
      <w:r w:rsidR="002655A0">
        <w:rPr>
          <w:rFonts w:ascii="Arial" w:hAnsi="Arial" w:cs="Arial"/>
          <w:sz w:val="16"/>
          <w:szCs w:val="16"/>
        </w:rPr>
        <w:t>xxxxx</w:t>
      </w:r>
      <w:proofErr w:type="spellEnd"/>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0CC1002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C719C7" w:rsidRPr="00446241">
        <w:rPr>
          <w:rFonts w:ascii="Arial" w:hAnsi="Arial" w:cs="Arial"/>
          <w:sz w:val="16"/>
          <w:szCs w:val="16"/>
        </w:rPr>
        <w:t xml:space="preserve"> </w:t>
      </w:r>
      <w:proofErr w:type="spellStart"/>
      <w:r w:rsidR="002655A0">
        <w:rPr>
          <w:rFonts w:ascii="Arial" w:hAnsi="Arial" w:cs="Arial"/>
          <w:sz w:val="16"/>
          <w:szCs w:val="16"/>
        </w:rPr>
        <w:t>xxxxx</w:t>
      </w:r>
      <w:proofErr w:type="spellEnd"/>
      <w:r w:rsidR="00446241" w:rsidRPr="00446241">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0124FE5A"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C13BCB">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C13BCB">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C13BCB">
        <w:rPr>
          <w:rFonts w:ascii="Arial" w:hAnsi="Arial" w:cs="Arial"/>
          <w:sz w:val="16"/>
          <w:szCs w:val="16"/>
        </w:rPr>
        <w:t xml:space="preserve"> 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C13BCB">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0E9E83C8" w14:textId="77777777" w:rsidR="00C13BCB" w:rsidRDefault="00C13BCB" w:rsidP="00C13BCB">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DBF06DF"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C13BCB">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DD2273" w14:textId="77777777" w:rsidR="00213F88" w:rsidRDefault="00213F88" w:rsidP="00954B5F">
      <w:pPr>
        <w:rPr>
          <w:rFonts w:ascii="Arial" w:hAnsi="Arial" w:cs="Arial"/>
          <w:b/>
          <w:sz w:val="16"/>
          <w:szCs w:val="16"/>
        </w:rPr>
      </w:pPr>
    </w:p>
    <w:p w14:paraId="53F8FA64" w14:textId="1AC857CD"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25C78053"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46588B">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C13BCB" w:rsidRDefault="0015576D" w:rsidP="0015576D">
      <w:pPr>
        <w:numPr>
          <w:ilvl w:val="0"/>
          <w:numId w:val="14"/>
        </w:numPr>
        <w:suppressAutoHyphens w:val="0"/>
        <w:jc w:val="both"/>
        <w:rPr>
          <w:rFonts w:ascii="Arial" w:hAnsi="Arial" w:cs="Arial"/>
          <w:sz w:val="16"/>
          <w:szCs w:val="16"/>
        </w:rPr>
      </w:pPr>
      <w:r w:rsidRPr="00C13BCB">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289C1F14" w:rsidR="0015576D" w:rsidRPr="00C13BCB" w:rsidRDefault="0015576D" w:rsidP="0015576D">
      <w:pPr>
        <w:numPr>
          <w:ilvl w:val="0"/>
          <w:numId w:val="14"/>
        </w:numPr>
        <w:jc w:val="both"/>
        <w:rPr>
          <w:rFonts w:ascii="Arial" w:hAnsi="Arial" w:cs="Arial"/>
          <w:sz w:val="16"/>
          <w:szCs w:val="16"/>
        </w:rPr>
      </w:pPr>
      <w:r w:rsidRPr="00C13BCB">
        <w:rPr>
          <w:rFonts w:ascii="Arial" w:hAnsi="Arial" w:cs="Arial"/>
          <w:sz w:val="16"/>
          <w:szCs w:val="16"/>
        </w:rPr>
        <w:t xml:space="preserve">Prodávající je povinen mít v platnosti a udržovat </w:t>
      </w:r>
      <w:r w:rsidR="00154872" w:rsidRPr="00C13BCB">
        <w:rPr>
          <w:rFonts w:ascii="Arial" w:hAnsi="Arial" w:cs="Arial"/>
          <w:sz w:val="16"/>
          <w:szCs w:val="16"/>
        </w:rPr>
        <w:t xml:space="preserve">po celou dobu trvání smlouvy </w:t>
      </w:r>
      <w:r w:rsidRPr="00C13BCB">
        <w:rPr>
          <w:rFonts w:ascii="Arial" w:hAnsi="Arial" w:cs="Arial"/>
          <w:sz w:val="16"/>
          <w:szCs w:val="16"/>
        </w:rPr>
        <w:t>pojištění odpovědnosti za škodu způsobenou kupujícímu či třetím osobám při výkonu podnikatelské činnosti prodávajícího, která je předmětem této</w:t>
      </w:r>
      <w:r w:rsidR="00154872" w:rsidRPr="00C13BCB">
        <w:rPr>
          <w:rFonts w:ascii="Arial" w:hAnsi="Arial" w:cs="Arial"/>
          <w:sz w:val="16"/>
          <w:szCs w:val="16"/>
        </w:rPr>
        <w:t xml:space="preserve"> veřejné</w:t>
      </w:r>
      <w:r w:rsidRPr="00C13BCB">
        <w:rPr>
          <w:rFonts w:ascii="Arial" w:hAnsi="Arial" w:cs="Arial"/>
          <w:sz w:val="16"/>
          <w:szCs w:val="16"/>
        </w:rPr>
        <w:t xml:space="preserve"> </w:t>
      </w:r>
      <w:r w:rsidR="00154872" w:rsidRPr="00C13BCB">
        <w:rPr>
          <w:rFonts w:ascii="Arial" w:hAnsi="Arial" w:cs="Arial"/>
          <w:sz w:val="16"/>
          <w:szCs w:val="16"/>
        </w:rPr>
        <w:t>zakázky</w:t>
      </w:r>
      <w:r w:rsidRPr="00C13BCB">
        <w:rPr>
          <w:rFonts w:ascii="Arial" w:hAnsi="Arial" w:cs="Arial"/>
          <w:sz w:val="16"/>
          <w:szCs w:val="16"/>
        </w:rPr>
        <w:t>, s limitem pojistného plnění v minimální výši</w:t>
      </w:r>
      <w:r w:rsidR="00C13BCB" w:rsidRPr="00C13BCB">
        <w:rPr>
          <w:rFonts w:ascii="Arial" w:hAnsi="Arial" w:cs="Arial"/>
          <w:sz w:val="16"/>
          <w:szCs w:val="16"/>
        </w:rPr>
        <w:t xml:space="preserve"> </w:t>
      </w:r>
      <w:r w:rsidR="009E078A" w:rsidRPr="009E078A">
        <w:rPr>
          <w:rFonts w:ascii="Arial" w:hAnsi="Arial" w:cs="Arial"/>
          <w:sz w:val="16"/>
          <w:szCs w:val="16"/>
        </w:rPr>
        <w:t>10.000.000 Kč</w:t>
      </w:r>
      <w:r w:rsidR="007F6134">
        <w:rPr>
          <w:rFonts w:ascii="Arial" w:hAnsi="Arial" w:cs="Arial"/>
          <w:sz w:val="16"/>
          <w:szCs w:val="16"/>
        </w:rPr>
        <w:t>.</w:t>
      </w:r>
    </w:p>
    <w:p w14:paraId="50FA712D" w14:textId="3E106710"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C13BCB">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0C36535A" w:rsidR="0012199B" w:rsidRDefault="0015576D" w:rsidP="0046588B">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46588B">
        <w:rPr>
          <w:rFonts w:ascii="Arial" w:hAnsi="Arial" w:cs="Arial"/>
          <w:sz w:val="16"/>
          <w:szCs w:val="16"/>
        </w:rPr>
        <w:t>s</w:t>
      </w:r>
      <w:r w:rsidRPr="00866578">
        <w:rPr>
          <w:rFonts w:ascii="Arial" w:hAnsi="Arial" w:cs="Arial"/>
          <w:sz w:val="16"/>
          <w:szCs w:val="16"/>
        </w:rPr>
        <w:t>mlouvy. </w:t>
      </w:r>
      <w:bookmarkEnd w:id="6"/>
    </w:p>
    <w:p w14:paraId="747B9401" w14:textId="77777777" w:rsidR="0046588B" w:rsidRPr="009F3B35" w:rsidRDefault="0046588B" w:rsidP="0046588B">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591F9582"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46588B">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37F43EF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46588B">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31B10EC1" w14:textId="77777777" w:rsidR="002655A0" w:rsidRDefault="002655A0" w:rsidP="00693206">
      <w:pPr>
        <w:jc w:val="center"/>
        <w:rPr>
          <w:rFonts w:ascii="Arial" w:hAnsi="Arial" w:cs="Arial"/>
          <w:b/>
          <w:sz w:val="16"/>
          <w:szCs w:val="16"/>
        </w:rPr>
      </w:pPr>
    </w:p>
    <w:p w14:paraId="7276A28A" w14:textId="632F893F"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7694B5D" w14:textId="504E86BC" w:rsidR="00446241" w:rsidRPr="005D393B" w:rsidRDefault="00446241" w:rsidP="00446241">
      <w:pPr>
        <w:rPr>
          <w:rFonts w:ascii="Arial" w:hAnsi="Arial" w:cs="Arial"/>
          <w:sz w:val="16"/>
          <w:szCs w:val="16"/>
        </w:rPr>
      </w:pPr>
      <w:r w:rsidRPr="005C6A21">
        <w:rPr>
          <w:rFonts w:ascii="Arial" w:hAnsi="Arial" w:cs="Arial"/>
          <w:sz w:val="16"/>
          <w:szCs w:val="16"/>
        </w:rPr>
        <w:t xml:space="preserve">Příloha č. 1 - </w:t>
      </w:r>
      <w:r w:rsidRPr="005D393B">
        <w:rPr>
          <w:rFonts w:ascii="Arial" w:hAnsi="Arial" w:cs="Arial"/>
          <w:sz w:val="16"/>
          <w:szCs w:val="16"/>
        </w:rPr>
        <w:t xml:space="preserve">Cenová nabídka č. vz501-2025 ze dne </w:t>
      </w:r>
      <w:r>
        <w:rPr>
          <w:rFonts w:ascii="Arial" w:hAnsi="Arial" w:cs="Arial"/>
          <w:sz w:val="16"/>
          <w:szCs w:val="16"/>
        </w:rPr>
        <w:t>30.11.</w:t>
      </w:r>
      <w:r w:rsidRPr="005D393B">
        <w:rPr>
          <w:rFonts w:ascii="Arial" w:hAnsi="Arial" w:cs="Arial"/>
          <w:sz w:val="16"/>
          <w:szCs w:val="16"/>
        </w:rPr>
        <w:t>2025</w:t>
      </w:r>
    </w:p>
    <w:p w14:paraId="2D7CFE96" w14:textId="77777777" w:rsidR="00446241" w:rsidRDefault="00446241" w:rsidP="00446241">
      <w:pPr>
        <w:rPr>
          <w:rFonts w:ascii="Arial" w:hAnsi="Arial" w:cs="Arial"/>
          <w:sz w:val="16"/>
          <w:szCs w:val="16"/>
        </w:rPr>
      </w:pPr>
      <w:r w:rsidRPr="005D393B">
        <w:rPr>
          <w:rFonts w:ascii="Arial" w:hAnsi="Arial" w:cs="Arial"/>
          <w:sz w:val="16"/>
          <w:szCs w:val="16"/>
        </w:rPr>
        <w:t>Příloha č. 2 - 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7641E58B" w14:textId="6C8C41B2" w:rsidR="00770A9F" w:rsidRDefault="00446241" w:rsidP="00770A9F">
            <w:pPr>
              <w:rPr>
                <w:rFonts w:ascii="Arial" w:hAnsi="Arial" w:cs="Arial"/>
                <w:sz w:val="16"/>
                <w:szCs w:val="16"/>
              </w:rPr>
            </w:pPr>
            <w:r w:rsidRPr="005C6A21">
              <w:rPr>
                <w:rFonts w:ascii="Arial" w:hAnsi="Arial" w:cs="Arial"/>
                <w:sz w:val="16"/>
                <w:szCs w:val="16"/>
              </w:rPr>
              <w:t xml:space="preserve">V </w:t>
            </w:r>
            <w:r>
              <w:rPr>
                <w:rFonts w:ascii="Arial" w:hAnsi="Arial" w:cs="Arial"/>
                <w:sz w:val="16"/>
                <w:szCs w:val="16"/>
              </w:rPr>
              <w:t>Praze</w:t>
            </w:r>
            <w:r w:rsidRPr="005C6A21">
              <w:rPr>
                <w:rFonts w:ascii="Arial" w:hAnsi="Arial" w:cs="Arial"/>
                <w:sz w:val="16"/>
                <w:szCs w:val="16"/>
              </w:rPr>
              <w:t xml:space="preserve"> dne </w:t>
            </w:r>
            <w:r w:rsidR="00701080">
              <w:rPr>
                <w:rFonts w:ascii="Arial" w:hAnsi="Arial" w:cs="Arial"/>
                <w:sz w:val="16"/>
                <w:szCs w:val="16"/>
              </w:rPr>
              <w:t>dle el. podpisu</w:t>
            </w:r>
          </w:p>
          <w:p w14:paraId="099C785F" w14:textId="77777777" w:rsidR="005646DB" w:rsidRPr="005C6A21" w:rsidRDefault="005646DB"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57F8B416" w14:textId="77777777" w:rsidR="00770A9F" w:rsidRDefault="00701080" w:rsidP="00F07574">
            <w:pPr>
              <w:rPr>
                <w:rFonts w:ascii="Arial" w:hAnsi="Arial" w:cs="Arial"/>
                <w:sz w:val="16"/>
                <w:szCs w:val="16"/>
              </w:rPr>
            </w:pPr>
            <w:r>
              <w:rPr>
                <w:rFonts w:ascii="Arial" w:hAnsi="Arial" w:cs="Arial"/>
                <w:sz w:val="16"/>
                <w:szCs w:val="16"/>
              </w:rPr>
              <w:t xml:space="preserve">  </w:t>
            </w:r>
          </w:p>
          <w:p w14:paraId="5094C358" w14:textId="77777777" w:rsidR="00701080" w:rsidRDefault="00701080" w:rsidP="00F07574">
            <w:pPr>
              <w:rPr>
                <w:rFonts w:ascii="Arial" w:hAnsi="Arial" w:cs="Arial"/>
                <w:sz w:val="16"/>
                <w:szCs w:val="16"/>
              </w:rPr>
            </w:pPr>
          </w:p>
          <w:p w14:paraId="671732BB" w14:textId="77777777" w:rsidR="00701080" w:rsidRDefault="00701080" w:rsidP="00F07574">
            <w:pPr>
              <w:rPr>
                <w:rFonts w:ascii="Arial" w:hAnsi="Arial" w:cs="Arial"/>
                <w:sz w:val="16"/>
                <w:szCs w:val="16"/>
              </w:rPr>
            </w:pPr>
          </w:p>
          <w:p w14:paraId="66B4A77C" w14:textId="1D1B707F" w:rsidR="00701080" w:rsidRDefault="00701080"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98D5D32"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701080">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526718EC" w14:textId="77777777" w:rsidR="00446241" w:rsidRPr="00B47029" w:rsidRDefault="00446241" w:rsidP="00446241">
            <w:pPr>
              <w:jc w:val="center"/>
              <w:rPr>
                <w:rFonts w:ascii="Arial" w:hAnsi="Arial" w:cs="Arial"/>
                <w:sz w:val="16"/>
                <w:szCs w:val="16"/>
              </w:rPr>
            </w:pPr>
            <w:r w:rsidRPr="00B47029">
              <w:rPr>
                <w:rFonts w:ascii="Arial" w:hAnsi="Arial" w:cs="Arial"/>
                <w:sz w:val="16"/>
                <w:szCs w:val="16"/>
              </w:rPr>
              <w:t>Mgr. Lukáš Macháček, MBA</w:t>
            </w:r>
          </w:p>
          <w:p w14:paraId="6127F3E8" w14:textId="2A8F495A" w:rsidR="00770A9F" w:rsidRDefault="00446241" w:rsidP="00F07574">
            <w:pPr>
              <w:rPr>
                <w:rFonts w:ascii="Arial" w:hAnsi="Arial" w:cs="Arial"/>
                <w:sz w:val="16"/>
                <w:szCs w:val="16"/>
              </w:rPr>
            </w:pPr>
            <w:r w:rsidRPr="00B47029">
              <w:rPr>
                <w:rFonts w:ascii="Arial" w:hAnsi="Arial" w:cs="Arial"/>
                <w:sz w:val="16"/>
                <w:szCs w:val="16"/>
              </w:rPr>
              <w:t xml:space="preserve">jednatel A.M.I. - </w:t>
            </w:r>
            <w:proofErr w:type="spellStart"/>
            <w:r w:rsidRPr="00B47029">
              <w:rPr>
                <w:rFonts w:ascii="Arial" w:hAnsi="Arial" w:cs="Arial"/>
                <w:sz w:val="16"/>
                <w:szCs w:val="16"/>
              </w:rPr>
              <w:t>Analytical</w:t>
            </w:r>
            <w:proofErr w:type="spellEnd"/>
            <w:r w:rsidRPr="00B47029">
              <w:rPr>
                <w:rFonts w:ascii="Arial" w:hAnsi="Arial" w:cs="Arial"/>
                <w:sz w:val="16"/>
                <w:szCs w:val="16"/>
              </w:rPr>
              <w:t xml:space="preserve"> </w:t>
            </w:r>
            <w:proofErr w:type="spellStart"/>
            <w:r w:rsidRPr="00B47029">
              <w:rPr>
                <w:rFonts w:ascii="Arial" w:hAnsi="Arial" w:cs="Arial"/>
                <w:sz w:val="16"/>
                <w:szCs w:val="16"/>
              </w:rPr>
              <w:t>Medical</w:t>
            </w:r>
            <w:proofErr w:type="spellEnd"/>
            <w:r w:rsidRPr="00B47029">
              <w:rPr>
                <w:rFonts w:ascii="Arial" w:hAnsi="Arial" w:cs="Arial"/>
                <w:sz w:val="16"/>
                <w:szCs w:val="16"/>
              </w:rPr>
              <w:t xml:space="preserve"> Instruments, </w:t>
            </w:r>
            <w:proofErr w:type="spellStart"/>
            <w:r w:rsidRPr="00B47029">
              <w:rPr>
                <w:rFonts w:ascii="Arial" w:hAnsi="Arial" w:cs="Arial"/>
                <w:sz w:val="16"/>
                <w:szCs w:val="16"/>
              </w:rPr>
              <w:t>s.r.o</w:t>
            </w:r>
            <w:proofErr w:type="spellEnd"/>
            <w:r w:rsidRPr="00B046C4" w:rsidDel="00A92C3F">
              <w:rPr>
                <w:rFonts w:ascii="Arial" w:hAnsi="Arial" w:cs="Arial"/>
                <w:i/>
                <w:sz w:val="16"/>
                <w:szCs w:val="16"/>
                <w:highlight w:val="yellow"/>
              </w:rPr>
              <w:t xml:space="preserve"> </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017B2050" w:rsidR="00770A9F" w:rsidRPr="005C6A21" w:rsidRDefault="005646DB" w:rsidP="00770A9F">
            <w:pPr>
              <w:jc w:val="center"/>
              <w:rPr>
                <w:rFonts w:ascii="Arial" w:hAnsi="Arial" w:cs="Arial"/>
                <w:sz w:val="16"/>
                <w:szCs w:val="16"/>
              </w:rPr>
            </w:pPr>
            <w:r w:rsidRPr="005646DB">
              <w:rPr>
                <w:rFonts w:ascii="Arial" w:hAnsi="Arial" w:cs="Arial"/>
                <w:sz w:val="16"/>
                <w:szCs w:val="16"/>
              </w:rPr>
              <w:t xml:space="preserve">doc. MUDr. Ján </w:t>
            </w:r>
            <w:proofErr w:type="spellStart"/>
            <w:r w:rsidRPr="005646DB">
              <w:rPr>
                <w:rFonts w:ascii="Arial" w:hAnsi="Arial" w:cs="Arial"/>
                <w:sz w:val="16"/>
                <w:szCs w:val="16"/>
              </w:rPr>
              <w:t>Dudra</w:t>
            </w:r>
            <w:proofErr w:type="spellEnd"/>
            <w:r w:rsidRPr="005646DB">
              <w:rPr>
                <w:rFonts w:ascii="Arial" w:hAnsi="Arial" w:cs="Arial"/>
                <w:sz w:val="16"/>
                <w:szCs w:val="16"/>
              </w:rPr>
              <w:t>, PhD., MPH</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520E366F" w14:textId="77777777" w:rsidR="003E6976" w:rsidRDefault="003E6976" w:rsidP="00F07574">
      <w:pPr>
        <w:rPr>
          <w:rFonts w:ascii="Arial" w:hAnsi="Arial" w:cs="Arial"/>
          <w:sz w:val="21"/>
          <w:szCs w:val="21"/>
        </w:rPr>
      </w:pPr>
    </w:p>
    <w:p w14:paraId="6C0CA1AA" w14:textId="77777777" w:rsidR="00446241" w:rsidRDefault="00446241" w:rsidP="00F07574">
      <w:pPr>
        <w:rPr>
          <w:rFonts w:ascii="Arial" w:hAnsi="Arial" w:cs="Arial"/>
          <w:sz w:val="21"/>
          <w:szCs w:val="21"/>
        </w:rPr>
      </w:pPr>
    </w:p>
    <w:p w14:paraId="75FC1D94" w14:textId="77777777" w:rsidR="00446241" w:rsidRDefault="00446241" w:rsidP="00F07574">
      <w:pPr>
        <w:rPr>
          <w:rFonts w:ascii="Arial" w:hAnsi="Arial" w:cs="Arial"/>
          <w:sz w:val="21"/>
          <w:szCs w:val="21"/>
        </w:rPr>
      </w:pPr>
    </w:p>
    <w:p w14:paraId="6A2494CE" w14:textId="77777777" w:rsidR="00446241" w:rsidRDefault="00446241" w:rsidP="00F07574">
      <w:pPr>
        <w:rPr>
          <w:rFonts w:ascii="Arial" w:hAnsi="Arial" w:cs="Arial"/>
          <w:sz w:val="21"/>
          <w:szCs w:val="21"/>
        </w:rPr>
      </w:pPr>
    </w:p>
    <w:p w14:paraId="3ED5A22C" w14:textId="77777777" w:rsidR="00446241" w:rsidRDefault="00446241" w:rsidP="00F07574">
      <w:pPr>
        <w:rPr>
          <w:rFonts w:ascii="Arial" w:hAnsi="Arial" w:cs="Arial"/>
          <w:sz w:val="21"/>
          <w:szCs w:val="21"/>
        </w:rPr>
      </w:pPr>
    </w:p>
    <w:p w14:paraId="3D50923E" w14:textId="77777777" w:rsidR="00446241" w:rsidRDefault="00446241" w:rsidP="00F07574">
      <w:pPr>
        <w:rPr>
          <w:rFonts w:ascii="Arial" w:hAnsi="Arial" w:cs="Arial"/>
          <w:sz w:val="21"/>
          <w:szCs w:val="21"/>
        </w:rPr>
      </w:pPr>
    </w:p>
    <w:p w14:paraId="497EF7F9" w14:textId="77777777" w:rsidR="00446241" w:rsidRDefault="00446241" w:rsidP="00F07574">
      <w:pPr>
        <w:rPr>
          <w:rFonts w:ascii="Arial" w:hAnsi="Arial" w:cs="Arial"/>
          <w:sz w:val="21"/>
          <w:szCs w:val="21"/>
        </w:rPr>
      </w:pPr>
    </w:p>
    <w:p w14:paraId="2AFF8A9B" w14:textId="62DD2EDB" w:rsidR="00446241" w:rsidRPr="00701080" w:rsidRDefault="00701080" w:rsidP="00F07574">
      <w:pPr>
        <w:rPr>
          <w:rFonts w:ascii="Arial" w:hAnsi="Arial" w:cs="Arial"/>
          <w:sz w:val="16"/>
          <w:szCs w:val="16"/>
        </w:rPr>
      </w:pPr>
      <w:r w:rsidRPr="00701080">
        <w:rPr>
          <w:rFonts w:ascii="Arial" w:hAnsi="Arial" w:cs="Arial"/>
          <w:sz w:val="16"/>
          <w:szCs w:val="16"/>
        </w:rPr>
        <w:t>schválila:</w:t>
      </w:r>
    </w:p>
    <w:p w14:paraId="33AB217A" w14:textId="77777777" w:rsidR="00446241" w:rsidRDefault="00446241" w:rsidP="00F07574">
      <w:pPr>
        <w:rPr>
          <w:rFonts w:ascii="Arial" w:hAnsi="Arial" w:cs="Arial"/>
          <w:sz w:val="21"/>
          <w:szCs w:val="21"/>
        </w:rPr>
      </w:pPr>
    </w:p>
    <w:p w14:paraId="7053C38A" w14:textId="77777777" w:rsidR="00446241" w:rsidRDefault="00446241" w:rsidP="00F07574">
      <w:pPr>
        <w:rPr>
          <w:rFonts w:ascii="Arial" w:hAnsi="Arial" w:cs="Arial"/>
          <w:sz w:val="21"/>
          <w:szCs w:val="21"/>
        </w:rPr>
      </w:pPr>
    </w:p>
    <w:p w14:paraId="7CD39B54" w14:textId="77777777" w:rsidR="00446241" w:rsidRDefault="00446241" w:rsidP="00F07574">
      <w:pPr>
        <w:rPr>
          <w:rFonts w:ascii="Arial" w:hAnsi="Arial" w:cs="Arial"/>
          <w:sz w:val="21"/>
          <w:szCs w:val="21"/>
        </w:rPr>
      </w:pPr>
    </w:p>
    <w:p w14:paraId="1D0CDB0B" w14:textId="77777777" w:rsidR="00446241" w:rsidRDefault="00446241" w:rsidP="00F07574">
      <w:pPr>
        <w:rPr>
          <w:rFonts w:ascii="Arial" w:hAnsi="Arial" w:cs="Arial"/>
          <w:sz w:val="21"/>
          <w:szCs w:val="21"/>
        </w:rPr>
      </w:pPr>
    </w:p>
    <w:p w14:paraId="7A0B64A1" w14:textId="77777777" w:rsidR="00446241" w:rsidRDefault="00446241" w:rsidP="00F07574">
      <w:pPr>
        <w:rPr>
          <w:rFonts w:ascii="Arial" w:hAnsi="Arial" w:cs="Arial"/>
          <w:sz w:val="21"/>
          <w:szCs w:val="21"/>
        </w:rPr>
      </w:pPr>
    </w:p>
    <w:p w14:paraId="645F3759" w14:textId="77777777" w:rsidR="00446241" w:rsidRDefault="00446241" w:rsidP="00F07574">
      <w:pPr>
        <w:rPr>
          <w:rFonts w:ascii="Arial" w:hAnsi="Arial" w:cs="Arial"/>
          <w:sz w:val="21"/>
          <w:szCs w:val="21"/>
        </w:rPr>
      </w:pPr>
    </w:p>
    <w:p w14:paraId="69B0604A" w14:textId="77777777" w:rsidR="00446241" w:rsidRDefault="00446241" w:rsidP="00F07574">
      <w:pPr>
        <w:rPr>
          <w:rFonts w:ascii="Arial" w:hAnsi="Arial" w:cs="Arial"/>
          <w:sz w:val="21"/>
          <w:szCs w:val="21"/>
        </w:rPr>
      </w:pPr>
    </w:p>
    <w:p w14:paraId="33D65691" w14:textId="77777777" w:rsidR="00446241" w:rsidRDefault="00446241" w:rsidP="00F07574">
      <w:pPr>
        <w:rPr>
          <w:rFonts w:ascii="Arial" w:hAnsi="Arial" w:cs="Arial"/>
          <w:sz w:val="21"/>
          <w:szCs w:val="21"/>
        </w:rPr>
      </w:pPr>
    </w:p>
    <w:p w14:paraId="70A333EE" w14:textId="77777777" w:rsidR="00446241" w:rsidRDefault="00446241" w:rsidP="00F07574">
      <w:pPr>
        <w:rPr>
          <w:rFonts w:ascii="Arial" w:hAnsi="Arial" w:cs="Arial"/>
          <w:sz w:val="21"/>
          <w:szCs w:val="21"/>
        </w:rPr>
      </w:pPr>
    </w:p>
    <w:p w14:paraId="60BAF3F2" w14:textId="77777777" w:rsidR="00446241" w:rsidRDefault="00446241" w:rsidP="00F07574">
      <w:pPr>
        <w:rPr>
          <w:rFonts w:ascii="Arial" w:hAnsi="Arial" w:cs="Arial"/>
          <w:sz w:val="21"/>
          <w:szCs w:val="21"/>
        </w:rPr>
      </w:pPr>
    </w:p>
    <w:p w14:paraId="49EA71DE" w14:textId="77777777" w:rsidR="00446241" w:rsidRDefault="00446241" w:rsidP="00F07574">
      <w:pPr>
        <w:rPr>
          <w:rFonts w:ascii="Arial" w:hAnsi="Arial" w:cs="Arial"/>
          <w:sz w:val="21"/>
          <w:szCs w:val="21"/>
        </w:rPr>
      </w:pPr>
    </w:p>
    <w:p w14:paraId="615642B5" w14:textId="77777777" w:rsidR="00446241" w:rsidRDefault="00446241" w:rsidP="00F07574">
      <w:pPr>
        <w:rPr>
          <w:rFonts w:ascii="Arial" w:hAnsi="Arial" w:cs="Arial"/>
          <w:sz w:val="21"/>
          <w:szCs w:val="21"/>
        </w:rPr>
      </w:pPr>
    </w:p>
    <w:p w14:paraId="3DC9D45A" w14:textId="77777777" w:rsidR="00446241" w:rsidRDefault="00446241" w:rsidP="00F07574">
      <w:pPr>
        <w:rPr>
          <w:rFonts w:ascii="Arial" w:hAnsi="Arial" w:cs="Arial"/>
          <w:sz w:val="21"/>
          <w:szCs w:val="21"/>
        </w:rPr>
      </w:pPr>
    </w:p>
    <w:p w14:paraId="50D0460E" w14:textId="77777777" w:rsidR="00446241" w:rsidRDefault="00446241" w:rsidP="00F07574">
      <w:pPr>
        <w:rPr>
          <w:rFonts w:ascii="Arial" w:hAnsi="Arial" w:cs="Arial"/>
          <w:sz w:val="21"/>
          <w:szCs w:val="21"/>
        </w:rPr>
      </w:pPr>
    </w:p>
    <w:p w14:paraId="442C7F43" w14:textId="77777777" w:rsidR="00446241" w:rsidRDefault="00446241" w:rsidP="00446241">
      <w:pPr>
        <w:rPr>
          <w:rFonts w:ascii="Arial" w:hAnsi="Arial" w:cs="Arial"/>
          <w:sz w:val="21"/>
          <w:szCs w:val="21"/>
        </w:rPr>
      </w:pPr>
    </w:p>
    <w:p w14:paraId="213ECE12" w14:textId="77777777" w:rsidR="00701080" w:rsidRDefault="00701080" w:rsidP="00446241">
      <w:pPr>
        <w:rPr>
          <w:rFonts w:ascii="Arial" w:hAnsi="Arial" w:cs="Arial"/>
          <w:sz w:val="16"/>
          <w:szCs w:val="16"/>
        </w:rPr>
      </w:pPr>
    </w:p>
    <w:p w14:paraId="636B9468" w14:textId="77777777" w:rsidR="00701080" w:rsidRDefault="00701080" w:rsidP="00446241">
      <w:pPr>
        <w:rPr>
          <w:rFonts w:ascii="Arial" w:hAnsi="Arial" w:cs="Arial"/>
          <w:sz w:val="16"/>
          <w:szCs w:val="16"/>
        </w:rPr>
      </w:pPr>
    </w:p>
    <w:p w14:paraId="18E42767" w14:textId="77777777" w:rsidR="00701080" w:rsidRDefault="00701080" w:rsidP="00446241">
      <w:pPr>
        <w:rPr>
          <w:rFonts w:ascii="Arial" w:hAnsi="Arial" w:cs="Arial"/>
          <w:sz w:val="16"/>
          <w:szCs w:val="16"/>
        </w:rPr>
      </w:pPr>
    </w:p>
    <w:p w14:paraId="393B3B04" w14:textId="77777777" w:rsidR="00701080" w:rsidRDefault="00701080" w:rsidP="00446241">
      <w:pPr>
        <w:rPr>
          <w:rFonts w:ascii="Arial" w:hAnsi="Arial" w:cs="Arial"/>
          <w:sz w:val="16"/>
          <w:szCs w:val="16"/>
        </w:rPr>
      </w:pPr>
    </w:p>
    <w:p w14:paraId="1B683C94" w14:textId="77777777" w:rsidR="00701080" w:rsidRDefault="00701080" w:rsidP="00446241">
      <w:pPr>
        <w:rPr>
          <w:rFonts w:ascii="Arial" w:hAnsi="Arial" w:cs="Arial"/>
          <w:sz w:val="16"/>
          <w:szCs w:val="16"/>
        </w:rPr>
      </w:pPr>
    </w:p>
    <w:p w14:paraId="631CA03E" w14:textId="77777777" w:rsidR="00701080" w:rsidRDefault="00701080" w:rsidP="00446241">
      <w:pPr>
        <w:rPr>
          <w:rFonts w:ascii="Arial" w:hAnsi="Arial" w:cs="Arial"/>
          <w:sz w:val="16"/>
          <w:szCs w:val="16"/>
        </w:rPr>
      </w:pPr>
    </w:p>
    <w:p w14:paraId="1275CEAA" w14:textId="77777777" w:rsidR="00701080" w:rsidRDefault="00701080" w:rsidP="00446241">
      <w:pPr>
        <w:rPr>
          <w:rFonts w:ascii="Arial" w:hAnsi="Arial" w:cs="Arial"/>
          <w:sz w:val="16"/>
          <w:szCs w:val="16"/>
        </w:rPr>
      </w:pPr>
    </w:p>
    <w:p w14:paraId="4AD8363F" w14:textId="77777777" w:rsidR="00701080" w:rsidRDefault="00701080" w:rsidP="00446241">
      <w:pPr>
        <w:rPr>
          <w:rFonts w:ascii="Arial" w:hAnsi="Arial" w:cs="Arial"/>
          <w:sz w:val="16"/>
          <w:szCs w:val="16"/>
        </w:rPr>
      </w:pPr>
    </w:p>
    <w:p w14:paraId="7A1B17E2" w14:textId="4C85FA18" w:rsidR="00446241" w:rsidRPr="005C6A21" w:rsidRDefault="00446241" w:rsidP="00446241">
      <w:pPr>
        <w:rPr>
          <w:rFonts w:ascii="Arial" w:hAnsi="Arial" w:cs="Arial"/>
          <w:sz w:val="16"/>
          <w:szCs w:val="16"/>
        </w:rPr>
      </w:pPr>
      <w:r w:rsidRPr="005C6A21">
        <w:rPr>
          <w:rFonts w:ascii="Arial" w:hAnsi="Arial" w:cs="Arial"/>
          <w:sz w:val="16"/>
          <w:szCs w:val="16"/>
        </w:rPr>
        <w:lastRenderedPageBreak/>
        <w:t xml:space="preserve">Příloha č. 1 - Cenová nabídka </w:t>
      </w:r>
      <w:r w:rsidRPr="008C306F">
        <w:rPr>
          <w:rFonts w:ascii="Arial" w:hAnsi="Arial" w:cs="Arial"/>
          <w:sz w:val="16"/>
          <w:szCs w:val="16"/>
        </w:rPr>
        <w:t xml:space="preserve">č. vz501-2025 ze dne </w:t>
      </w:r>
      <w:r>
        <w:rPr>
          <w:rFonts w:ascii="Arial" w:hAnsi="Arial" w:cs="Arial"/>
          <w:sz w:val="16"/>
          <w:szCs w:val="16"/>
        </w:rPr>
        <w:t>30.11.2025</w:t>
      </w:r>
    </w:p>
    <w:p w14:paraId="7C70448A" w14:textId="77777777" w:rsidR="00446241" w:rsidRDefault="00446241" w:rsidP="00446241">
      <w:pPr>
        <w:rPr>
          <w:rFonts w:ascii="Arial" w:hAnsi="Arial" w:cs="Arial"/>
          <w:sz w:val="21"/>
          <w:szCs w:val="21"/>
        </w:rPr>
      </w:pPr>
    </w:p>
    <w:tbl>
      <w:tblPr>
        <w:tblW w:w="10428" w:type="dxa"/>
        <w:tblCellMar>
          <w:left w:w="70" w:type="dxa"/>
          <w:right w:w="70" w:type="dxa"/>
        </w:tblCellMar>
        <w:tblLook w:val="04A0" w:firstRow="1" w:lastRow="0" w:firstColumn="1" w:lastColumn="0" w:noHBand="0" w:noVBand="1"/>
      </w:tblPr>
      <w:tblGrid>
        <w:gridCol w:w="2186"/>
        <w:gridCol w:w="649"/>
        <w:gridCol w:w="161"/>
        <w:gridCol w:w="2763"/>
        <w:gridCol w:w="701"/>
        <w:gridCol w:w="1886"/>
        <w:gridCol w:w="2082"/>
      </w:tblGrid>
      <w:tr w:rsidR="00446241" w:rsidRPr="002B15A6" w14:paraId="20790FA5" w14:textId="77777777" w:rsidTr="00710CD8">
        <w:trPr>
          <w:gridAfter w:val="2"/>
          <w:wAfter w:w="3968" w:type="dxa"/>
          <w:trHeight w:val="196"/>
        </w:trPr>
        <w:tc>
          <w:tcPr>
            <w:tcW w:w="2186" w:type="dxa"/>
            <w:tcBorders>
              <w:top w:val="nil"/>
              <w:left w:val="nil"/>
              <w:bottom w:val="nil"/>
              <w:right w:val="nil"/>
            </w:tcBorders>
            <w:noWrap/>
            <w:vAlign w:val="bottom"/>
          </w:tcPr>
          <w:p w14:paraId="7A0263AE" w14:textId="77777777" w:rsidR="00446241" w:rsidRPr="005D393B" w:rsidRDefault="00446241" w:rsidP="00710CD8">
            <w:pPr>
              <w:suppressAutoHyphens w:val="0"/>
              <w:rPr>
                <w:rFonts w:ascii="Arial CE" w:hAnsi="Arial CE" w:cs="Arial CE"/>
                <w:highlight w:val="magenta"/>
                <w:lang w:eastAsia="cs-CZ"/>
              </w:rPr>
            </w:pPr>
          </w:p>
        </w:tc>
        <w:tc>
          <w:tcPr>
            <w:tcW w:w="810" w:type="dxa"/>
            <w:gridSpan w:val="2"/>
            <w:tcBorders>
              <w:top w:val="nil"/>
              <w:left w:val="nil"/>
              <w:bottom w:val="nil"/>
              <w:right w:val="nil"/>
            </w:tcBorders>
            <w:noWrap/>
            <w:vAlign w:val="bottom"/>
          </w:tcPr>
          <w:p w14:paraId="48B70CA9" w14:textId="77777777" w:rsidR="00446241" w:rsidRPr="005D393B" w:rsidRDefault="00446241" w:rsidP="00710CD8">
            <w:pPr>
              <w:suppressAutoHyphens w:val="0"/>
              <w:jc w:val="center"/>
              <w:rPr>
                <w:rFonts w:ascii="Arial CE" w:hAnsi="Arial CE" w:cs="Arial CE"/>
                <w:highlight w:val="magenta"/>
                <w:lang w:eastAsia="cs-CZ"/>
              </w:rPr>
            </w:pPr>
          </w:p>
        </w:tc>
        <w:tc>
          <w:tcPr>
            <w:tcW w:w="2763" w:type="dxa"/>
            <w:tcBorders>
              <w:top w:val="nil"/>
              <w:left w:val="nil"/>
              <w:bottom w:val="nil"/>
              <w:right w:val="nil"/>
            </w:tcBorders>
            <w:noWrap/>
            <w:vAlign w:val="bottom"/>
          </w:tcPr>
          <w:p w14:paraId="316D9260" w14:textId="77777777" w:rsidR="00446241" w:rsidRPr="002B15A6" w:rsidRDefault="00446241" w:rsidP="00710CD8">
            <w:pPr>
              <w:suppressAutoHyphens w:val="0"/>
              <w:jc w:val="center"/>
              <w:rPr>
                <w:rFonts w:ascii="Arial CE" w:hAnsi="Arial CE" w:cs="Arial CE"/>
                <w:lang w:eastAsia="cs-CZ"/>
              </w:rPr>
            </w:pPr>
          </w:p>
        </w:tc>
        <w:tc>
          <w:tcPr>
            <w:tcW w:w="701" w:type="dxa"/>
            <w:tcBorders>
              <w:top w:val="nil"/>
              <w:left w:val="nil"/>
              <w:bottom w:val="nil"/>
              <w:right w:val="nil"/>
            </w:tcBorders>
            <w:noWrap/>
            <w:vAlign w:val="bottom"/>
            <w:hideMark/>
          </w:tcPr>
          <w:p w14:paraId="539544B1" w14:textId="77777777" w:rsidR="00446241" w:rsidRPr="002B15A6" w:rsidRDefault="00446241" w:rsidP="00710CD8">
            <w:pPr>
              <w:suppressAutoHyphens w:val="0"/>
              <w:rPr>
                <w:lang w:eastAsia="cs-CZ"/>
              </w:rPr>
            </w:pPr>
          </w:p>
        </w:tc>
      </w:tr>
      <w:tr w:rsidR="00446241" w:rsidRPr="002B15A6" w14:paraId="1F6968FA" w14:textId="77777777" w:rsidTr="00710CD8">
        <w:trPr>
          <w:trHeight w:val="99"/>
        </w:trPr>
        <w:tc>
          <w:tcPr>
            <w:tcW w:w="2186" w:type="dxa"/>
            <w:tcBorders>
              <w:top w:val="nil"/>
              <w:left w:val="nil"/>
              <w:bottom w:val="nil"/>
              <w:right w:val="nil"/>
            </w:tcBorders>
            <w:noWrap/>
            <w:vAlign w:val="bottom"/>
            <w:hideMark/>
          </w:tcPr>
          <w:p w14:paraId="5F5A0282" w14:textId="77777777" w:rsidR="00446241" w:rsidRPr="002B15A6" w:rsidRDefault="00446241" w:rsidP="00710CD8">
            <w:pPr>
              <w:suppressAutoHyphens w:val="0"/>
              <w:rPr>
                <w:lang w:eastAsia="cs-CZ"/>
              </w:rPr>
            </w:pPr>
          </w:p>
        </w:tc>
        <w:tc>
          <w:tcPr>
            <w:tcW w:w="810" w:type="dxa"/>
            <w:gridSpan w:val="2"/>
            <w:tcBorders>
              <w:top w:val="nil"/>
              <w:left w:val="nil"/>
              <w:bottom w:val="nil"/>
              <w:right w:val="nil"/>
            </w:tcBorders>
            <w:noWrap/>
            <w:vAlign w:val="bottom"/>
            <w:hideMark/>
          </w:tcPr>
          <w:p w14:paraId="1B1F1FB4" w14:textId="77777777" w:rsidR="00446241" w:rsidRPr="002B15A6" w:rsidRDefault="00446241" w:rsidP="00710CD8">
            <w:pPr>
              <w:suppressAutoHyphens w:val="0"/>
              <w:rPr>
                <w:lang w:eastAsia="cs-CZ"/>
              </w:rPr>
            </w:pPr>
          </w:p>
        </w:tc>
        <w:tc>
          <w:tcPr>
            <w:tcW w:w="2763" w:type="dxa"/>
            <w:tcBorders>
              <w:top w:val="nil"/>
              <w:left w:val="nil"/>
              <w:bottom w:val="nil"/>
              <w:right w:val="nil"/>
            </w:tcBorders>
            <w:noWrap/>
            <w:vAlign w:val="bottom"/>
            <w:hideMark/>
          </w:tcPr>
          <w:p w14:paraId="140FF424" w14:textId="77777777" w:rsidR="00446241" w:rsidRPr="002B15A6" w:rsidRDefault="00446241" w:rsidP="00710CD8">
            <w:pPr>
              <w:suppressAutoHyphens w:val="0"/>
              <w:rPr>
                <w:lang w:eastAsia="cs-CZ"/>
              </w:rPr>
            </w:pPr>
          </w:p>
        </w:tc>
        <w:tc>
          <w:tcPr>
            <w:tcW w:w="701" w:type="dxa"/>
            <w:tcBorders>
              <w:top w:val="nil"/>
              <w:left w:val="nil"/>
              <w:bottom w:val="nil"/>
              <w:right w:val="nil"/>
            </w:tcBorders>
            <w:noWrap/>
            <w:vAlign w:val="bottom"/>
            <w:hideMark/>
          </w:tcPr>
          <w:p w14:paraId="4315C1F3" w14:textId="77777777" w:rsidR="00446241" w:rsidRPr="002B15A6" w:rsidRDefault="00446241" w:rsidP="00710CD8">
            <w:pPr>
              <w:suppressAutoHyphens w:val="0"/>
              <w:rPr>
                <w:lang w:eastAsia="cs-CZ"/>
              </w:rPr>
            </w:pPr>
          </w:p>
        </w:tc>
        <w:tc>
          <w:tcPr>
            <w:tcW w:w="1886" w:type="dxa"/>
            <w:tcBorders>
              <w:top w:val="nil"/>
              <w:left w:val="nil"/>
              <w:bottom w:val="nil"/>
              <w:right w:val="nil"/>
            </w:tcBorders>
            <w:noWrap/>
            <w:vAlign w:val="bottom"/>
            <w:hideMark/>
          </w:tcPr>
          <w:p w14:paraId="34BE5BF3" w14:textId="77777777" w:rsidR="00446241" w:rsidRPr="002B15A6" w:rsidRDefault="00446241" w:rsidP="00710CD8">
            <w:pPr>
              <w:suppressAutoHyphens w:val="0"/>
              <w:jc w:val="center"/>
              <w:rPr>
                <w:lang w:eastAsia="cs-CZ"/>
              </w:rPr>
            </w:pPr>
          </w:p>
        </w:tc>
        <w:tc>
          <w:tcPr>
            <w:tcW w:w="2082" w:type="dxa"/>
            <w:tcBorders>
              <w:top w:val="nil"/>
              <w:left w:val="nil"/>
              <w:bottom w:val="nil"/>
              <w:right w:val="nil"/>
            </w:tcBorders>
            <w:noWrap/>
            <w:vAlign w:val="bottom"/>
            <w:hideMark/>
          </w:tcPr>
          <w:p w14:paraId="05DA367F" w14:textId="77777777" w:rsidR="00446241" w:rsidRPr="002B15A6" w:rsidRDefault="00446241" w:rsidP="00710CD8">
            <w:pPr>
              <w:suppressAutoHyphens w:val="0"/>
              <w:rPr>
                <w:lang w:eastAsia="cs-CZ"/>
              </w:rPr>
            </w:pPr>
          </w:p>
        </w:tc>
      </w:tr>
      <w:tr w:rsidR="00446241" w:rsidRPr="002B15A6" w14:paraId="0F4CE22E" w14:textId="77777777" w:rsidTr="00710CD8">
        <w:trPr>
          <w:gridAfter w:val="2"/>
          <w:wAfter w:w="3968" w:type="dxa"/>
          <w:trHeight w:val="313"/>
        </w:trPr>
        <w:tc>
          <w:tcPr>
            <w:tcW w:w="2835" w:type="dxa"/>
            <w:gridSpan w:val="2"/>
            <w:tcBorders>
              <w:top w:val="nil"/>
              <w:left w:val="nil"/>
              <w:bottom w:val="nil"/>
              <w:right w:val="nil"/>
            </w:tcBorders>
            <w:noWrap/>
            <w:vAlign w:val="bottom"/>
            <w:hideMark/>
          </w:tcPr>
          <w:p w14:paraId="29ECF332" w14:textId="77777777" w:rsidR="00446241" w:rsidRPr="002B15A6" w:rsidRDefault="00446241" w:rsidP="00710CD8">
            <w:pPr>
              <w:suppressAutoHyphens w:val="0"/>
              <w:rPr>
                <w:rFonts w:ascii="Arial CE" w:hAnsi="Arial CE" w:cs="Arial CE"/>
                <w:b/>
                <w:bCs/>
                <w:sz w:val="32"/>
                <w:szCs w:val="32"/>
                <w:lang w:eastAsia="cs-CZ"/>
              </w:rPr>
            </w:pPr>
            <w:r w:rsidRPr="002B15A6">
              <w:rPr>
                <w:rFonts w:ascii="Arial CE" w:hAnsi="Arial CE" w:cs="Arial CE"/>
                <w:b/>
                <w:bCs/>
                <w:sz w:val="32"/>
                <w:szCs w:val="32"/>
                <w:lang w:eastAsia="cs-CZ"/>
              </w:rPr>
              <w:t>DETAILNÍ POPIS NABÍDKY</w:t>
            </w:r>
          </w:p>
        </w:tc>
        <w:tc>
          <w:tcPr>
            <w:tcW w:w="161" w:type="dxa"/>
            <w:tcBorders>
              <w:top w:val="nil"/>
              <w:left w:val="nil"/>
              <w:bottom w:val="nil"/>
              <w:right w:val="nil"/>
            </w:tcBorders>
            <w:noWrap/>
            <w:vAlign w:val="bottom"/>
            <w:hideMark/>
          </w:tcPr>
          <w:p w14:paraId="023A9DBC" w14:textId="77777777" w:rsidR="00446241" w:rsidRPr="002B15A6" w:rsidRDefault="00446241" w:rsidP="00710CD8">
            <w:pPr>
              <w:suppressAutoHyphens w:val="0"/>
              <w:rPr>
                <w:rFonts w:ascii="Arial CE" w:hAnsi="Arial CE" w:cs="Arial CE"/>
                <w:b/>
                <w:bCs/>
                <w:sz w:val="32"/>
                <w:szCs w:val="32"/>
                <w:lang w:eastAsia="cs-CZ"/>
              </w:rPr>
            </w:pPr>
          </w:p>
        </w:tc>
        <w:tc>
          <w:tcPr>
            <w:tcW w:w="2763" w:type="dxa"/>
            <w:tcBorders>
              <w:top w:val="nil"/>
              <w:left w:val="nil"/>
              <w:bottom w:val="nil"/>
              <w:right w:val="nil"/>
            </w:tcBorders>
            <w:noWrap/>
            <w:vAlign w:val="bottom"/>
            <w:hideMark/>
          </w:tcPr>
          <w:p w14:paraId="1DC1DD3C" w14:textId="77777777" w:rsidR="00446241" w:rsidRPr="002B15A6" w:rsidRDefault="00446241" w:rsidP="00710CD8">
            <w:pPr>
              <w:suppressAutoHyphens w:val="0"/>
              <w:jc w:val="center"/>
              <w:rPr>
                <w:lang w:eastAsia="cs-CZ"/>
              </w:rPr>
            </w:pPr>
          </w:p>
        </w:tc>
        <w:tc>
          <w:tcPr>
            <w:tcW w:w="701" w:type="dxa"/>
            <w:tcBorders>
              <w:top w:val="nil"/>
              <w:left w:val="nil"/>
              <w:bottom w:val="nil"/>
              <w:right w:val="nil"/>
            </w:tcBorders>
            <w:noWrap/>
            <w:vAlign w:val="bottom"/>
            <w:hideMark/>
          </w:tcPr>
          <w:p w14:paraId="31511985" w14:textId="77777777" w:rsidR="00446241" w:rsidRPr="002B15A6" w:rsidRDefault="00446241" w:rsidP="00710CD8">
            <w:pPr>
              <w:suppressAutoHyphens w:val="0"/>
              <w:rPr>
                <w:lang w:eastAsia="cs-CZ"/>
              </w:rPr>
            </w:pPr>
          </w:p>
        </w:tc>
      </w:tr>
      <w:tr w:rsidR="00446241" w:rsidRPr="002B15A6" w14:paraId="7497EB88" w14:textId="77777777" w:rsidTr="00710CD8">
        <w:trPr>
          <w:trHeight w:val="111"/>
        </w:trPr>
        <w:tc>
          <w:tcPr>
            <w:tcW w:w="2186" w:type="dxa"/>
            <w:tcBorders>
              <w:top w:val="nil"/>
              <w:left w:val="nil"/>
              <w:bottom w:val="nil"/>
              <w:right w:val="nil"/>
            </w:tcBorders>
            <w:noWrap/>
            <w:vAlign w:val="bottom"/>
            <w:hideMark/>
          </w:tcPr>
          <w:p w14:paraId="138DB08B" w14:textId="77777777" w:rsidR="00446241" w:rsidRPr="002B15A6" w:rsidRDefault="00446241" w:rsidP="00710CD8">
            <w:pPr>
              <w:suppressAutoHyphens w:val="0"/>
              <w:rPr>
                <w:lang w:eastAsia="cs-CZ"/>
              </w:rPr>
            </w:pPr>
          </w:p>
        </w:tc>
        <w:tc>
          <w:tcPr>
            <w:tcW w:w="810" w:type="dxa"/>
            <w:gridSpan w:val="2"/>
            <w:tcBorders>
              <w:top w:val="nil"/>
              <w:left w:val="nil"/>
              <w:bottom w:val="nil"/>
              <w:right w:val="nil"/>
            </w:tcBorders>
            <w:noWrap/>
            <w:vAlign w:val="bottom"/>
            <w:hideMark/>
          </w:tcPr>
          <w:p w14:paraId="3DBA6FF4" w14:textId="77777777" w:rsidR="00446241" w:rsidRPr="002B15A6" w:rsidRDefault="00446241" w:rsidP="00710CD8">
            <w:pPr>
              <w:suppressAutoHyphens w:val="0"/>
              <w:rPr>
                <w:lang w:eastAsia="cs-CZ"/>
              </w:rPr>
            </w:pPr>
          </w:p>
        </w:tc>
        <w:tc>
          <w:tcPr>
            <w:tcW w:w="2763" w:type="dxa"/>
            <w:tcBorders>
              <w:top w:val="nil"/>
              <w:left w:val="nil"/>
              <w:bottom w:val="nil"/>
              <w:right w:val="nil"/>
            </w:tcBorders>
            <w:noWrap/>
            <w:vAlign w:val="bottom"/>
            <w:hideMark/>
          </w:tcPr>
          <w:p w14:paraId="3465CAF8" w14:textId="77777777" w:rsidR="00446241" w:rsidRPr="002B15A6" w:rsidRDefault="00446241" w:rsidP="00710CD8">
            <w:pPr>
              <w:suppressAutoHyphens w:val="0"/>
              <w:rPr>
                <w:lang w:eastAsia="cs-CZ"/>
              </w:rPr>
            </w:pPr>
          </w:p>
        </w:tc>
        <w:tc>
          <w:tcPr>
            <w:tcW w:w="701" w:type="dxa"/>
            <w:tcBorders>
              <w:top w:val="nil"/>
              <w:left w:val="nil"/>
              <w:bottom w:val="nil"/>
              <w:right w:val="nil"/>
            </w:tcBorders>
            <w:noWrap/>
            <w:vAlign w:val="bottom"/>
            <w:hideMark/>
          </w:tcPr>
          <w:p w14:paraId="40285214" w14:textId="77777777" w:rsidR="00446241" w:rsidRPr="002B15A6" w:rsidRDefault="00446241" w:rsidP="00710CD8">
            <w:pPr>
              <w:suppressAutoHyphens w:val="0"/>
              <w:rPr>
                <w:lang w:eastAsia="cs-CZ"/>
              </w:rPr>
            </w:pPr>
          </w:p>
        </w:tc>
        <w:tc>
          <w:tcPr>
            <w:tcW w:w="1886" w:type="dxa"/>
            <w:tcBorders>
              <w:top w:val="nil"/>
              <w:left w:val="nil"/>
              <w:bottom w:val="nil"/>
              <w:right w:val="nil"/>
            </w:tcBorders>
            <w:noWrap/>
            <w:vAlign w:val="bottom"/>
            <w:hideMark/>
          </w:tcPr>
          <w:p w14:paraId="65E195C4" w14:textId="77777777" w:rsidR="00446241" w:rsidRPr="002B15A6" w:rsidRDefault="00446241" w:rsidP="00710CD8">
            <w:pPr>
              <w:suppressAutoHyphens w:val="0"/>
              <w:jc w:val="center"/>
              <w:rPr>
                <w:lang w:eastAsia="cs-CZ"/>
              </w:rPr>
            </w:pPr>
          </w:p>
        </w:tc>
        <w:tc>
          <w:tcPr>
            <w:tcW w:w="2082" w:type="dxa"/>
            <w:tcBorders>
              <w:top w:val="nil"/>
              <w:left w:val="nil"/>
              <w:bottom w:val="nil"/>
              <w:right w:val="nil"/>
            </w:tcBorders>
            <w:noWrap/>
            <w:vAlign w:val="bottom"/>
            <w:hideMark/>
          </w:tcPr>
          <w:p w14:paraId="1A3B6B81" w14:textId="77777777" w:rsidR="00446241" w:rsidRPr="002B15A6" w:rsidRDefault="00446241" w:rsidP="00710CD8">
            <w:pPr>
              <w:suppressAutoHyphens w:val="0"/>
              <w:rPr>
                <w:lang w:eastAsia="cs-CZ"/>
              </w:rPr>
            </w:pPr>
          </w:p>
        </w:tc>
      </w:tr>
    </w:tbl>
    <w:p w14:paraId="0333BF0A" w14:textId="77777777" w:rsidR="00446241" w:rsidRDefault="00446241" w:rsidP="00446241"/>
    <w:tbl>
      <w:tblPr>
        <w:tblW w:w="10428" w:type="dxa"/>
        <w:tblCellMar>
          <w:left w:w="70" w:type="dxa"/>
          <w:right w:w="70" w:type="dxa"/>
        </w:tblCellMar>
        <w:tblLook w:val="04A0" w:firstRow="1" w:lastRow="0" w:firstColumn="1" w:lastColumn="0" w:noHBand="0" w:noVBand="1"/>
      </w:tblPr>
      <w:tblGrid>
        <w:gridCol w:w="1555"/>
        <w:gridCol w:w="992"/>
        <w:gridCol w:w="2977"/>
        <w:gridCol w:w="708"/>
        <w:gridCol w:w="1560"/>
        <w:gridCol w:w="554"/>
        <w:gridCol w:w="1288"/>
        <w:gridCol w:w="794"/>
      </w:tblGrid>
      <w:tr w:rsidR="00446241" w:rsidRPr="008C306F" w14:paraId="27028CC7" w14:textId="77777777" w:rsidTr="00710CD8">
        <w:trPr>
          <w:gridAfter w:val="1"/>
          <w:wAfter w:w="794" w:type="dxa"/>
          <w:trHeight w:val="660"/>
        </w:trPr>
        <w:tc>
          <w:tcPr>
            <w:tcW w:w="155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3349535"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Položka</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434D0366" w14:textId="77777777" w:rsidR="00446241" w:rsidRPr="008C306F" w:rsidRDefault="00446241" w:rsidP="00710CD8">
            <w:pPr>
              <w:suppressAutoHyphens w:val="0"/>
              <w:jc w:val="center"/>
              <w:rPr>
                <w:rFonts w:ascii="Arial CE" w:hAnsi="Arial CE" w:cs="Arial CE"/>
                <w:b/>
                <w:bCs/>
                <w:sz w:val="18"/>
                <w:szCs w:val="18"/>
                <w:lang w:eastAsia="cs-CZ"/>
              </w:rPr>
            </w:pPr>
            <w:proofErr w:type="spellStart"/>
            <w:r w:rsidRPr="008C306F">
              <w:rPr>
                <w:rFonts w:ascii="Arial CE" w:hAnsi="Arial CE" w:cs="Arial CE"/>
                <w:b/>
                <w:bCs/>
                <w:sz w:val="18"/>
                <w:szCs w:val="18"/>
                <w:lang w:eastAsia="cs-CZ"/>
              </w:rPr>
              <w:t>Objedn</w:t>
            </w:r>
            <w:proofErr w:type="spellEnd"/>
            <w:r w:rsidRPr="008C306F">
              <w:rPr>
                <w:rFonts w:ascii="Arial CE" w:hAnsi="Arial CE" w:cs="Arial CE"/>
                <w:b/>
                <w:bCs/>
                <w:sz w:val="18"/>
                <w:szCs w:val="18"/>
                <w:lang w:eastAsia="cs-CZ"/>
              </w:rPr>
              <w:t>. číslo</w:t>
            </w:r>
          </w:p>
        </w:tc>
        <w:tc>
          <w:tcPr>
            <w:tcW w:w="2977" w:type="dxa"/>
            <w:tcBorders>
              <w:top w:val="single" w:sz="4" w:space="0" w:color="auto"/>
              <w:left w:val="nil"/>
              <w:bottom w:val="single" w:sz="4" w:space="0" w:color="auto"/>
              <w:right w:val="single" w:sz="4" w:space="0" w:color="auto"/>
            </w:tcBorders>
            <w:shd w:val="clear" w:color="000000" w:fill="C0C0C0"/>
            <w:vAlign w:val="center"/>
            <w:hideMark/>
          </w:tcPr>
          <w:p w14:paraId="7C88353F"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Popis produktu</w:t>
            </w:r>
          </w:p>
        </w:tc>
        <w:tc>
          <w:tcPr>
            <w:tcW w:w="708" w:type="dxa"/>
            <w:tcBorders>
              <w:top w:val="single" w:sz="4" w:space="0" w:color="auto"/>
              <w:left w:val="nil"/>
              <w:bottom w:val="single" w:sz="4" w:space="0" w:color="auto"/>
              <w:right w:val="single" w:sz="4" w:space="0" w:color="auto"/>
            </w:tcBorders>
            <w:shd w:val="clear" w:color="000000" w:fill="C0C0C0"/>
            <w:vAlign w:val="center"/>
            <w:hideMark/>
          </w:tcPr>
          <w:p w14:paraId="106F9FE2"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Počet kusů</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25556D75"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Cena za 1 kus bez DPH</w:t>
            </w:r>
          </w:p>
        </w:tc>
        <w:tc>
          <w:tcPr>
            <w:tcW w:w="1842" w:type="dxa"/>
            <w:gridSpan w:val="2"/>
            <w:tcBorders>
              <w:top w:val="single" w:sz="4" w:space="0" w:color="auto"/>
              <w:left w:val="nil"/>
              <w:bottom w:val="single" w:sz="4" w:space="0" w:color="auto"/>
              <w:right w:val="single" w:sz="4" w:space="0" w:color="auto"/>
            </w:tcBorders>
            <w:shd w:val="clear" w:color="000000" w:fill="C0C0C0"/>
            <w:vAlign w:val="center"/>
            <w:hideMark/>
          </w:tcPr>
          <w:p w14:paraId="5954D880"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Cena celkem bez DPH</w:t>
            </w:r>
          </w:p>
        </w:tc>
      </w:tr>
      <w:tr w:rsidR="00446241" w:rsidRPr="008C306F" w14:paraId="1969AEC8" w14:textId="77777777" w:rsidTr="00710CD8">
        <w:trPr>
          <w:gridAfter w:val="1"/>
          <w:wAfter w:w="794" w:type="dxa"/>
          <w:trHeight w:val="458"/>
        </w:trPr>
        <w:tc>
          <w:tcPr>
            <w:tcW w:w="1555" w:type="dxa"/>
            <w:tcBorders>
              <w:top w:val="nil"/>
              <w:left w:val="single" w:sz="4" w:space="0" w:color="auto"/>
              <w:bottom w:val="single" w:sz="4" w:space="0" w:color="auto"/>
              <w:right w:val="single" w:sz="4" w:space="0" w:color="auto"/>
            </w:tcBorders>
            <w:vAlign w:val="center"/>
            <w:hideMark/>
          </w:tcPr>
          <w:p w14:paraId="27DF85D0"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1.</w:t>
            </w:r>
          </w:p>
        </w:tc>
        <w:tc>
          <w:tcPr>
            <w:tcW w:w="992" w:type="dxa"/>
            <w:tcBorders>
              <w:top w:val="nil"/>
              <w:left w:val="nil"/>
              <w:bottom w:val="single" w:sz="4" w:space="0" w:color="auto"/>
              <w:right w:val="single" w:sz="4" w:space="0" w:color="auto"/>
            </w:tcBorders>
            <w:noWrap/>
            <w:vAlign w:val="center"/>
            <w:hideMark/>
          </w:tcPr>
          <w:p w14:paraId="451D3608" w14:textId="77777777" w:rsidR="00446241" w:rsidRPr="008C306F" w:rsidRDefault="00446241" w:rsidP="00710CD8">
            <w:pPr>
              <w:suppressAutoHyphens w:val="0"/>
              <w:jc w:val="center"/>
              <w:rPr>
                <w:rFonts w:ascii="Arial" w:hAnsi="Arial" w:cs="Arial"/>
                <w:b/>
                <w:bCs/>
                <w:sz w:val="18"/>
                <w:szCs w:val="18"/>
                <w:lang w:eastAsia="cs-CZ"/>
              </w:rPr>
            </w:pPr>
            <w:r w:rsidRPr="008C306F">
              <w:rPr>
                <w:rFonts w:ascii="Arial" w:hAnsi="Arial" w:cs="Arial"/>
                <w:b/>
                <w:bCs/>
                <w:sz w:val="18"/>
                <w:szCs w:val="18"/>
                <w:lang w:eastAsia="cs-CZ"/>
              </w:rPr>
              <w:t>IAP-0700</w:t>
            </w:r>
          </w:p>
        </w:tc>
        <w:tc>
          <w:tcPr>
            <w:tcW w:w="2977" w:type="dxa"/>
            <w:tcBorders>
              <w:top w:val="nil"/>
              <w:left w:val="nil"/>
              <w:bottom w:val="single" w:sz="4" w:space="0" w:color="auto"/>
              <w:right w:val="single" w:sz="4" w:space="0" w:color="auto"/>
            </w:tcBorders>
            <w:vAlign w:val="center"/>
            <w:hideMark/>
          </w:tcPr>
          <w:p w14:paraId="4B4641D1" w14:textId="77777777" w:rsidR="00446241" w:rsidRDefault="00446241" w:rsidP="00710CD8">
            <w:pPr>
              <w:suppressAutoHyphens w:val="0"/>
              <w:rPr>
                <w:rFonts w:ascii="Arial CE" w:hAnsi="Arial CE" w:cs="Arial CE"/>
                <w:b/>
                <w:bCs/>
                <w:sz w:val="18"/>
                <w:szCs w:val="18"/>
                <w:lang w:eastAsia="cs-CZ"/>
              </w:rPr>
            </w:pPr>
            <w:r w:rsidRPr="008C306F">
              <w:rPr>
                <w:rFonts w:ascii="Arial CE" w:hAnsi="Arial CE" w:cs="Arial CE"/>
                <w:b/>
                <w:bCs/>
                <w:sz w:val="18"/>
                <w:szCs w:val="18"/>
                <w:lang w:eastAsia="cs-CZ"/>
              </w:rPr>
              <w:t xml:space="preserve">IAB Pump Console-AC3 </w:t>
            </w:r>
            <w:proofErr w:type="spellStart"/>
            <w:r w:rsidRPr="008C306F">
              <w:rPr>
                <w:rFonts w:ascii="Arial CE" w:hAnsi="Arial CE" w:cs="Arial CE"/>
                <w:b/>
                <w:bCs/>
                <w:sz w:val="18"/>
                <w:szCs w:val="18"/>
                <w:lang w:eastAsia="cs-CZ"/>
              </w:rPr>
              <w:t>Optimus</w:t>
            </w:r>
            <w:proofErr w:type="spellEnd"/>
          </w:p>
          <w:p w14:paraId="0CAEB6F6" w14:textId="0191958F" w:rsidR="006801A2" w:rsidRPr="008C306F" w:rsidRDefault="006801A2" w:rsidP="00710CD8">
            <w:pPr>
              <w:suppressAutoHyphens w:val="0"/>
              <w:rPr>
                <w:rFonts w:ascii="Arial CE" w:hAnsi="Arial CE" w:cs="Arial CE"/>
                <w:b/>
                <w:bCs/>
                <w:sz w:val="18"/>
                <w:szCs w:val="18"/>
                <w:lang w:eastAsia="cs-CZ"/>
              </w:rPr>
            </w:pPr>
            <w:r>
              <w:rPr>
                <w:rFonts w:ascii="Arial CE" w:hAnsi="Arial CE" w:cs="Arial CE"/>
                <w:b/>
                <w:bCs/>
                <w:sz w:val="18"/>
                <w:szCs w:val="18"/>
                <w:lang w:eastAsia="cs-CZ"/>
              </w:rPr>
              <w:t xml:space="preserve">Včetně: </w:t>
            </w:r>
            <w:r w:rsidRPr="00363860">
              <w:rPr>
                <w:rFonts w:ascii="Calibri" w:hAnsi="Calibri" w:cs="Calibri"/>
                <w:szCs w:val="22"/>
              </w:rPr>
              <w:t>Startovací</w:t>
            </w:r>
            <w:r>
              <w:rPr>
                <w:rFonts w:ascii="Calibri" w:hAnsi="Calibri" w:cs="Calibri"/>
                <w:szCs w:val="22"/>
              </w:rPr>
              <w:t>ho</w:t>
            </w:r>
            <w:r w:rsidRPr="00363860">
              <w:rPr>
                <w:rFonts w:ascii="Calibri" w:hAnsi="Calibri" w:cs="Calibri"/>
                <w:szCs w:val="22"/>
              </w:rPr>
              <w:t xml:space="preserve"> balíčk</w:t>
            </w:r>
            <w:r>
              <w:rPr>
                <w:rFonts w:ascii="Calibri" w:hAnsi="Calibri" w:cs="Calibri"/>
                <w:szCs w:val="22"/>
              </w:rPr>
              <w:t>u</w:t>
            </w:r>
            <w:r w:rsidRPr="00363860">
              <w:rPr>
                <w:rFonts w:ascii="Calibri" w:hAnsi="Calibri" w:cs="Calibri"/>
                <w:szCs w:val="22"/>
              </w:rPr>
              <w:t xml:space="preserve"> pro </w:t>
            </w:r>
            <w:r>
              <w:rPr>
                <w:rFonts w:ascii="Calibri" w:hAnsi="Calibri" w:cs="Calibri"/>
                <w:szCs w:val="22"/>
              </w:rPr>
              <w:t xml:space="preserve">vyzkoušení a </w:t>
            </w:r>
            <w:r w:rsidRPr="00363860">
              <w:rPr>
                <w:rFonts w:ascii="Calibri" w:hAnsi="Calibri" w:cs="Calibri"/>
                <w:szCs w:val="22"/>
              </w:rPr>
              <w:t>zahájení provozu</w:t>
            </w:r>
          </w:p>
        </w:tc>
        <w:tc>
          <w:tcPr>
            <w:tcW w:w="708" w:type="dxa"/>
            <w:tcBorders>
              <w:top w:val="nil"/>
              <w:left w:val="nil"/>
              <w:bottom w:val="single" w:sz="4" w:space="0" w:color="auto"/>
              <w:right w:val="single" w:sz="4" w:space="0" w:color="auto"/>
            </w:tcBorders>
            <w:noWrap/>
            <w:vAlign w:val="center"/>
            <w:hideMark/>
          </w:tcPr>
          <w:p w14:paraId="25ADBDFB"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1</w:t>
            </w:r>
          </w:p>
        </w:tc>
        <w:tc>
          <w:tcPr>
            <w:tcW w:w="1560" w:type="dxa"/>
            <w:tcBorders>
              <w:top w:val="nil"/>
              <w:left w:val="nil"/>
              <w:bottom w:val="single" w:sz="4" w:space="0" w:color="auto"/>
              <w:right w:val="single" w:sz="4" w:space="0" w:color="auto"/>
            </w:tcBorders>
            <w:noWrap/>
            <w:vAlign w:val="center"/>
            <w:hideMark/>
          </w:tcPr>
          <w:p w14:paraId="155E0C05" w14:textId="77777777" w:rsidR="00446241" w:rsidRPr="008C306F" w:rsidRDefault="00446241" w:rsidP="00710CD8">
            <w:pPr>
              <w:suppressAutoHyphens w:val="0"/>
              <w:rPr>
                <w:rFonts w:ascii="Arial CE" w:hAnsi="Arial CE" w:cs="Arial CE"/>
                <w:b/>
                <w:bCs/>
                <w:sz w:val="18"/>
                <w:szCs w:val="18"/>
                <w:lang w:eastAsia="cs-CZ"/>
              </w:rPr>
            </w:pPr>
            <w:r w:rsidRPr="00AF322D">
              <w:rPr>
                <w:rFonts w:ascii="Arial CE" w:hAnsi="Arial CE" w:cs="Arial CE"/>
                <w:b/>
                <w:bCs/>
                <w:sz w:val="18"/>
                <w:szCs w:val="18"/>
                <w:lang w:eastAsia="cs-CZ"/>
              </w:rPr>
              <w:t>1 086 000,00 Kč</w:t>
            </w:r>
          </w:p>
        </w:tc>
        <w:tc>
          <w:tcPr>
            <w:tcW w:w="1842" w:type="dxa"/>
            <w:gridSpan w:val="2"/>
            <w:tcBorders>
              <w:top w:val="nil"/>
              <w:left w:val="nil"/>
              <w:bottom w:val="single" w:sz="4" w:space="0" w:color="auto"/>
              <w:right w:val="single" w:sz="4" w:space="0" w:color="auto"/>
            </w:tcBorders>
            <w:noWrap/>
            <w:vAlign w:val="center"/>
            <w:hideMark/>
          </w:tcPr>
          <w:p w14:paraId="53FFDA61" w14:textId="77777777" w:rsidR="00446241" w:rsidRPr="008C306F" w:rsidRDefault="00446241" w:rsidP="00710CD8">
            <w:pPr>
              <w:suppressAutoHyphens w:val="0"/>
              <w:jc w:val="right"/>
              <w:rPr>
                <w:rFonts w:ascii="Arial CE" w:hAnsi="Arial CE" w:cs="Arial CE"/>
                <w:b/>
                <w:bCs/>
                <w:sz w:val="18"/>
                <w:szCs w:val="18"/>
                <w:lang w:eastAsia="cs-CZ"/>
              </w:rPr>
            </w:pPr>
            <w:r w:rsidRPr="00AF322D">
              <w:rPr>
                <w:rFonts w:ascii="Arial CE" w:hAnsi="Arial CE" w:cs="Arial CE"/>
                <w:b/>
                <w:bCs/>
                <w:sz w:val="18"/>
                <w:szCs w:val="18"/>
                <w:lang w:eastAsia="cs-CZ"/>
              </w:rPr>
              <w:t>1 086 000,00 Kč</w:t>
            </w:r>
          </w:p>
        </w:tc>
      </w:tr>
      <w:tr w:rsidR="00446241" w:rsidRPr="008C306F" w14:paraId="549B44AC" w14:textId="77777777" w:rsidTr="00710CD8">
        <w:trPr>
          <w:gridAfter w:val="1"/>
          <w:wAfter w:w="794" w:type="dxa"/>
          <w:trHeight w:val="196"/>
        </w:trPr>
        <w:tc>
          <w:tcPr>
            <w:tcW w:w="1555" w:type="dxa"/>
            <w:tcBorders>
              <w:top w:val="nil"/>
              <w:left w:val="nil"/>
              <w:bottom w:val="nil"/>
              <w:right w:val="nil"/>
            </w:tcBorders>
            <w:noWrap/>
            <w:vAlign w:val="bottom"/>
            <w:hideMark/>
          </w:tcPr>
          <w:p w14:paraId="0662E595" w14:textId="77777777" w:rsidR="00446241" w:rsidRPr="008C306F" w:rsidRDefault="00446241" w:rsidP="00710CD8">
            <w:pPr>
              <w:suppressAutoHyphens w:val="0"/>
              <w:jc w:val="right"/>
              <w:rPr>
                <w:rFonts w:ascii="Arial CE" w:hAnsi="Arial CE" w:cs="Arial CE"/>
                <w:b/>
                <w:bCs/>
                <w:sz w:val="18"/>
                <w:szCs w:val="18"/>
                <w:lang w:eastAsia="cs-CZ"/>
              </w:rPr>
            </w:pPr>
          </w:p>
        </w:tc>
        <w:tc>
          <w:tcPr>
            <w:tcW w:w="992" w:type="dxa"/>
            <w:tcBorders>
              <w:top w:val="nil"/>
              <w:left w:val="nil"/>
              <w:bottom w:val="nil"/>
              <w:right w:val="nil"/>
            </w:tcBorders>
            <w:noWrap/>
            <w:vAlign w:val="bottom"/>
            <w:hideMark/>
          </w:tcPr>
          <w:p w14:paraId="1B0E3E14" w14:textId="77777777" w:rsidR="00446241" w:rsidRPr="008C306F" w:rsidRDefault="00446241" w:rsidP="00710CD8">
            <w:pPr>
              <w:suppressAutoHyphens w:val="0"/>
              <w:rPr>
                <w:sz w:val="18"/>
                <w:szCs w:val="18"/>
                <w:lang w:eastAsia="cs-CZ"/>
              </w:rPr>
            </w:pPr>
          </w:p>
        </w:tc>
        <w:tc>
          <w:tcPr>
            <w:tcW w:w="2977" w:type="dxa"/>
            <w:tcBorders>
              <w:top w:val="nil"/>
              <w:left w:val="nil"/>
              <w:bottom w:val="nil"/>
              <w:right w:val="nil"/>
            </w:tcBorders>
            <w:noWrap/>
            <w:vAlign w:val="bottom"/>
            <w:hideMark/>
          </w:tcPr>
          <w:p w14:paraId="0C703A8B" w14:textId="77777777" w:rsidR="00446241" w:rsidRPr="008C306F" w:rsidRDefault="00446241" w:rsidP="00710CD8">
            <w:pPr>
              <w:suppressAutoHyphens w:val="0"/>
              <w:rPr>
                <w:sz w:val="18"/>
                <w:szCs w:val="18"/>
                <w:lang w:eastAsia="cs-CZ"/>
              </w:rPr>
            </w:pPr>
          </w:p>
        </w:tc>
        <w:tc>
          <w:tcPr>
            <w:tcW w:w="708" w:type="dxa"/>
            <w:tcBorders>
              <w:top w:val="nil"/>
              <w:left w:val="nil"/>
              <w:bottom w:val="nil"/>
              <w:right w:val="nil"/>
            </w:tcBorders>
            <w:noWrap/>
            <w:vAlign w:val="bottom"/>
            <w:hideMark/>
          </w:tcPr>
          <w:p w14:paraId="48829F97" w14:textId="77777777" w:rsidR="00446241" w:rsidRPr="008C306F" w:rsidRDefault="00446241" w:rsidP="00710CD8">
            <w:pPr>
              <w:suppressAutoHyphens w:val="0"/>
              <w:rPr>
                <w:sz w:val="18"/>
                <w:szCs w:val="18"/>
                <w:lang w:eastAsia="cs-CZ"/>
              </w:rPr>
            </w:pPr>
          </w:p>
        </w:tc>
        <w:tc>
          <w:tcPr>
            <w:tcW w:w="1560" w:type="dxa"/>
            <w:tcBorders>
              <w:top w:val="nil"/>
              <w:left w:val="nil"/>
              <w:bottom w:val="nil"/>
              <w:right w:val="nil"/>
            </w:tcBorders>
            <w:noWrap/>
            <w:vAlign w:val="bottom"/>
            <w:hideMark/>
          </w:tcPr>
          <w:p w14:paraId="56314D6E" w14:textId="77777777" w:rsidR="00446241" w:rsidRPr="008C306F" w:rsidRDefault="00446241" w:rsidP="00710CD8">
            <w:pPr>
              <w:suppressAutoHyphens w:val="0"/>
              <w:jc w:val="center"/>
              <w:rPr>
                <w:sz w:val="18"/>
                <w:szCs w:val="18"/>
                <w:lang w:eastAsia="cs-CZ"/>
              </w:rPr>
            </w:pPr>
          </w:p>
        </w:tc>
        <w:tc>
          <w:tcPr>
            <w:tcW w:w="1842" w:type="dxa"/>
            <w:gridSpan w:val="2"/>
            <w:tcBorders>
              <w:top w:val="nil"/>
              <w:left w:val="nil"/>
              <w:bottom w:val="nil"/>
              <w:right w:val="nil"/>
            </w:tcBorders>
            <w:noWrap/>
            <w:vAlign w:val="bottom"/>
            <w:hideMark/>
          </w:tcPr>
          <w:p w14:paraId="3C744C2E" w14:textId="77777777" w:rsidR="00446241" w:rsidRPr="008C306F" w:rsidRDefault="00446241" w:rsidP="00710CD8">
            <w:pPr>
              <w:suppressAutoHyphens w:val="0"/>
              <w:rPr>
                <w:sz w:val="18"/>
                <w:szCs w:val="18"/>
                <w:lang w:eastAsia="cs-CZ"/>
              </w:rPr>
            </w:pPr>
          </w:p>
        </w:tc>
      </w:tr>
      <w:tr w:rsidR="00446241" w:rsidRPr="008C306F" w14:paraId="7944A02A" w14:textId="77777777" w:rsidTr="00710CD8">
        <w:trPr>
          <w:gridAfter w:val="1"/>
          <w:wAfter w:w="794" w:type="dxa"/>
          <w:trHeight w:val="232"/>
        </w:trPr>
        <w:tc>
          <w:tcPr>
            <w:tcW w:w="1555" w:type="dxa"/>
            <w:tcBorders>
              <w:top w:val="nil"/>
              <w:left w:val="nil"/>
              <w:bottom w:val="nil"/>
              <w:right w:val="nil"/>
            </w:tcBorders>
            <w:noWrap/>
            <w:vAlign w:val="bottom"/>
            <w:hideMark/>
          </w:tcPr>
          <w:p w14:paraId="63A64AA8" w14:textId="77777777" w:rsidR="00446241" w:rsidRPr="008C306F" w:rsidRDefault="00446241" w:rsidP="00710CD8">
            <w:pPr>
              <w:suppressAutoHyphens w:val="0"/>
              <w:rPr>
                <w:sz w:val="18"/>
                <w:szCs w:val="18"/>
                <w:lang w:eastAsia="cs-CZ"/>
              </w:rPr>
            </w:pPr>
          </w:p>
        </w:tc>
        <w:tc>
          <w:tcPr>
            <w:tcW w:w="992" w:type="dxa"/>
            <w:tcBorders>
              <w:top w:val="nil"/>
              <w:left w:val="nil"/>
              <w:bottom w:val="nil"/>
              <w:right w:val="nil"/>
            </w:tcBorders>
            <w:noWrap/>
            <w:vAlign w:val="bottom"/>
            <w:hideMark/>
          </w:tcPr>
          <w:p w14:paraId="7D8AF681" w14:textId="77777777" w:rsidR="00446241" w:rsidRPr="008C306F" w:rsidRDefault="00446241" w:rsidP="00710CD8">
            <w:pPr>
              <w:suppressAutoHyphens w:val="0"/>
              <w:rPr>
                <w:sz w:val="18"/>
                <w:szCs w:val="18"/>
                <w:lang w:eastAsia="cs-CZ"/>
              </w:rPr>
            </w:pP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71FAD25" w14:textId="77777777" w:rsidR="00446241" w:rsidRPr="008C306F" w:rsidRDefault="00446241" w:rsidP="00710CD8">
            <w:pPr>
              <w:suppressAutoHyphens w:val="0"/>
              <w:rPr>
                <w:rFonts w:ascii="Arial CE" w:hAnsi="Arial CE" w:cs="Arial CE"/>
                <w:b/>
                <w:bCs/>
                <w:sz w:val="18"/>
                <w:szCs w:val="18"/>
                <w:lang w:eastAsia="cs-CZ"/>
              </w:rPr>
            </w:pPr>
            <w:r w:rsidRPr="008C306F">
              <w:rPr>
                <w:rFonts w:ascii="Arial CE" w:hAnsi="Arial CE" w:cs="Arial CE"/>
                <w:b/>
                <w:bCs/>
                <w:sz w:val="18"/>
                <w:szCs w:val="18"/>
                <w:lang w:eastAsia="cs-CZ"/>
              </w:rPr>
              <w:t>Celkem cena bez DPH</w:t>
            </w:r>
          </w:p>
        </w:tc>
        <w:tc>
          <w:tcPr>
            <w:tcW w:w="708" w:type="dxa"/>
            <w:tcBorders>
              <w:top w:val="nil"/>
              <w:left w:val="nil"/>
              <w:bottom w:val="nil"/>
              <w:right w:val="nil"/>
            </w:tcBorders>
            <w:noWrap/>
            <w:vAlign w:val="bottom"/>
            <w:hideMark/>
          </w:tcPr>
          <w:p w14:paraId="75424F10" w14:textId="77777777" w:rsidR="00446241" w:rsidRPr="008C306F" w:rsidRDefault="00446241" w:rsidP="00710CD8">
            <w:pPr>
              <w:suppressAutoHyphens w:val="0"/>
              <w:rPr>
                <w:rFonts w:ascii="Arial CE" w:hAnsi="Arial CE" w:cs="Arial CE"/>
                <w:b/>
                <w:bCs/>
                <w:sz w:val="18"/>
                <w:szCs w:val="18"/>
                <w:lang w:eastAsia="cs-CZ"/>
              </w:rPr>
            </w:pPr>
          </w:p>
        </w:tc>
        <w:tc>
          <w:tcPr>
            <w:tcW w:w="1560" w:type="dxa"/>
            <w:tcBorders>
              <w:top w:val="nil"/>
              <w:left w:val="nil"/>
              <w:bottom w:val="nil"/>
              <w:right w:val="nil"/>
            </w:tcBorders>
            <w:noWrap/>
            <w:vAlign w:val="bottom"/>
            <w:hideMark/>
          </w:tcPr>
          <w:p w14:paraId="0BE004DD" w14:textId="77777777" w:rsidR="00446241" w:rsidRPr="008C306F" w:rsidRDefault="00446241" w:rsidP="00710CD8">
            <w:pPr>
              <w:suppressAutoHyphens w:val="0"/>
              <w:jc w:val="center"/>
              <w:rPr>
                <w:sz w:val="18"/>
                <w:szCs w:val="18"/>
                <w:lang w:eastAsia="cs-CZ"/>
              </w:rPr>
            </w:pPr>
          </w:p>
        </w:tc>
        <w:tc>
          <w:tcPr>
            <w:tcW w:w="1842" w:type="dxa"/>
            <w:gridSpan w:val="2"/>
            <w:tcBorders>
              <w:top w:val="single" w:sz="4" w:space="0" w:color="auto"/>
              <w:left w:val="single" w:sz="4" w:space="0" w:color="auto"/>
              <w:bottom w:val="single" w:sz="4" w:space="0" w:color="auto"/>
              <w:right w:val="single" w:sz="4" w:space="0" w:color="auto"/>
            </w:tcBorders>
            <w:noWrap/>
            <w:vAlign w:val="bottom"/>
            <w:hideMark/>
          </w:tcPr>
          <w:p w14:paraId="2C274311" w14:textId="77777777" w:rsidR="00446241" w:rsidRPr="008C306F" w:rsidRDefault="00446241" w:rsidP="00710CD8">
            <w:pPr>
              <w:suppressAutoHyphens w:val="0"/>
              <w:jc w:val="right"/>
              <w:rPr>
                <w:rFonts w:ascii="Arial CE" w:hAnsi="Arial CE" w:cs="Arial CE"/>
                <w:b/>
                <w:bCs/>
                <w:sz w:val="18"/>
                <w:szCs w:val="18"/>
                <w:lang w:eastAsia="cs-CZ"/>
              </w:rPr>
            </w:pPr>
            <w:r>
              <w:rPr>
                <w:rFonts w:ascii="Arial CE" w:hAnsi="Arial CE" w:cs="Arial CE"/>
                <w:b/>
                <w:bCs/>
              </w:rPr>
              <w:t>1 086 000,00 Kč</w:t>
            </w:r>
          </w:p>
        </w:tc>
      </w:tr>
      <w:tr w:rsidR="00446241" w:rsidRPr="008C306F" w14:paraId="7D018822" w14:textId="77777777" w:rsidTr="00710CD8">
        <w:trPr>
          <w:gridAfter w:val="1"/>
          <w:wAfter w:w="794" w:type="dxa"/>
          <w:trHeight w:val="232"/>
        </w:trPr>
        <w:tc>
          <w:tcPr>
            <w:tcW w:w="1555" w:type="dxa"/>
            <w:tcBorders>
              <w:top w:val="nil"/>
              <w:left w:val="nil"/>
              <w:bottom w:val="nil"/>
              <w:right w:val="nil"/>
            </w:tcBorders>
            <w:noWrap/>
            <w:vAlign w:val="bottom"/>
            <w:hideMark/>
          </w:tcPr>
          <w:p w14:paraId="58C165EA" w14:textId="77777777" w:rsidR="00446241" w:rsidRPr="008C306F" w:rsidRDefault="00446241" w:rsidP="00710CD8">
            <w:pPr>
              <w:suppressAutoHyphens w:val="0"/>
              <w:jc w:val="right"/>
              <w:rPr>
                <w:rFonts w:ascii="Arial CE" w:hAnsi="Arial CE" w:cs="Arial CE"/>
                <w:b/>
                <w:bCs/>
                <w:sz w:val="18"/>
                <w:szCs w:val="18"/>
                <w:lang w:eastAsia="cs-CZ"/>
              </w:rPr>
            </w:pPr>
          </w:p>
        </w:tc>
        <w:tc>
          <w:tcPr>
            <w:tcW w:w="992" w:type="dxa"/>
            <w:tcBorders>
              <w:top w:val="nil"/>
              <w:left w:val="nil"/>
              <w:bottom w:val="nil"/>
              <w:right w:val="nil"/>
            </w:tcBorders>
            <w:noWrap/>
            <w:vAlign w:val="bottom"/>
            <w:hideMark/>
          </w:tcPr>
          <w:p w14:paraId="0E6FA930" w14:textId="77777777" w:rsidR="00446241" w:rsidRPr="008C306F" w:rsidRDefault="00446241" w:rsidP="00710CD8">
            <w:pPr>
              <w:suppressAutoHyphens w:val="0"/>
              <w:rPr>
                <w:sz w:val="18"/>
                <w:szCs w:val="18"/>
                <w:lang w:eastAsia="cs-CZ"/>
              </w:rPr>
            </w:pPr>
          </w:p>
        </w:tc>
        <w:tc>
          <w:tcPr>
            <w:tcW w:w="2977" w:type="dxa"/>
            <w:tcBorders>
              <w:top w:val="nil"/>
              <w:left w:val="single" w:sz="4" w:space="0" w:color="auto"/>
              <w:bottom w:val="single" w:sz="4" w:space="0" w:color="auto"/>
              <w:right w:val="single" w:sz="4" w:space="0" w:color="auto"/>
            </w:tcBorders>
            <w:noWrap/>
            <w:vAlign w:val="bottom"/>
            <w:hideMark/>
          </w:tcPr>
          <w:p w14:paraId="6CBA4E7B" w14:textId="77777777" w:rsidR="00446241" w:rsidRPr="008C306F" w:rsidRDefault="00446241" w:rsidP="00710CD8">
            <w:pPr>
              <w:suppressAutoHyphens w:val="0"/>
              <w:rPr>
                <w:rFonts w:ascii="Arial CE" w:hAnsi="Arial CE" w:cs="Arial CE"/>
                <w:b/>
                <w:bCs/>
                <w:sz w:val="18"/>
                <w:szCs w:val="18"/>
                <w:lang w:eastAsia="cs-CZ"/>
              </w:rPr>
            </w:pPr>
            <w:r w:rsidRPr="008C306F">
              <w:rPr>
                <w:rFonts w:ascii="Arial CE" w:hAnsi="Arial CE" w:cs="Arial CE"/>
                <w:b/>
                <w:bCs/>
                <w:sz w:val="18"/>
                <w:szCs w:val="18"/>
                <w:lang w:eastAsia="cs-CZ"/>
              </w:rPr>
              <w:t>DPH</w:t>
            </w:r>
          </w:p>
        </w:tc>
        <w:tc>
          <w:tcPr>
            <w:tcW w:w="708" w:type="dxa"/>
            <w:tcBorders>
              <w:top w:val="nil"/>
              <w:left w:val="nil"/>
              <w:bottom w:val="nil"/>
              <w:right w:val="nil"/>
            </w:tcBorders>
            <w:noWrap/>
            <w:vAlign w:val="bottom"/>
            <w:hideMark/>
          </w:tcPr>
          <w:p w14:paraId="4261BFCA" w14:textId="77777777" w:rsidR="00446241" w:rsidRPr="008C306F" w:rsidRDefault="00446241" w:rsidP="00710CD8">
            <w:pPr>
              <w:suppressAutoHyphens w:val="0"/>
              <w:rPr>
                <w:rFonts w:ascii="Arial CE" w:hAnsi="Arial CE" w:cs="Arial CE"/>
                <w:b/>
                <w:bCs/>
                <w:sz w:val="18"/>
                <w:szCs w:val="18"/>
                <w:lang w:eastAsia="cs-CZ"/>
              </w:rPr>
            </w:pPr>
          </w:p>
        </w:tc>
        <w:tc>
          <w:tcPr>
            <w:tcW w:w="1560" w:type="dxa"/>
            <w:tcBorders>
              <w:top w:val="nil"/>
              <w:left w:val="nil"/>
              <w:bottom w:val="nil"/>
              <w:right w:val="nil"/>
            </w:tcBorders>
            <w:noWrap/>
            <w:vAlign w:val="bottom"/>
            <w:hideMark/>
          </w:tcPr>
          <w:p w14:paraId="3B079302" w14:textId="77777777" w:rsidR="00446241" w:rsidRPr="008C306F" w:rsidRDefault="00446241" w:rsidP="00710CD8">
            <w:pPr>
              <w:suppressAutoHyphens w:val="0"/>
              <w:jc w:val="center"/>
              <w:rPr>
                <w:rFonts w:ascii="Arial CE" w:hAnsi="Arial CE" w:cs="Arial CE"/>
                <w:b/>
                <w:bCs/>
                <w:sz w:val="18"/>
                <w:szCs w:val="18"/>
                <w:lang w:eastAsia="cs-CZ"/>
              </w:rPr>
            </w:pPr>
            <w:r w:rsidRPr="008C306F">
              <w:rPr>
                <w:rFonts w:ascii="Arial CE" w:hAnsi="Arial CE" w:cs="Arial CE"/>
                <w:b/>
                <w:bCs/>
                <w:sz w:val="18"/>
                <w:szCs w:val="18"/>
                <w:lang w:eastAsia="cs-CZ"/>
              </w:rPr>
              <w:t>21%</w:t>
            </w:r>
          </w:p>
        </w:tc>
        <w:tc>
          <w:tcPr>
            <w:tcW w:w="1842" w:type="dxa"/>
            <w:gridSpan w:val="2"/>
            <w:tcBorders>
              <w:top w:val="nil"/>
              <w:left w:val="single" w:sz="4" w:space="0" w:color="auto"/>
              <w:bottom w:val="single" w:sz="4" w:space="0" w:color="auto"/>
              <w:right w:val="single" w:sz="4" w:space="0" w:color="auto"/>
            </w:tcBorders>
            <w:noWrap/>
            <w:vAlign w:val="bottom"/>
            <w:hideMark/>
          </w:tcPr>
          <w:p w14:paraId="2C9F7969" w14:textId="77777777" w:rsidR="00446241" w:rsidRPr="008C306F" w:rsidRDefault="00446241" w:rsidP="00710CD8">
            <w:pPr>
              <w:suppressAutoHyphens w:val="0"/>
              <w:jc w:val="right"/>
              <w:rPr>
                <w:rFonts w:ascii="Arial CE" w:hAnsi="Arial CE" w:cs="Arial CE"/>
                <w:b/>
                <w:bCs/>
                <w:sz w:val="18"/>
                <w:szCs w:val="18"/>
                <w:lang w:eastAsia="cs-CZ"/>
              </w:rPr>
            </w:pPr>
            <w:r>
              <w:rPr>
                <w:rFonts w:ascii="Arial CE" w:hAnsi="Arial CE" w:cs="Arial CE"/>
                <w:b/>
                <w:bCs/>
              </w:rPr>
              <w:t>228 060,00 Kč</w:t>
            </w:r>
          </w:p>
        </w:tc>
      </w:tr>
      <w:tr w:rsidR="00446241" w:rsidRPr="008C306F" w14:paraId="4AA0AD13" w14:textId="77777777" w:rsidTr="00710CD8">
        <w:trPr>
          <w:gridAfter w:val="1"/>
          <w:wAfter w:w="794" w:type="dxa"/>
          <w:trHeight w:val="232"/>
        </w:trPr>
        <w:tc>
          <w:tcPr>
            <w:tcW w:w="1555" w:type="dxa"/>
            <w:tcBorders>
              <w:top w:val="nil"/>
              <w:left w:val="nil"/>
              <w:bottom w:val="nil"/>
              <w:right w:val="nil"/>
            </w:tcBorders>
            <w:noWrap/>
            <w:vAlign w:val="bottom"/>
            <w:hideMark/>
          </w:tcPr>
          <w:p w14:paraId="3ED07C22" w14:textId="77777777" w:rsidR="00446241" w:rsidRPr="008C306F" w:rsidRDefault="00446241" w:rsidP="00710CD8">
            <w:pPr>
              <w:suppressAutoHyphens w:val="0"/>
              <w:jc w:val="right"/>
              <w:rPr>
                <w:rFonts w:ascii="Arial CE" w:hAnsi="Arial CE" w:cs="Arial CE"/>
                <w:b/>
                <w:bCs/>
                <w:sz w:val="18"/>
                <w:szCs w:val="18"/>
                <w:lang w:eastAsia="cs-CZ"/>
              </w:rPr>
            </w:pPr>
          </w:p>
        </w:tc>
        <w:tc>
          <w:tcPr>
            <w:tcW w:w="992" w:type="dxa"/>
            <w:tcBorders>
              <w:top w:val="nil"/>
              <w:left w:val="nil"/>
              <w:bottom w:val="nil"/>
              <w:right w:val="nil"/>
            </w:tcBorders>
            <w:noWrap/>
            <w:vAlign w:val="bottom"/>
            <w:hideMark/>
          </w:tcPr>
          <w:p w14:paraId="5F3700E3" w14:textId="77777777" w:rsidR="00446241" w:rsidRPr="008C306F" w:rsidRDefault="00446241" w:rsidP="00710CD8">
            <w:pPr>
              <w:suppressAutoHyphens w:val="0"/>
              <w:rPr>
                <w:sz w:val="18"/>
                <w:szCs w:val="18"/>
                <w:lang w:eastAsia="cs-CZ"/>
              </w:rPr>
            </w:pPr>
          </w:p>
        </w:tc>
        <w:tc>
          <w:tcPr>
            <w:tcW w:w="2977" w:type="dxa"/>
            <w:tcBorders>
              <w:top w:val="nil"/>
              <w:left w:val="single" w:sz="4" w:space="0" w:color="auto"/>
              <w:bottom w:val="single" w:sz="4" w:space="0" w:color="auto"/>
              <w:right w:val="single" w:sz="4" w:space="0" w:color="auto"/>
            </w:tcBorders>
            <w:noWrap/>
            <w:vAlign w:val="bottom"/>
            <w:hideMark/>
          </w:tcPr>
          <w:p w14:paraId="5C29EAD1" w14:textId="77777777" w:rsidR="00446241" w:rsidRPr="008C306F" w:rsidRDefault="00446241" w:rsidP="00710CD8">
            <w:pPr>
              <w:suppressAutoHyphens w:val="0"/>
              <w:rPr>
                <w:rFonts w:ascii="Arial CE" w:hAnsi="Arial CE" w:cs="Arial CE"/>
                <w:b/>
                <w:bCs/>
                <w:sz w:val="18"/>
                <w:szCs w:val="18"/>
                <w:lang w:eastAsia="cs-CZ"/>
              </w:rPr>
            </w:pPr>
            <w:r w:rsidRPr="008C306F">
              <w:rPr>
                <w:rFonts w:ascii="Arial CE" w:hAnsi="Arial CE" w:cs="Arial CE"/>
                <w:b/>
                <w:bCs/>
                <w:sz w:val="18"/>
                <w:szCs w:val="18"/>
                <w:lang w:eastAsia="cs-CZ"/>
              </w:rPr>
              <w:t>Celkem cena s DPH</w:t>
            </w:r>
          </w:p>
        </w:tc>
        <w:tc>
          <w:tcPr>
            <w:tcW w:w="708" w:type="dxa"/>
            <w:tcBorders>
              <w:top w:val="nil"/>
              <w:left w:val="nil"/>
              <w:bottom w:val="nil"/>
              <w:right w:val="nil"/>
            </w:tcBorders>
            <w:noWrap/>
            <w:vAlign w:val="bottom"/>
            <w:hideMark/>
          </w:tcPr>
          <w:p w14:paraId="4F223269" w14:textId="77777777" w:rsidR="00446241" w:rsidRPr="008C306F" w:rsidRDefault="00446241" w:rsidP="00710CD8">
            <w:pPr>
              <w:suppressAutoHyphens w:val="0"/>
              <w:rPr>
                <w:rFonts w:ascii="Arial CE" w:hAnsi="Arial CE" w:cs="Arial CE"/>
                <w:b/>
                <w:bCs/>
                <w:sz w:val="18"/>
                <w:szCs w:val="18"/>
                <w:lang w:eastAsia="cs-CZ"/>
              </w:rPr>
            </w:pPr>
          </w:p>
        </w:tc>
        <w:tc>
          <w:tcPr>
            <w:tcW w:w="1560" w:type="dxa"/>
            <w:tcBorders>
              <w:top w:val="nil"/>
              <w:left w:val="nil"/>
              <w:bottom w:val="nil"/>
              <w:right w:val="nil"/>
            </w:tcBorders>
            <w:noWrap/>
            <w:vAlign w:val="bottom"/>
            <w:hideMark/>
          </w:tcPr>
          <w:p w14:paraId="6DF4C1DB" w14:textId="77777777" w:rsidR="00446241" w:rsidRPr="008C306F" w:rsidRDefault="00446241" w:rsidP="00710CD8">
            <w:pPr>
              <w:suppressAutoHyphens w:val="0"/>
              <w:jc w:val="center"/>
              <w:rPr>
                <w:sz w:val="18"/>
                <w:szCs w:val="18"/>
                <w:lang w:eastAsia="cs-CZ"/>
              </w:rPr>
            </w:pPr>
          </w:p>
        </w:tc>
        <w:tc>
          <w:tcPr>
            <w:tcW w:w="1842" w:type="dxa"/>
            <w:gridSpan w:val="2"/>
            <w:tcBorders>
              <w:top w:val="nil"/>
              <w:left w:val="single" w:sz="4" w:space="0" w:color="auto"/>
              <w:bottom w:val="single" w:sz="4" w:space="0" w:color="auto"/>
              <w:right w:val="single" w:sz="4" w:space="0" w:color="auto"/>
            </w:tcBorders>
            <w:noWrap/>
            <w:vAlign w:val="bottom"/>
            <w:hideMark/>
          </w:tcPr>
          <w:p w14:paraId="61BDD4FC" w14:textId="77777777" w:rsidR="00446241" w:rsidRPr="008C306F" w:rsidRDefault="00446241" w:rsidP="00710CD8">
            <w:pPr>
              <w:suppressAutoHyphens w:val="0"/>
              <w:jc w:val="right"/>
              <w:rPr>
                <w:rFonts w:ascii="Arial CE" w:hAnsi="Arial CE" w:cs="Arial CE"/>
                <w:b/>
                <w:bCs/>
                <w:sz w:val="18"/>
                <w:szCs w:val="18"/>
                <w:lang w:eastAsia="cs-CZ"/>
              </w:rPr>
            </w:pPr>
            <w:r>
              <w:rPr>
                <w:rFonts w:ascii="Arial CE" w:hAnsi="Arial CE" w:cs="Arial CE"/>
                <w:b/>
                <w:bCs/>
              </w:rPr>
              <w:t>1 314 060,00 Kč</w:t>
            </w:r>
          </w:p>
        </w:tc>
      </w:tr>
      <w:tr w:rsidR="00446241" w:rsidRPr="002B15A6" w14:paraId="433EC16C" w14:textId="77777777" w:rsidTr="00710CD8">
        <w:trPr>
          <w:trHeight w:val="196"/>
        </w:trPr>
        <w:tc>
          <w:tcPr>
            <w:tcW w:w="1555" w:type="dxa"/>
            <w:tcBorders>
              <w:top w:val="nil"/>
              <w:left w:val="nil"/>
              <w:bottom w:val="nil"/>
              <w:right w:val="nil"/>
            </w:tcBorders>
            <w:noWrap/>
            <w:vAlign w:val="bottom"/>
            <w:hideMark/>
          </w:tcPr>
          <w:p w14:paraId="111C9077" w14:textId="77777777" w:rsidR="00446241" w:rsidRPr="002B15A6" w:rsidRDefault="00446241" w:rsidP="00710CD8">
            <w:pPr>
              <w:suppressAutoHyphens w:val="0"/>
              <w:jc w:val="right"/>
              <w:rPr>
                <w:rFonts w:ascii="Arial CE" w:hAnsi="Arial CE" w:cs="Arial CE"/>
                <w:b/>
                <w:bCs/>
                <w:sz w:val="24"/>
                <w:szCs w:val="24"/>
                <w:lang w:eastAsia="cs-CZ"/>
              </w:rPr>
            </w:pPr>
          </w:p>
        </w:tc>
        <w:tc>
          <w:tcPr>
            <w:tcW w:w="992" w:type="dxa"/>
            <w:tcBorders>
              <w:top w:val="nil"/>
              <w:left w:val="nil"/>
              <w:bottom w:val="nil"/>
              <w:right w:val="nil"/>
            </w:tcBorders>
            <w:noWrap/>
            <w:vAlign w:val="bottom"/>
            <w:hideMark/>
          </w:tcPr>
          <w:p w14:paraId="0FDEE18D"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747F9A2A"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5E4A2315"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5D30D723"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35BA32E1" w14:textId="77777777" w:rsidR="00446241" w:rsidRPr="002B15A6" w:rsidRDefault="00446241" w:rsidP="00710CD8">
            <w:pPr>
              <w:suppressAutoHyphens w:val="0"/>
              <w:rPr>
                <w:lang w:eastAsia="cs-CZ"/>
              </w:rPr>
            </w:pPr>
          </w:p>
        </w:tc>
      </w:tr>
      <w:tr w:rsidR="00446241" w:rsidRPr="002B15A6" w14:paraId="1AF0D505" w14:textId="77777777" w:rsidTr="00710CD8">
        <w:trPr>
          <w:trHeight w:val="196"/>
        </w:trPr>
        <w:tc>
          <w:tcPr>
            <w:tcW w:w="1555" w:type="dxa"/>
            <w:tcBorders>
              <w:top w:val="nil"/>
              <w:left w:val="nil"/>
              <w:bottom w:val="nil"/>
              <w:right w:val="nil"/>
            </w:tcBorders>
            <w:noWrap/>
            <w:vAlign w:val="bottom"/>
            <w:hideMark/>
          </w:tcPr>
          <w:p w14:paraId="598F2459"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63725B8C"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52EF54F" w14:textId="77777777" w:rsidR="00446241" w:rsidRPr="002B15A6" w:rsidRDefault="00446241" w:rsidP="00710CD8">
            <w:pPr>
              <w:suppressAutoHyphens w:val="0"/>
              <w:rPr>
                <w:rFonts w:ascii="Arial CE" w:hAnsi="Arial CE" w:cs="Arial CE"/>
                <w:lang w:eastAsia="cs-CZ"/>
              </w:rPr>
            </w:pPr>
            <w:r w:rsidRPr="002B15A6">
              <w:rPr>
                <w:rFonts w:ascii="Arial CE" w:hAnsi="Arial CE" w:cs="Arial CE"/>
                <w:noProof/>
                <w:lang w:eastAsia="cs-CZ"/>
              </w:rPr>
              <w:drawing>
                <wp:anchor distT="0" distB="0" distL="114300" distR="114300" simplePos="0" relativeHeight="251659264" behindDoc="0" locked="0" layoutInCell="1" allowOverlap="1" wp14:anchorId="63C3D527" wp14:editId="6AD5261D">
                  <wp:simplePos x="0" y="0"/>
                  <wp:positionH relativeFrom="column">
                    <wp:posOffset>0</wp:posOffset>
                  </wp:positionH>
                  <wp:positionV relativeFrom="paragraph">
                    <wp:posOffset>45720</wp:posOffset>
                  </wp:positionV>
                  <wp:extent cx="3954780" cy="2804160"/>
                  <wp:effectExtent l="0" t="0" r="7620" b="0"/>
                  <wp:wrapNone/>
                  <wp:docPr id="2055" name="Obrázek 3">
                    <a:extLst xmlns:a="http://schemas.openxmlformats.org/drawingml/2006/main">
                      <a:ext uri="{FF2B5EF4-FFF2-40B4-BE49-F238E27FC236}">
                        <a16:creationId xmlns:a16="http://schemas.microsoft.com/office/drawing/2014/main" id="{98B6EB48-26F2-9B96-A1F1-246A85037F36}"/>
                      </a:ext>
                    </a:extLst>
                  </wp:docPr>
                  <wp:cNvGraphicFramePr/>
                  <a:graphic xmlns:a="http://schemas.openxmlformats.org/drawingml/2006/main">
                    <a:graphicData uri="http://schemas.openxmlformats.org/drawingml/2006/picture">
                      <pic:pic xmlns:pic="http://schemas.openxmlformats.org/drawingml/2006/picture">
                        <pic:nvPicPr>
                          <pic:cNvPr id="2055" name="Obrázek 1">
                            <a:extLst>
                              <a:ext uri="{FF2B5EF4-FFF2-40B4-BE49-F238E27FC236}">
                                <a16:creationId xmlns:a16="http://schemas.microsoft.com/office/drawing/2014/main" id="{98B6EB48-26F2-9B96-A1F1-246A85037F3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780" cy="280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23"/>
            </w:tblGrid>
            <w:tr w:rsidR="00446241" w:rsidRPr="002B15A6" w14:paraId="51F0AFB9" w14:textId="77777777" w:rsidTr="00710CD8">
              <w:trPr>
                <w:trHeight w:val="196"/>
                <w:tblCellSpacing w:w="0" w:type="dxa"/>
              </w:trPr>
              <w:tc>
                <w:tcPr>
                  <w:tcW w:w="2623" w:type="dxa"/>
                  <w:tcBorders>
                    <w:top w:val="nil"/>
                    <w:left w:val="nil"/>
                    <w:bottom w:val="nil"/>
                    <w:right w:val="nil"/>
                  </w:tcBorders>
                  <w:noWrap/>
                  <w:vAlign w:val="bottom"/>
                  <w:hideMark/>
                </w:tcPr>
                <w:p w14:paraId="65859D4E" w14:textId="77777777" w:rsidR="00446241" w:rsidRPr="002B15A6" w:rsidRDefault="00446241" w:rsidP="00710CD8">
                  <w:pPr>
                    <w:suppressAutoHyphens w:val="0"/>
                    <w:rPr>
                      <w:rFonts w:ascii="Arial CE" w:hAnsi="Arial CE" w:cs="Arial CE"/>
                      <w:lang w:eastAsia="cs-CZ"/>
                    </w:rPr>
                  </w:pPr>
                </w:p>
              </w:tc>
            </w:tr>
          </w:tbl>
          <w:p w14:paraId="199225C0" w14:textId="77777777" w:rsidR="00446241" w:rsidRPr="002B15A6" w:rsidRDefault="00446241" w:rsidP="00710CD8">
            <w:pPr>
              <w:suppressAutoHyphens w:val="0"/>
              <w:rPr>
                <w:rFonts w:ascii="Arial CE" w:hAnsi="Arial CE" w:cs="Arial CE"/>
                <w:lang w:eastAsia="cs-CZ"/>
              </w:rPr>
            </w:pPr>
          </w:p>
        </w:tc>
        <w:tc>
          <w:tcPr>
            <w:tcW w:w="708" w:type="dxa"/>
            <w:tcBorders>
              <w:top w:val="nil"/>
              <w:left w:val="nil"/>
              <w:bottom w:val="nil"/>
              <w:right w:val="nil"/>
            </w:tcBorders>
            <w:noWrap/>
            <w:vAlign w:val="bottom"/>
            <w:hideMark/>
          </w:tcPr>
          <w:p w14:paraId="16BEEC8D"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3585A0BC"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62741906" w14:textId="77777777" w:rsidR="00446241" w:rsidRPr="002B15A6" w:rsidRDefault="00446241" w:rsidP="00710CD8">
            <w:pPr>
              <w:suppressAutoHyphens w:val="0"/>
              <w:rPr>
                <w:lang w:eastAsia="cs-CZ"/>
              </w:rPr>
            </w:pPr>
          </w:p>
        </w:tc>
      </w:tr>
      <w:tr w:rsidR="00446241" w:rsidRPr="002B15A6" w14:paraId="30EE31D1" w14:textId="77777777" w:rsidTr="00710CD8">
        <w:trPr>
          <w:trHeight w:val="196"/>
        </w:trPr>
        <w:tc>
          <w:tcPr>
            <w:tcW w:w="1555" w:type="dxa"/>
            <w:tcBorders>
              <w:top w:val="nil"/>
              <w:left w:val="nil"/>
              <w:bottom w:val="nil"/>
              <w:right w:val="nil"/>
            </w:tcBorders>
            <w:noWrap/>
            <w:vAlign w:val="bottom"/>
            <w:hideMark/>
          </w:tcPr>
          <w:p w14:paraId="2428F27E"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51EB7ECD"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526C4CB2"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1FC73AC8"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3926D6A2"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2204E5BC" w14:textId="77777777" w:rsidR="00446241" w:rsidRPr="002B15A6" w:rsidRDefault="00446241" w:rsidP="00710CD8">
            <w:pPr>
              <w:suppressAutoHyphens w:val="0"/>
              <w:rPr>
                <w:lang w:eastAsia="cs-CZ"/>
              </w:rPr>
            </w:pPr>
          </w:p>
        </w:tc>
      </w:tr>
      <w:tr w:rsidR="00446241" w:rsidRPr="002B15A6" w14:paraId="3BA58ABD" w14:textId="77777777" w:rsidTr="00710CD8">
        <w:trPr>
          <w:trHeight w:val="196"/>
        </w:trPr>
        <w:tc>
          <w:tcPr>
            <w:tcW w:w="1555" w:type="dxa"/>
            <w:tcBorders>
              <w:top w:val="nil"/>
              <w:left w:val="nil"/>
              <w:bottom w:val="nil"/>
              <w:right w:val="nil"/>
            </w:tcBorders>
            <w:noWrap/>
            <w:vAlign w:val="bottom"/>
            <w:hideMark/>
          </w:tcPr>
          <w:p w14:paraId="3CF9F492"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5C28501E"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119668E4"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5242AC13"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62D0260C"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66508FB2" w14:textId="77777777" w:rsidR="00446241" w:rsidRPr="002B15A6" w:rsidRDefault="00446241" w:rsidP="00710CD8">
            <w:pPr>
              <w:suppressAutoHyphens w:val="0"/>
              <w:rPr>
                <w:lang w:eastAsia="cs-CZ"/>
              </w:rPr>
            </w:pPr>
          </w:p>
        </w:tc>
      </w:tr>
      <w:tr w:rsidR="00446241" w:rsidRPr="002B15A6" w14:paraId="16DDBA32" w14:textId="77777777" w:rsidTr="00710CD8">
        <w:trPr>
          <w:trHeight w:val="196"/>
        </w:trPr>
        <w:tc>
          <w:tcPr>
            <w:tcW w:w="1555" w:type="dxa"/>
            <w:tcBorders>
              <w:top w:val="nil"/>
              <w:left w:val="nil"/>
              <w:bottom w:val="nil"/>
              <w:right w:val="nil"/>
            </w:tcBorders>
            <w:noWrap/>
            <w:vAlign w:val="bottom"/>
            <w:hideMark/>
          </w:tcPr>
          <w:p w14:paraId="58C83DCA"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14F75304"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6F3871C1"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6370E6E2"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7D5649FC"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7261393C" w14:textId="77777777" w:rsidR="00446241" w:rsidRPr="002B15A6" w:rsidRDefault="00446241" w:rsidP="00710CD8">
            <w:pPr>
              <w:suppressAutoHyphens w:val="0"/>
              <w:rPr>
                <w:lang w:eastAsia="cs-CZ"/>
              </w:rPr>
            </w:pPr>
          </w:p>
        </w:tc>
      </w:tr>
      <w:tr w:rsidR="00446241" w:rsidRPr="002B15A6" w14:paraId="4552752E" w14:textId="77777777" w:rsidTr="00710CD8">
        <w:trPr>
          <w:trHeight w:val="196"/>
        </w:trPr>
        <w:tc>
          <w:tcPr>
            <w:tcW w:w="1555" w:type="dxa"/>
            <w:tcBorders>
              <w:top w:val="nil"/>
              <w:left w:val="nil"/>
              <w:bottom w:val="nil"/>
              <w:right w:val="nil"/>
            </w:tcBorders>
            <w:noWrap/>
            <w:vAlign w:val="bottom"/>
            <w:hideMark/>
          </w:tcPr>
          <w:p w14:paraId="533CCC55"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5E77AD3F"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03E37F5"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5DF58553"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2F089A65"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7817D4FA" w14:textId="77777777" w:rsidR="00446241" w:rsidRPr="002B15A6" w:rsidRDefault="00446241" w:rsidP="00710CD8">
            <w:pPr>
              <w:suppressAutoHyphens w:val="0"/>
              <w:rPr>
                <w:lang w:eastAsia="cs-CZ"/>
              </w:rPr>
            </w:pPr>
          </w:p>
        </w:tc>
      </w:tr>
      <w:tr w:rsidR="00446241" w:rsidRPr="002B15A6" w14:paraId="16457F42" w14:textId="77777777" w:rsidTr="00710CD8">
        <w:trPr>
          <w:trHeight w:val="196"/>
        </w:trPr>
        <w:tc>
          <w:tcPr>
            <w:tcW w:w="1555" w:type="dxa"/>
            <w:tcBorders>
              <w:top w:val="nil"/>
              <w:left w:val="nil"/>
              <w:bottom w:val="nil"/>
              <w:right w:val="nil"/>
            </w:tcBorders>
            <w:noWrap/>
            <w:vAlign w:val="bottom"/>
            <w:hideMark/>
          </w:tcPr>
          <w:p w14:paraId="07663105"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76732EFB"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BDE4CCB"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5A34DA17"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389F9619"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5D4E0C94" w14:textId="77777777" w:rsidR="00446241" w:rsidRPr="002B15A6" w:rsidRDefault="00446241" w:rsidP="00710CD8">
            <w:pPr>
              <w:suppressAutoHyphens w:val="0"/>
              <w:rPr>
                <w:lang w:eastAsia="cs-CZ"/>
              </w:rPr>
            </w:pPr>
          </w:p>
        </w:tc>
      </w:tr>
      <w:tr w:rsidR="00446241" w:rsidRPr="002B15A6" w14:paraId="5DFA9CFE" w14:textId="77777777" w:rsidTr="00710CD8">
        <w:trPr>
          <w:trHeight w:val="196"/>
        </w:trPr>
        <w:tc>
          <w:tcPr>
            <w:tcW w:w="1555" w:type="dxa"/>
            <w:tcBorders>
              <w:top w:val="nil"/>
              <w:left w:val="nil"/>
              <w:bottom w:val="nil"/>
              <w:right w:val="nil"/>
            </w:tcBorders>
            <w:noWrap/>
            <w:vAlign w:val="bottom"/>
            <w:hideMark/>
          </w:tcPr>
          <w:p w14:paraId="032FB343"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57FCD23A"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1919E074"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10C48368"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5DF1E846"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2468A7D0" w14:textId="77777777" w:rsidR="00446241" w:rsidRPr="002B15A6" w:rsidRDefault="00446241" w:rsidP="00710CD8">
            <w:pPr>
              <w:suppressAutoHyphens w:val="0"/>
              <w:rPr>
                <w:lang w:eastAsia="cs-CZ"/>
              </w:rPr>
            </w:pPr>
          </w:p>
        </w:tc>
      </w:tr>
      <w:tr w:rsidR="00446241" w:rsidRPr="002B15A6" w14:paraId="3AD62A83" w14:textId="77777777" w:rsidTr="00710CD8">
        <w:trPr>
          <w:trHeight w:val="196"/>
        </w:trPr>
        <w:tc>
          <w:tcPr>
            <w:tcW w:w="1555" w:type="dxa"/>
            <w:tcBorders>
              <w:top w:val="nil"/>
              <w:left w:val="nil"/>
              <w:bottom w:val="nil"/>
              <w:right w:val="nil"/>
            </w:tcBorders>
            <w:noWrap/>
            <w:vAlign w:val="bottom"/>
            <w:hideMark/>
          </w:tcPr>
          <w:p w14:paraId="7265B295"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4280F710"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6893013E"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6AA39EF5"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22160B60"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42BF2AB5" w14:textId="77777777" w:rsidR="00446241" w:rsidRPr="002B15A6" w:rsidRDefault="00446241" w:rsidP="00710CD8">
            <w:pPr>
              <w:suppressAutoHyphens w:val="0"/>
              <w:rPr>
                <w:lang w:eastAsia="cs-CZ"/>
              </w:rPr>
            </w:pPr>
          </w:p>
        </w:tc>
      </w:tr>
      <w:tr w:rsidR="00446241" w:rsidRPr="002B15A6" w14:paraId="13F6B627" w14:textId="77777777" w:rsidTr="00710CD8">
        <w:trPr>
          <w:trHeight w:val="196"/>
        </w:trPr>
        <w:tc>
          <w:tcPr>
            <w:tcW w:w="1555" w:type="dxa"/>
            <w:tcBorders>
              <w:top w:val="nil"/>
              <w:left w:val="nil"/>
              <w:bottom w:val="nil"/>
              <w:right w:val="nil"/>
            </w:tcBorders>
            <w:noWrap/>
            <w:vAlign w:val="bottom"/>
            <w:hideMark/>
          </w:tcPr>
          <w:p w14:paraId="4529A560"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69BA4025"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293BB757"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72F54DA8"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47B12A0E"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72A73705" w14:textId="77777777" w:rsidR="00446241" w:rsidRPr="002B15A6" w:rsidRDefault="00446241" w:rsidP="00710CD8">
            <w:pPr>
              <w:suppressAutoHyphens w:val="0"/>
              <w:rPr>
                <w:lang w:eastAsia="cs-CZ"/>
              </w:rPr>
            </w:pPr>
          </w:p>
        </w:tc>
      </w:tr>
      <w:tr w:rsidR="00446241" w:rsidRPr="002B15A6" w14:paraId="64D456DC" w14:textId="77777777" w:rsidTr="00710CD8">
        <w:trPr>
          <w:trHeight w:val="196"/>
        </w:trPr>
        <w:tc>
          <w:tcPr>
            <w:tcW w:w="1555" w:type="dxa"/>
            <w:tcBorders>
              <w:top w:val="nil"/>
              <w:left w:val="nil"/>
              <w:bottom w:val="nil"/>
              <w:right w:val="nil"/>
            </w:tcBorders>
            <w:noWrap/>
            <w:vAlign w:val="bottom"/>
            <w:hideMark/>
          </w:tcPr>
          <w:p w14:paraId="7AB6A90B"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4C7FF1A6"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63664173"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64E9B1F1"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745C4A3B"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1398B7EA" w14:textId="77777777" w:rsidR="00446241" w:rsidRPr="002B15A6" w:rsidRDefault="00446241" w:rsidP="00710CD8">
            <w:pPr>
              <w:suppressAutoHyphens w:val="0"/>
              <w:rPr>
                <w:lang w:eastAsia="cs-CZ"/>
              </w:rPr>
            </w:pPr>
          </w:p>
        </w:tc>
      </w:tr>
      <w:tr w:rsidR="00446241" w:rsidRPr="002B15A6" w14:paraId="340B66A9" w14:textId="77777777" w:rsidTr="00710CD8">
        <w:trPr>
          <w:trHeight w:val="196"/>
        </w:trPr>
        <w:tc>
          <w:tcPr>
            <w:tcW w:w="1555" w:type="dxa"/>
            <w:tcBorders>
              <w:top w:val="nil"/>
              <w:left w:val="nil"/>
              <w:bottom w:val="nil"/>
              <w:right w:val="nil"/>
            </w:tcBorders>
            <w:noWrap/>
            <w:vAlign w:val="bottom"/>
            <w:hideMark/>
          </w:tcPr>
          <w:p w14:paraId="4115215F"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62ADFF1E"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48211849"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38AD820F"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7363559C"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44D82B8C" w14:textId="77777777" w:rsidR="00446241" w:rsidRPr="002B15A6" w:rsidRDefault="00446241" w:rsidP="00710CD8">
            <w:pPr>
              <w:suppressAutoHyphens w:val="0"/>
              <w:rPr>
                <w:lang w:eastAsia="cs-CZ"/>
              </w:rPr>
            </w:pPr>
          </w:p>
        </w:tc>
      </w:tr>
      <w:tr w:rsidR="00446241" w:rsidRPr="002B15A6" w14:paraId="276D5F79" w14:textId="77777777" w:rsidTr="00710CD8">
        <w:trPr>
          <w:trHeight w:val="196"/>
        </w:trPr>
        <w:tc>
          <w:tcPr>
            <w:tcW w:w="1555" w:type="dxa"/>
            <w:tcBorders>
              <w:top w:val="nil"/>
              <w:left w:val="nil"/>
              <w:bottom w:val="nil"/>
              <w:right w:val="nil"/>
            </w:tcBorders>
            <w:noWrap/>
            <w:vAlign w:val="bottom"/>
            <w:hideMark/>
          </w:tcPr>
          <w:p w14:paraId="346E4234"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04EE9272"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4F74D2D0"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4FC866A1"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56160BFF"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26D729DA" w14:textId="77777777" w:rsidR="00446241" w:rsidRPr="002B15A6" w:rsidRDefault="00446241" w:rsidP="00710CD8">
            <w:pPr>
              <w:suppressAutoHyphens w:val="0"/>
              <w:rPr>
                <w:lang w:eastAsia="cs-CZ"/>
              </w:rPr>
            </w:pPr>
          </w:p>
        </w:tc>
      </w:tr>
      <w:tr w:rsidR="00446241" w:rsidRPr="002B15A6" w14:paraId="778068FC" w14:textId="77777777" w:rsidTr="00710CD8">
        <w:trPr>
          <w:trHeight w:val="196"/>
        </w:trPr>
        <w:tc>
          <w:tcPr>
            <w:tcW w:w="1555" w:type="dxa"/>
            <w:tcBorders>
              <w:top w:val="nil"/>
              <w:left w:val="nil"/>
              <w:bottom w:val="nil"/>
              <w:right w:val="nil"/>
            </w:tcBorders>
            <w:noWrap/>
            <w:vAlign w:val="bottom"/>
            <w:hideMark/>
          </w:tcPr>
          <w:p w14:paraId="29F45F2E"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1EF4205C"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168A2930"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4D5AE004"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3250E188"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63E8DD58" w14:textId="77777777" w:rsidR="00446241" w:rsidRPr="002B15A6" w:rsidRDefault="00446241" w:rsidP="00710CD8">
            <w:pPr>
              <w:suppressAutoHyphens w:val="0"/>
              <w:rPr>
                <w:lang w:eastAsia="cs-CZ"/>
              </w:rPr>
            </w:pPr>
          </w:p>
        </w:tc>
      </w:tr>
      <w:tr w:rsidR="00446241" w:rsidRPr="002B15A6" w14:paraId="2A715BE7" w14:textId="77777777" w:rsidTr="00710CD8">
        <w:trPr>
          <w:trHeight w:val="196"/>
        </w:trPr>
        <w:tc>
          <w:tcPr>
            <w:tcW w:w="1555" w:type="dxa"/>
            <w:tcBorders>
              <w:top w:val="nil"/>
              <w:left w:val="nil"/>
              <w:bottom w:val="nil"/>
              <w:right w:val="nil"/>
            </w:tcBorders>
            <w:noWrap/>
            <w:vAlign w:val="bottom"/>
            <w:hideMark/>
          </w:tcPr>
          <w:p w14:paraId="14487A98"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3B93D430"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1400D68"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014F0BB4"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50809F5A"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716E2AEB" w14:textId="77777777" w:rsidR="00446241" w:rsidRPr="002B15A6" w:rsidRDefault="00446241" w:rsidP="00710CD8">
            <w:pPr>
              <w:suppressAutoHyphens w:val="0"/>
              <w:rPr>
                <w:lang w:eastAsia="cs-CZ"/>
              </w:rPr>
            </w:pPr>
          </w:p>
        </w:tc>
      </w:tr>
      <w:tr w:rsidR="00446241" w:rsidRPr="002B15A6" w14:paraId="1065165A" w14:textId="77777777" w:rsidTr="00710CD8">
        <w:trPr>
          <w:trHeight w:val="196"/>
        </w:trPr>
        <w:tc>
          <w:tcPr>
            <w:tcW w:w="1555" w:type="dxa"/>
            <w:tcBorders>
              <w:top w:val="nil"/>
              <w:left w:val="nil"/>
              <w:bottom w:val="nil"/>
              <w:right w:val="nil"/>
            </w:tcBorders>
            <w:noWrap/>
            <w:vAlign w:val="bottom"/>
            <w:hideMark/>
          </w:tcPr>
          <w:p w14:paraId="59DF815C"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6E729B75"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DC2CD11"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7541DEDD"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7B0FAE61"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23A1C73C" w14:textId="77777777" w:rsidR="00446241" w:rsidRPr="002B15A6" w:rsidRDefault="00446241" w:rsidP="00710CD8">
            <w:pPr>
              <w:suppressAutoHyphens w:val="0"/>
              <w:rPr>
                <w:lang w:eastAsia="cs-CZ"/>
              </w:rPr>
            </w:pPr>
          </w:p>
        </w:tc>
      </w:tr>
      <w:tr w:rsidR="00446241" w:rsidRPr="002B15A6" w14:paraId="3E618A63" w14:textId="77777777" w:rsidTr="00710CD8">
        <w:trPr>
          <w:trHeight w:val="196"/>
        </w:trPr>
        <w:tc>
          <w:tcPr>
            <w:tcW w:w="1555" w:type="dxa"/>
            <w:tcBorders>
              <w:top w:val="nil"/>
              <w:left w:val="nil"/>
              <w:bottom w:val="nil"/>
              <w:right w:val="nil"/>
            </w:tcBorders>
            <w:noWrap/>
            <w:vAlign w:val="bottom"/>
            <w:hideMark/>
          </w:tcPr>
          <w:p w14:paraId="11172E19"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41503FC9"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3EABDF88"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62AB3241"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5CB3DD40"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7B3BC0D4" w14:textId="77777777" w:rsidR="00446241" w:rsidRPr="002B15A6" w:rsidRDefault="00446241" w:rsidP="00710CD8">
            <w:pPr>
              <w:suppressAutoHyphens w:val="0"/>
              <w:rPr>
                <w:lang w:eastAsia="cs-CZ"/>
              </w:rPr>
            </w:pPr>
          </w:p>
        </w:tc>
      </w:tr>
      <w:tr w:rsidR="00446241" w:rsidRPr="002B15A6" w14:paraId="5F45FEB2" w14:textId="77777777" w:rsidTr="00710CD8">
        <w:trPr>
          <w:trHeight w:val="196"/>
        </w:trPr>
        <w:tc>
          <w:tcPr>
            <w:tcW w:w="1555" w:type="dxa"/>
            <w:tcBorders>
              <w:top w:val="nil"/>
              <w:left w:val="nil"/>
              <w:bottom w:val="nil"/>
              <w:right w:val="nil"/>
            </w:tcBorders>
            <w:noWrap/>
            <w:vAlign w:val="bottom"/>
            <w:hideMark/>
          </w:tcPr>
          <w:p w14:paraId="3F06DE18"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0583084D"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0EE233B0"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16E5A5E1"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03197266"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02465560" w14:textId="77777777" w:rsidR="00446241" w:rsidRPr="002B15A6" w:rsidRDefault="00446241" w:rsidP="00710CD8">
            <w:pPr>
              <w:suppressAutoHyphens w:val="0"/>
              <w:rPr>
                <w:lang w:eastAsia="cs-CZ"/>
              </w:rPr>
            </w:pPr>
          </w:p>
        </w:tc>
      </w:tr>
      <w:tr w:rsidR="00446241" w:rsidRPr="002B15A6" w14:paraId="5F05275C" w14:textId="77777777" w:rsidTr="00710CD8">
        <w:trPr>
          <w:trHeight w:val="196"/>
        </w:trPr>
        <w:tc>
          <w:tcPr>
            <w:tcW w:w="1555" w:type="dxa"/>
            <w:tcBorders>
              <w:top w:val="nil"/>
              <w:left w:val="nil"/>
              <w:bottom w:val="nil"/>
              <w:right w:val="nil"/>
            </w:tcBorders>
            <w:noWrap/>
            <w:vAlign w:val="bottom"/>
            <w:hideMark/>
          </w:tcPr>
          <w:p w14:paraId="1B48D3B2" w14:textId="77777777" w:rsidR="00446241" w:rsidRPr="002B15A6" w:rsidRDefault="00446241" w:rsidP="00710CD8">
            <w:pPr>
              <w:suppressAutoHyphens w:val="0"/>
              <w:rPr>
                <w:lang w:eastAsia="cs-CZ"/>
              </w:rPr>
            </w:pPr>
          </w:p>
        </w:tc>
        <w:tc>
          <w:tcPr>
            <w:tcW w:w="992" w:type="dxa"/>
            <w:tcBorders>
              <w:top w:val="nil"/>
              <w:left w:val="nil"/>
              <w:bottom w:val="nil"/>
              <w:right w:val="nil"/>
            </w:tcBorders>
            <w:noWrap/>
            <w:vAlign w:val="bottom"/>
            <w:hideMark/>
          </w:tcPr>
          <w:p w14:paraId="53EE081D" w14:textId="77777777" w:rsidR="00446241" w:rsidRDefault="00446241" w:rsidP="00710CD8">
            <w:pPr>
              <w:suppressAutoHyphens w:val="0"/>
              <w:rPr>
                <w:lang w:eastAsia="cs-CZ"/>
              </w:rPr>
            </w:pPr>
          </w:p>
          <w:p w14:paraId="6DBA2011" w14:textId="77777777" w:rsidR="00446241" w:rsidRDefault="00446241" w:rsidP="00710CD8">
            <w:pPr>
              <w:suppressAutoHyphens w:val="0"/>
              <w:rPr>
                <w:lang w:eastAsia="cs-CZ"/>
              </w:rPr>
            </w:pPr>
          </w:p>
          <w:p w14:paraId="186D1CB9" w14:textId="77777777" w:rsidR="00446241" w:rsidRDefault="00446241" w:rsidP="00710CD8">
            <w:pPr>
              <w:suppressAutoHyphens w:val="0"/>
              <w:rPr>
                <w:lang w:eastAsia="cs-CZ"/>
              </w:rPr>
            </w:pPr>
          </w:p>
          <w:p w14:paraId="2CF39217" w14:textId="77777777" w:rsidR="00446241" w:rsidRDefault="00446241" w:rsidP="00710CD8">
            <w:pPr>
              <w:suppressAutoHyphens w:val="0"/>
              <w:rPr>
                <w:lang w:eastAsia="cs-CZ"/>
              </w:rPr>
            </w:pPr>
          </w:p>
          <w:p w14:paraId="17384EA1" w14:textId="77777777" w:rsidR="00446241" w:rsidRDefault="00446241" w:rsidP="00710CD8">
            <w:pPr>
              <w:suppressAutoHyphens w:val="0"/>
              <w:rPr>
                <w:lang w:eastAsia="cs-CZ"/>
              </w:rPr>
            </w:pPr>
          </w:p>
          <w:p w14:paraId="662D3AE5" w14:textId="77777777" w:rsidR="00446241" w:rsidRDefault="00446241" w:rsidP="00710CD8">
            <w:pPr>
              <w:suppressAutoHyphens w:val="0"/>
              <w:rPr>
                <w:lang w:eastAsia="cs-CZ"/>
              </w:rPr>
            </w:pPr>
          </w:p>
          <w:p w14:paraId="70395D2C" w14:textId="77777777" w:rsidR="00446241" w:rsidRDefault="00446241" w:rsidP="00710CD8">
            <w:pPr>
              <w:suppressAutoHyphens w:val="0"/>
              <w:rPr>
                <w:lang w:eastAsia="cs-CZ"/>
              </w:rPr>
            </w:pPr>
          </w:p>
          <w:p w14:paraId="63B85618" w14:textId="77777777" w:rsidR="00446241" w:rsidRDefault="00446241" w:rsidP="00710CD8">
            <w:pPr>
              <w:suppressAutoHyphens w:val="0"/>
              <w:rPr>
                <w:lang w:eastAsia="cs-CZ"/>
              </w:rPr>
            </w:pPr>
          </w:p>
          <w:p w14:paraId="31CBD353" w14:textId="77777777" w:rsidR="00446241" w:rsidRDefault="00446241" w:rsidP="00710CD8">
            <w:pPr>
              <w:suppressAutoHyphens w:val="0"/>
              <w:rPr>
                <w:lang w:eastAsia="cs-CZ"/>
              </w:rPr>
            </w:pPr>
          </w:p>
          <w:p w14:paraId="7376F39C" w14:textId="77777777" w:rsidR="00446241" w:rsidRDefault="00446241" w:rsidP="00710CD8">
            <w:pPr>
              <w:suppressAutoHyphens w:val="0"/>
              <w:rPr>
                <w:lang w:eastAsia="cs-CZ"/>
              </w:rPr>
            </w:pPr>
          </w:p>
          <w:p w14:paraId="356CAD6B" w14:textId="77777777" w:rsidR="00446241" w:rsidRDefault="00446241" w:rsidP="00710CD8">
            <w:pPr>
              <w:suppressAutoHyphens w:val="0"/>
              <w:rPr>
                <w:lang w:eastAsia="cs-CZ"/>
              </w:rPr>
            </w:pPr>
          </w:p>
          <w:p w14:paraId="2545C48E" w14:textId="77777777" w:rsidR="00446241" w:rsidRDefault="00446241" w:rsidP="00710CD8">
            <w:pPr>
              <w:suppressAutoHyphens w:val="0"/>
              <w:rPr>
                <w:lang w:eastAsia="cs-CZ"/>
              </w:rPr>
            </w:pPr>
          </w:p>
          <w:p w14:paraId="00923788" w14:textId="77777777" w:rsidR="00446241" w:rsidRDefault="00446241" w:rsidP="00710CD8">
            <w:pPr>
              <w:suppressAutoHyphens w:val="0"/>
              <w:rPr>
                <w:lang w:eastAsia="cs-CZ"/>
              </w:rPr>
            </w:pPr>
          </w:p>
          <w:p w14:paraId="04691BE0" w14:textId="77777777" w:rsidR="00446241" w:rsidRDefault="00446241" w:rsidP="00710CD8">
            <w:pPr>
              <w:suppressAutoHyphens w:val="0"/>
              <w:rPr>
                <w:lang w:eastAsia="cs-CZ"/>
              </w:rPr>
            </w:pPr>
          </w:p>
          <w:p w14:paraId="4F5F0E15" w14:textId="77777777" w:rsidR="00446241" w:rsidRDefault="00446241" w:rsidP="00710CD8">
            <w:pPr>
              <w:suppressAutoHyphens w:val="0"/>
              <w:rPr>
                <w:lang w:eastAsia="cs-CZ"/>
              </w:rPr>
            </w:pPr>
          </w:p>
          <w:p w14:paraId="0CAC1953" w14:textId="77777777" w:rsidR="00446241" w:rsidRDefault="00446241" w:rsidP="00710CD8">
            <w:pPr>
              <w:suppressAutoHyphens w:val="0"/>
              <w:rPr>
                <w:lang w:eastAsia="cs-CZ"/>
              </w:rPr>
            </w:pPr>
          </w:p>
          <w:p w14:paraId="415449A3" w14:textId="77777777" w:rsidR="00446241" w:rsidRDefault="00446241" w:rsidP="00710CD8">
            <w:pPr>
              <w:suppressAutoHyphens w:val="0"/>
              <w:rPr>
                <w:lang w:eastAsia="cs-CZ"/>
              </w:rPr>
            </w:pPr>
          </w:p>
          <w:p w14:paraId="5999CCCD" w14:textId="77777777" w:rsidR="00446241" w:rsidRDefault="00446241" w:rsidP="00710CD8">
            <w:pPr>
              <w:suppressAutoHyphens w:val="0"/>
              <w:rPr>
                <w:lang w:eastAsia="cs-CZ"/>
              </w:rPr>
            </w:pPr>
          </w:p>
          <w:p w14:paraId="7C52C576" w14:textId="77777777" w:rsidR="00446241" w:rsidRPr="002B15A6" w:rsidRDefault="00446241" w:rsidP="00710CD8">
            <w:pPr>
              <w:suppressAutoHyphens w:val="0"/>
              <w:rPr>
                <w:lang w:eastAsia="cs-CZ"/>
              </w:rPr>
            </w:pPr>
          </w:p>
        </w:tc>
        <w:tc>
          <w:tcPr>
            <w:tcW w:w="2977" w:type="dxa"/>
            <w:tcBorders>
              <w:top w:val="nil"/>
              <w:left w:val="nil"/>
              <w:bottom w:val="nil"/>
              <w:right w:val="nil"/>
            </w:tcBorders>
            <w:noWrap/>
            <w:vAlign w:val="bottom"/>
            <w:hideMark/>
          </w:tcPr>
          <w:p w14:paraId="0E6E3CC7" w14:textId="77777777" w:rsidR="00446241" w:rsidRPr="002B15A6" w:rsidRDefault="00446241" w:rsidP="00710CD8">
            <w:pPr>
              <w:suppressAutoHyphens w:val="0"/>
              <w:rPr>
                <w:lang w:eastAsia="cs-CZ"/>
              </w:rPr>
            </w:pPr>
          </w:p>
        </w:tc>
        <w:tc>
          <w:tcPr>
            <w:tcW w:w="708" w:type="dxa"/>
            <w:tcBorders>
              <w:top w:val="nil"/>
              <w:left w:val="nil"/>
              <w:bottom w:val="nil"/>
              <w:right w:val="nil"/>
            </w:tcBorders>
            <w:noWrap/>
            <w:vAlign w:val="bottom"/>
            <w:hideMark/>
          </w:tcPr>
          <w:p w14:paraId="361E49FA" w14:textId="77777777" w:rsidR="00446241" w:rsidRPr="002B15A6" w:rsidRDefault="00446241" w:rsidP="00710CD8">
            <w:pPr>
              <w:suppressAutoHyphens w:val="0"/>
              <w:rPr>
                <w:lang w:eastAsia="cs-CZ"/>
              </w:rPr>
            </w:pPr>
          </w:p>
        </w:tc>
        <w:tc>
          <w:tcPr>
            <w:tcW w:w="2114" w:type="dxa"/>
            <w:gridSpan w:val="2"/>
            <w:tcBorders>
              <w:top w:val="nil"/>
              <w:left w:val="nil"/>
              <w:bottom w:val="nil"/>
              <w:right w:val="nil"/>
            </w:tcBorders>
            <w:noWrap/>
            <w:vAlign w:val="bottom"/>
            <w:hideMark/>
          </w:tcPr>
          <w:p w14:paraId="4308D1B0" w14:textId="77777777" w:rsidR="00446241" w:rsidRPr="002B15A6" w:rsidRDefault="00446241" w:rsidP="00710CD8">
            <w:pPr>
              <w:suppressAutoHyphens w:val="0"/>
              <w:jc w:val="center"/>
              <w:rPr>
                <w:lang w:eastAsia="cs-CZ"/>
              </w:rPr>
            </w:pPr>
          </w:p>
        </w:tc>
        <w:tc>
          <w:tcPr>
            <w:tcW w:w="2082" w:type="dxa"/>
            <w:gridSpan w:val="2"/>
            <w:tcBorders>
              <w:top w:val="nil"/>
              <w:left w:val="nil"/>
              <w:bottom w:val="nil"/>
              <w:right w:val="nil"/>
            </w:tcBorders>
            <w:noWrap/>
            <w:vAlign w:val="bottom"/>
            <w:hideMark/>
          </w:tcPr>
          <w:p w14:paraId="44612CEC" w14:textId="77777777" w:rsidR="00446241" w:rsidRPr="002B15A6" w:rsidRDefault="00446241" w:rsidP="00710CD8">
            <w:pPr>
              <w:suppressAutoHyphens w:val="0"/>
              <w:rPr>
                <w:lang w:eastAsia="cs-CZ"/>
              </w:rPr>
            </w:pPr>
          </w:p>
        </w:tc>
      </w:tr>
    </w:tbl>
    <w:p w14:paraId="7F580E2F" w14:textId="77777777" w:rsidR="00446241" w:rsidRDefault="00446241" w:rsidP="00F07574">
      <w:pPr>
        <w:rPr>
          <w:rFonts w:ascii="Arial" w:hAnsi="Arial" w:cs="Arial"/>
          <w:sz w:val="21"/>
          <w:szCs w:val="21"/>
        </w:rPr>
      </w:pPr>
    </w:p>
    <w:p w14:paraId="279B7DF5" w14:textId="77777777" w:rsidR="00446241" w:rsidRDefault="00446241" w:rsidP="00F07574">
      <w:pPr>
        <w:rPr>
          <w:rFonts w:ascii="Arial" w:hAnsi="Arial" w:cs="Arial"/>
          <w:sz w:val="21"/>
          <w:szCs w:val="21"/>
        </w:rPr>
      </w:pPr>
    </w:p>
    <w:p w14:paraId="246097BF" w14:textId="77777777" w:rsidR="00446241" w:rsidRDefault="00446241" w:rsidP="00F07574">
      <w:pPr>
        <w:rPr>
          <w:rFonts w:ascii="Arial" w:hAnsi="Arial" w:cs="Arial"/>
          <w:sz w:val="21"/>
          <w:szCs w:val="21"/>
        </w:rPr>
      </w:pPr>
    </w:p>
    <w:p w14:paraId="221ED998" w14:textId="77777777" w:rsidR="00446241" w:rsidRDefault="00446241" w:rsidP="00F07574">
      <w:pPr>
        <w:rPr>
          <w:rFonts w:ascii="Arial" w:hAnsi="Arial" w:cs="Arial"/>
          <w:sz w:val="21"/>
          <w:szCs w:val="21"/>
        </w:rPr>
        <w:sectPr w:rsidR="00446241" w:rsidSect="00571F22">
          <w:headerReference w:type="default"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43173E56" w:rsidR="00E35170" w:rsidRPr="00E35170" w:rsidRDefault="006801A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Intraaortální balónková </w:t>
            </w:r>
            <w:proofErr w:type="spellStart"/>
            <w:r>
              <w:rPr>
                <w:rFonts w:ascii="Segoe UI" w:hAnsi="Segoe UI" w:cs="Segoe UI"/>
                <w:sz w:val="21"/>
                <w:szCs w:val="21"/>
                <w:lang w:eastAsia="cs-CZ"/>
              </w:rPr>
              <w:t>kontrapulzace</w:t>
            </w:r>
            <w:proofErr w:type="spellEnd"/>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0308EF2" w:rsidR="00E35170" w:rsidRPr="00E35170" w:rsidRDefault="006801A2"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Arrow</w:t>
            </w:r>
            <w:proofErr w:type="spellEnd"/>
            <w:r>
              <w:rPr>
                <w:rFonts w:ascii="Segoe UI" w:hAnsi="Segoe UI" w:cs="Segoe UI"/>
                <w:sz w:val="21"/>
                <w:szCs w:val="21"/>
                <w:lang w:eastAsia="cs-CZ"/>
              </w:rPr>
              <w:t xml:space="preserve"> International LLC, dceřiná spol. </w:t>
            </w:r>
            <w:proofErr w:type="spellStart"/>
            <w:r>
              <w:rPr>
                <w:rFonts w:ascii="Segoe UI" w:hAnsi="Segoe UI" w:cs="Segoe UI"/>
                <w:sz w:val="21"/>
                <w:szCs w:val="21"/>
                <w:lang w:eastAsia="cs-CZ"/>
              </w:rPr>
              <w:t>Teleflex</w:t>
            </w:r>
            <w:proofErr w:type="spellEnd"/>
            <w:r>
              <w:rPr>
                <w:rFonts w:ascii="Segoe UI" w:hAnsi="Segoe UI" w:cs="Segoe UI"/>
                <w:sz w:val="21"/>
                <w:szCs w:val="21"/>
                <w:lang w:eastAsia="cs-CZ"/>
              </w:rPr>
              <w:t xml:space="preserve"> </w:t>
            </w:r>
            <w:proofErr w:type="spellStart"/>
            <w:r>
              <w:rPr>
                <w:rFonts w:ascii="Segoe UI" w:hAnsi="Segoe UI" w:cs="Segoe UI"/>
                <w:sz w:val="21"/>
                <w:szCs w:val="21"/>
                <w:lang w:eastAsia="cs-CZ"/>
              </w:rPr>
              <w:t>Incorporated</w:t>
            </w:r>
            <w:proofErr w:type="spellEnd"/>
            <w:r>
              <w:rPr>
                <w:rFonts w:ascii="Segoe UI" w:hAnsi="Segoe UI" w:cs="Segoe UI"/>
                <w:sz w:val="21"/>
                <w:szCs w:val="21"/>
                <w:lang w:eastAsia="cs-CZ"/>
              </w:rPr>
              <w:t>, USA</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EBA7155" w:rsidR="00E35170" w:rsidRPr="00E35170" w:rsidRDefault="006801A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AC3 OPTIMUS</w:t>
            </w:r>
            <w:r w:rsidR="00EB5CC3">
              <w:rPr>
                <w:rFonts w:ascii="Segoe UI" w:hAnsi="Segoe UI" w:cs="Segoe UI"/>
                <w:sz w:val="21"/>
                <w:szCs w:val="21"/>
                <w:lang w:eastAsia="cs-CZ"/>
              </w:rPr>
              <w:t xml:space="preserve"> IABP NA/EMEA</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27E0A22" w:rsidR="00E35170" w:rsidRPr="00E35170" w:rsidRDefault="006801A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5C079F1D" w:rsidR="003A1BB6" w:rsidRPr="00E35170" w:rsidRDefault="003A1BB6" w:rsidP="003A1BB6">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8A0E425" w:rsidR="003A1BB6" w:rsidRPr="00E35170" w:rsidRDefault="006801A2"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2B6FF394"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00E038A8"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3751BAB" w:rsidR="008111FD" w:rsidRDefault="0005319D" w:rsidP="00446241">
      <w:pPr>
        <w:pStyle w:val="Default"/>
        <w:jc w:val="cente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w:t>
      </w:r>
      <w:r w:rsidR="006801A2">
        <w:rPr>
          <w:rFonts w:ascii="Segoe UI" w:hAnsi="Segoe UI" w:cs="Segoe UI"/>
          <w:bCs/>
          <w:i/>
          <w:iCs/>
          <w:sz w:val="21"/>
          <w:szCs w:val="21"/>
          <w:u w:val="single"/>
        </w:rPr>
        <w:t>o</w:t>
      </w:r>
    </w:p>
    <w:p w14:paraId="5F8BE841" w14:textId="46BC3590" w:rsidR="005C6A21" w:rsidRPr="005C6A21" w:rsidRDefault="005C6A21" w:rsidP="00446241">
      <w:pP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219A22FE" w14:textId="77777777" w:rsidR="00446241" w:rsidRPr="00020BDF" w:rsidRDefault="00446241" w:rsidP="005646DB">
      <w:pPr>
        <w:pStyle w:val="Default"/>
        <w:rPr>
          <w:rFonts w:ascii="Segoe UI" w:hAnsi="Segoe UI" w:cs="Segoe UI"/>
          <w:sz w:val="18"/>
          <w:szCs w:val="18"/>
          <w:lang w:eastAsia="cs-CZ"/>
        </w:rPr>
      </w:pPr>
    </w:p>
    <w:sectPr w:rsidR="00446241" w:rsidRPr="00020BDF" w:rsidSect="008D7DCA">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C27" w14:textId="77777777" w:rsidR="003626E2" w:rsidRDefault="003626E2">
      <w:r>
        <w:separator/>
      </w:r>
    </w:p>
  </w:endnote>
  <w:endnote w:type="continuationSeparator" w:id="0">
    <w:p w14:paraId="66F48FB8" w14:textId="77777777" w:rsidR="003626E2" w:rsidRDefault="0036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4349A32B">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 xml:space="preserve">Uveďte příslušnou třídu zdravotnického prostředku – I, </w:t>
    </w:r>
    <w:proofErr w:type="spellStart"/>
    <w:r w:rsidR="0072119C" w:rsidRPr="001B59A1">
      <w:rPr>
        <w:rFonts w:ascii="Segoe UI" w:hAnsi="Segoe UI" w:cs="Segoe UI"/>
        <w:sz w:val="14"/>
        <w:szCs w:val="14"/>
      </w:rPr>
      <w:t>IIa</w:t>
    </w:r>
    <w:proofErr w:type="spellEnd"/>
    <w:r w:rsidR="0072119C" w:rsidRPr="001B59A1">
      <w:rPr>
        <w:rFonts w:ascii="Segoe UI" w:hAnsi="Segoe UI" w:cs="Segoe UI"/>
        <w:sz w:val="14"/>
        <w:szCs w:val="14"/>
      </w:rPr>
      <w:t xml:space="preserve">, </w:t>
    </w:r>
    <w:proofErr w:type="spellStart"/>
    <w:r w:rsidR="0072119C" w:rsidRPr="001B59A1">
      <w:rPr>
        <w:rFonts w:ascii="Segoe UI" w:hAnsi="Segoe UI" w:cs="Segoe UI"/>
        <w:sz w:val="14"/>
        <w:szCs w:val="14"/>
      </w:rPr>
      <w:t>IIb</w:t>
    </w:r>
    <w:proofErr w:type="spellEnd"/>
    <w:r w:rsidR="0072119C" w:rsidRPr="001B59A1">
      <w:rPr>
        <w:rFonts w:ascii="Segoe UI" w:hAnsi="Segoe UI" w:cs="Segoe UI"/>
        <w:sz w:val="14"/>
        <w:szCs w:val="14"/>
      </w:rPr>
      <w:t>, III IVD A/B/C/D. Pokud se nejedná o zdravotnický prostředek, vyplňte „není ZP“.</w:t>
    </w:r>
  </w:p>
  <w:bookmarkEnd w:id="8"/>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7B0572A6">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DD7B" w14:textId="77777777" w:rsidR="003626E2" w:rsidRDefault="003626E2">
      <w:r>
        <w:separator/>
      </w:r>
    </w:p>
  </w:footnote>
  <w:footnote w:type="continuationSeparator" w:id="0">
    <w:p w14:paraId="68A8756C" w14:textId="77777777" w:rsidR="003626E2" w:rsidRDefault="0036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7C928386"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601E9F">
      <w:rPr>
        <w:rFonts w:ascii="Arial" w:hAnsi="Arial" w:cs="Arial"/>
        <w:b/>
        <w:sz w:val="18"/>
        <w:szCs w:val="18"/>
      </w:rPr>
      <w:t>247</w:t>
    </w:r>
    <w:r w:rsidRPr="008B24E0">
      <w:rPr>
        <w:rFonts w:ascii="Arial" w:hAnsi="Arial" w:cs="Arial"/>
        <w:b/>
        <w:sz w:val="18"/>
        <w:szCs w:val="18"/>
      </w:rPr>
      <w:t>/S/</w:t>
    </w:r>
    <w:r w:rsidR="00A0793D">
      <w:rPr>
        <w:rFonts w:ascii="Arial" w:hAnsi="Arial" w:cs="Arial"/>
        <w:b/>
        <w:sz w:val="18"/>
        <w:szCs w:val="18"/>
        <w:lang w:val="cs-CZ"/>
      </w:rPr>
      <w:t>2</w:t>
    </w:r>
    <w:r w:rsidR="005646DB">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1B0C35D4">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5F3284CE"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701080">
      <w:rPr>
        <w:rFonts w:ascii="Arial" w:hAnsi="Arial" w:cs="Arial"/>
        <w:sz w:val="21"/>
        <w:lang w:eastAsia="cs-CZ"/>
      </w:rPr>
      <w:t>247</w:t>
    </w:r>
    <w:r w:rsidRPr="00E35170">
      <w:rPr>
        <w:rFonts w:ascii="Arial" w:hAnsi="Arial" w:cs="Arial"/>
        <w:sz w:val="21"/>
        <w:lang w:eastAsia="cs-CZ"/>
      </w:rPr>
      <w:t>/S/2</w:t>
    </w:r>
    <w:r w:rsidR="005646DB">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3E79D2AB">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302DB"/>
    <w:rsid w:val="00040A8B"/>
    <w:rsid w:val="00053017"/>
    <w:rsid w:val="0005319D"/>
    <w:rsid w:val="00055665"/>
    <w:rsid w:val="0007423C"/>
    <w:rsid w:val="00077F86"/>
    <w:rsid w:val="0008202C"/>
    <w:rsid w:val="0008527A"/>
    <w:rsid w:val="0009098A"/>
    <w:rsid w:val="00092E0F"/>
    <w:rsid w:val="000968E7"/>
    <w:rsid w:val="000A0BF6"/>
    <w:rsid w:val="000A21ED"/>
    <w:rsid w:val="000A50BF"/>
    <w:rsid w:val="000A56FB"/>
    <w:rsid w:val="000B0D1E"/>
    <w:rsid w:val="000C1BDA"/>
    <w:rsid w:val="000D739A"/>
    <w:rsid w:val="000F47F3"/>
    <w:rsid w:val="000F5D76"/>
    <w:rsid w:val="00105E39"/>
    <w:rsid w:val="00106A7B"/>
    <w:rsid w:val="00107BD9"/>
    <w:rsid w:val="00111D39"/>
    <w:rsid w:val="00114B4E"/>
    <w:rsid w:val="0011617E"/>
    <w:rsid w:val="0012199B"/>
    <w:rsid w:val="00125B4D"/>
    <w:rsid w:val="00126A29"/>
    <w:rsid w:val="00127937"/>
    <w:rsid w:val="00143F97"/>
    <w:rsid w:val="00154872"/>
    <w:rsid w:val="0015576D"/>
    <w:rsid w:val="00156E33"/>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A50"/>
    <w:rsid w:val="001C3F3A"/>
    <w:rsid w:val="001C7F1C"/>
    <w:rsid w:val="001E1BAA"/>
    <w:rsid w:val="001F0D07"/>
    <w:rsid w:val="001F0D28"/>
    <w:rsid w:val="001F3331"/>
    <w:rsid w:val="001F4C7E"/>
    <w:rsid w:val="001F6E37"/>
    <w:rsid w:val="001F7982"/>
    <w:rsid w:val="00213F88"/>
    <w:rsid w:val="00215552"/>
    <w:rsid w:val="00215619"/>
    <w:rsid w:val="00221534"/>
    <w:rsid w:val="002266C7"/>
    <w:rsid w:val="00232F05"/>
    <w:rsid w:val="00233DA5"/>
    <w:rsid w:val="0023605C"/>
    <w:rsid w:val="00236D16"/>
    <w:rsid w:val="00237965"/>
    <w:rsid w:val="00237AFB"/>
    <w:rsid w:val="00245886"/>
    <w:rsid w:val="0024719D"/>
    <w:rsid w:val="002529BD"/>
    <w:rsid w:val="00253E26"/>
    <w:rsid w:val="00255547"/>
    <w:rsid w:val="0025654C"/>
    <w:rsid w:val="0025690F"/>
    <w:rsid w:val="00260943"/>
    <w:rsid w:val="0026214F"/>
    <w:rsid w:val="00262F17"/>
    <w:rsid w:val="002633A2"/>
    <w:rsid w:val="002655A0"/>
    <w:rsid w:val="00265F7A"/>
    <w:rsid w:val="00266BF2"/>
    <w:rsid w:val="00270441"/>
    <w:rsid w:val="00271761"/>
    <w:rsid w:val="00277834"/>
    <w:rsid w:val="00277986"/>
    <w:rsid w:val="0028707E"/>
    <w:rsid w:val="00294130"/>
    <w:rsid w:val="00294824"/>
    <w:rsid w:val="002A34B5"/>
    <w:rsid w:val="002A7157"/>
    <w:rsid w:val="002B7BD5"/>
    <w:rsid w:val="002C18E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2CBE"/>
    <w:rsid w:val="00333126"/>
    <w:rsid w:val="003404CB"/>
    <w:rsid w:val="003413D2"/>
    <w:rsid w:val="003413F6"/>
    <w:rsid w:val="0035639C"/>
    <w:rsid w:val="003626E2"/>
    <w:rsid w:val="00362F45"/>
    <w:rsid w:val="003738C0"/>
    <w:rsid w:val="00377E9D"/>
    <w:rsid w:val="00385B93"/>
    <w:rsid w:val="0039210E"/>
    <w:rsid w:val="003A1BB6"/>
    <w:rsid w:val="003A52FD"/>
    <w:rsid w:val="003B5019"/>
    <w:rsid w:val="003B72DE"/>
    <w:rsid w:val="003B7E2C"/>
    <w:rsid w:val="003C04A9"/>
    <w:rsid w:val="003C24DE"/>
    <w:rsid w:val="003C2C60"/>
    <w:rsid w:val="003C36C2"/>
    <w:rsid w:val="003C7E8B"/>
    <w:rsid w:val="003D002F"/>
    <w:rsid w:val="003D6205"/>
    <w:rsid w:val="003D66FD"/>
    <w:rsid w:val="003D7607"/>
    <w:rsid w:val="003E2D93"/>
    <w:rsid w:val="003E3B51"/>
    <w:rsid w:val="003E6976"/>
    <w:rsid w:val="003F6051"/>
    <w:rsid w:val="00400B99"/>
    <w:rsid w:val="004012B5"/>
    <w:rsid w:val="004061E9"/>
    <w:rsid w:val="00425F9F"/>
    <w:rsid w:val="00446241"/>
    <w:rsid w:val="00446BAC"/>
    <w:rsid w:val="00451DFE"/>
    <w:rsid w:val="00455D3A"/>
    <w:rsid w:val="00455D46"/>
    <w:rsid w:val="00456111"/>
    <w:rsid w:val="004608EE"/>
    <w:rsid w:val="004635B4"/>
    <w:rsid w:val="0046527B"/>
    <w:rsid w:val="0046588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D3C9E"/>
    <w:rsid w:val="004F06B4"/>
    <w:rsid w:val="004F3749"/>
    <w:rsid w:val="004F548C"/>
    <w:rsid w:val="004F58C3"/>
    <w:rsid w:val="004F744C"/>
    <w:rsid w:val="00512A04"/>
    <w:rsid w:val="00514AA2"/>
    <w:rsid w:val="00521BF5"/>
    <w:rsid w:val="00525975"/>
    <w:rsid w:val="00527AF5"/>
    <w:rsid w:val="00532783"/>
    <w:rsid w:val="0053444C"/>
    <w:rsid w:val="00535C26"/>
    <w:rsid w:val="00537415"/>
    <w:rsid w:val="00537AFC"/>
    <w:rsid w:val="00547C2D"/>
    <w:rsid w:val="00553284"/>
    <w:rsid w:val="0055461A"/>
    <w:rsid w:val="005546EC"/>
    <w:rsid w:val="005548D4"/>
    <w:rsid w:val="0055500A"/>
    <w:rsid w:val="00555AAF"/>
    <w:rsid w:val="005568F8"/>
    <w:rsid w:val="00561D1B"/>
    <w:rsid w:val="005646DB"/>
    <w:rsid w:val="00564A85"/>
    <w:rsid w:val="00564D03"/>
    <w:rsid w:val="00564D3E"/>
    <w:rsid w:val="00567A4F"/>
    <w:rsid w:val="00571F22"/>
    <w:rsid w:val="005766D3"/>
    <w:rsid w:val="00593588"/>
    <w:rsid w:val="0059753F"/>
    <w:rsid w:val="005A17AA"/>
    <w:rsid w:val="005B0B7B"/>
    <w:rsid w:val="005C6A21"/>
    <w:rsid w:val="005D164E"/>
    <w:rsid w:val="005F45E5"/>
    <w:rsid w:val="005F7155"/>
    <w:rsid w:val="00601E9F"/>
    <w:rsid w:val="00610D18"/>
    <w:rsid w:val="006338E0"/>
    <w:rsid w:val="00633BF4"/>
    <w:rsid w:val="00641D70"/>
    <w:rsid w:val="00642DB1"/>
    <w:rsid w:val="006640B7"/>
    <w:rsid w:val="006659F2"/>
    <w:rsid w:val="006712DC"/>
    <w:rsid w:val="00671951"/>
    <w:rsid w:val="006801A2"/>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14A0"/>
    <w:rsid w:val="006E2108"/>
    <w:rsid w:val="006E2906"/>
    <w:rsid w:val="006E33FD"/>
    <w:rsid w:val="006E4A5B"/>
    <w:rsid w:val="006E7803"/>
    <w:rsid w:val="006F03E8"/>
    <w:rsid w:val="006F4D0B"/>
    <w:rsid w:val="006F4F70"/>
    <w:rsid w:val="00701080"/>
    <w:rsid w:val="0071392D"/>
    <w:rsid w:val="00721081"/>
    <w:rsid w:val="0072119C"/>
    <w:rsid w:val="007226CB"/>
    <w:rsid w:val="007271C6"/>
    <w:rsid w:val="007334B0"/>
    <w:rsid w:val="0073396F"/>
    <w:rsid w:val="007439F7"/>
    <w:rsid w:val="007502FB"/>
    <w:rsid w:val="00756F94"/>
    <w:rsid w:val="007615DC"/>
    <w:rsid w:val="007624ED"/>
    <w:rsid w:val="00763CC0"/>
    <w:rsid w:val="00770A9F"/>
    <w:rsid w:val="00772A26"/>
    <w:rsid w:val="00776BC9"/>
    <w:rsid w:val="00780D5C"/>
    <w:rsid w:val="00783295"/>
    <w:rsid w:val="00784CE5"/>
    <w:rsid w:val="007A28DA"/>
    <w:rsid w:val="007A2F2F"/>
    <w:rsid w:val="007A5552"/>
    <w:rsid w:val="007A64F4"/>
    <w:rsid w:val="007A7DEE"/>
    <w:rsid w:val="007C0AA4"/>
    <w:rsid w:val="007C0CF0"/>
    <w:rsid w:val="007D1694"/>
    <w:rsid w:val="007D363C"/>
    <w:rsid w:val="007D4F93"/>
    <w:rsid w:val="007D71CE"/>
    <w:rsid w:val="007F371C"/>
    <w:rsid w:val="007F5175"/>
    <w:rsid w:val="007F6134"/>
    <w:rsid w:val="007F7D6E"/>
    <w:rsid w:val="00802AFB"/>
    <w:rsid w:val="00804A23"/>
    <w:rsid w:val="00807618"/>
    <w:rsid w:val="008111FD"/>
    <w:rsid w:val="00815E3A"/>
    <w:rsid w:val="00816E98"/>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221E"/>
    <w:rsid w:val="0088402D"/>
    <w:rsid w:val="008A1340"/>
    <w:rsid w:val="008A2EB4"/>
    <w:rsid w:val="008B24E0"/>
    <w:rsid w:val="008C2FF9"/>
    <w:rsid w:val="008D0A8F"/>
    <w:rsid w:val="008D7DCA"/>
    <w:rsid w:val="008E092E"/>
    <w:rsid w:val="008E178B"/>
    <w:rsid w:val="008E323B"/>
    <w:rsid w:val="008E33A4"/>
    <w:rsid w:val="008E4AA7"/>
    <w:rsid w:val="008F368C"/>
    <w:rsid w:val="009010A6"/>
    <w:rsid w:val="0090156A"/>
    <w:rsid w:val="009031C4"/>
    <w:rsid w:val="00913251"/>
    <w:rsid w:val="00916CFA"/>
    <w:rsid w:val="009208FC"/>
    <w:rsid w:val="0092309B"/>
    <w:rsid w:val="0092310A"/>
    <w:rsid w:val="00927E36"/>
    <w:rsid w:val="00943BB6"/>
    <w:rsid w:val="00944838"/>
    <w:rsid w:val="00946603"/>
    <w:rsid w:val="00951513"/>
    <w:rsid w:val="00954812"/>
    <w:rsid w:val="00954B5F"/>
    <w:rsid w:val="00955BF8"/>
    <w:rsid w:val="009564DA"/>
    <w:rsid w:val="00957DD0"/>
    <w:rsid w:val="00961FD5"/>
    <w:rsid w:val="00965E56"/>
    <w:rsid w:val="00974DF2"/>
    <w:rsid w:val="009844CA"/>
    <w:rsid w:val="00985E18"/>
    <w:rsid w:val="00986894"/>
    <w:rsid w:val="00987341"/>
    <w:rsid w:val="00991BD9"/>
    <w:rsid w:val="00992DC0"/>
    <w:rsid w:val="00993D77"/>
    <w:rsid w:val="00995EE8"/>
    <w:rsid w:val="00996362"/>
    <w:rsid w:val="009A113F"/>
    <w:rsid w:val="009A2EC9"/>
    <w:rsid w:val="009B109E"/>
    <w:rsid w:val="009B4055"/>
    <w:rsid w:val="009B4591"/>
    <w:rsid w:val="009E078A"/>
    <w:rsid w:val="009E622D"/>
    <w:rsid w:val="009F31C9"/>
    <w:rsid w:val="009F3B35"/>
    <w:rsid w:val="009F3C47"/>
    <w:rsid w:val="00A010B0"/>
    <w:rsid w:val="00A0793D"/>
    <w:rsid w:val="00A10D1F"/>
    <w:rsid w:val="00A156ED"/>
    <w:rsid w:val="00A228F6"/>
    <w:rsid w:val="00A24D74"/>
    <w:rsid w:val="00A250C1"/>
    <w:rsid w:val="00A3750A"/>
    <w:rsid w:val="00A37D9D"/>
    <w:rsid w:val="00A43D8D"/>
    <w:rsid w:val="00A511E8"/>
    <w:rsid w:val="00A626D9"/>
    <w:rsid w:val="00A71D27"/>
    <w:rsid w:val="00A774B4"/>
    <w:rsid w:val="00A90BF5"/>
    <w:rsid w:val="00AA2155"/>
    <w:rsid w:val="00AA53FE"/>
    <w:rsid w:val="00AB3A89"/>
    <w:rsid w:val="00AB5D91"/>
    <w:rsid w:val="00AC5057"/>
    <w:rsid w:val="00AD36F1"/>
    <w:rsid w:val="00AE1D96"/>
    <w:rsid w:val="00AE7F70"/>
    <w:rsid w:val="00AF01E1"/>
    <w:rsid w:val="00AF03BA"/>
    <w:rsid w:val="00AF05B5"/>
    <w:rsid w:val="00AF60F6"/>
    <w:rsid w:val="00AF7B42"/>
    <w:rsid w:val="00B00AF8"/>
    <w:rsid w:val="00B046C4"/>
    <w:rsid w:val="00B10320"/>
    <w:rsid w:val="00B1226F"/>
    <w:rsid w:val="00B16FC6"/>
    <w:rsid w:val="00B203D5"/>
    <w:rsid w:val="00B22976"/>
    <w:rsid w:val="00B42BC0"/>
    <w:rsid w:val="00B450EA"/>
    <w:rsid w:val="00B45633"/>
    <w:rsid w:val="00B567EA"/>
    <w:rsid w:val="00B57199"/>
    <w:rsid w:val="00B608BB"/>
    <w:rsid w:val="00B725FD"/>
    <w:rsid w:val="00B75661"/>
    <w:rsid w:val="00B80DD0"/>
    <w:rsid w:val="00B82662"/>
    <w:rsid w:val="00B82AC0"/>
    <w:rsid w:val="00B866BC"/>
    <w:rsid w:val="00B912E6"/>
    <w:rsid w:val="00B93F7E"/>
    <w:rsid w:val="00B948E1"/>
    <w:rsid w:val="00BA26BD"/>
    <w:rsid w:val="00BA6513"/>
    <w:rsid w:val="00BA76E1"/>
    <w:rsid w:val="00BC0D91"/>
    <w:rsid w:val="00BC3666"/>
    <w:rsid w:val="00BE2E7C"/>
    <w:rsid w:val="00BF2EF7"/>
    <w:rsid w:val="00BF53E5"/>
    <w:rsid w:val="00BF7C8D"/>
    <w:rsid w:val="00C11CD5"/>
    <w:rsid w:val="00C1201F"/>
    <w:rsid w:val="00C13BCB"/>
    <w:rsid w:val="00C2134D"/>
    <w:rsid w:val="00C316F9"/>
    <w:rsid w:val="00C36E1B"/>
    <w:rsid w:val="00C41D5A"/>
    <w:rsid w:val="00C4550B"/>
    <w:rsid w:val="00C47F27"/>
    <w:rsid w:val="00C6204E"/>
    <w:rsid w:val="00C645C1"/>
    <w:rsid w:val="00C65008"/>
    <w:rsid w:val="00C719C7"/>
    <w:rsid w:val="00C75A70"/>
    <w:rsid w:val="00C77235"/>
    <w:rsid w:val="00C84283"/>
    <w:rsid w:val="00C91313"/>
    <w:rsid w:val="00C92352"/>
    <w:rsid w:val="00CB1DE6"/>
    <w:rsid w:val="00CB74D8"/>
    <w:rsid w:val="00CC2FB8"/>
    <w:rsid w:val="00CC48FF"/>
    <w:rsid w:val="00CC7B47"/>
    <w:rsid w:val="00CD3EDA"/>
    <w:rsid w:val="00CD51ED"/>
    <w:rsid w:val="00CE1686"/>
    <w:rsid w:val="00CF0EE8"/>
    <w:rsid w:val="00CF2231"/>
    <w:rsid w:val="00D00279"/>
    <w:rsid w:val="00D00BEF"/>
    <w:rsid w:val="00D03334"/>
    <w:rsid w:val="00D10CF2"/>
    <w:rsid w:val="00D178EA"/>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B3FD9"/>
    <w:rsid w:val="00DB6780"/>
    <w:rsid w:val="00DC00F8"/>
    <w:rsid w:val="00DC54F3"/>
    <w:rsid w:val="00DD19F5"/>
    <w:rsid w:val="00DD31B4"/>
    <w:rsid w:val="00DD3C2E"/>
    <w:rsid w:val="00DF2C9F"/>
    <w:rsid w:val="00E05A0F"/>
    <w:rsid w:val="00E07229"/>
    <w:rsid w:val="00E12C12"/>
    <w:rsid w:val="00E22887"/>
    <w:rsid w:val="00E2532F"/>
    <w:rsid w:val="00E31577"/>
    <w:rsid w:val="00E35170"/>
    <w:rsid w:val="00E364F1"/>
    <w:rsid w:val="00E40E58"/>
    <w:rsid w:val="00E42C2D"/>
    <w:rsid w:val="00E519FE"/>
    <w:rsid w:val="00E524C7"/>
    <w:rsid w:val="00E549B0"/>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5CC3"/>
    <w:rsid w:val="00EB674F"/>
    <w:rsid w:val="00EC1ABB"/>
    <w:rsid w:val="00EC25A5"/>
    <w:rsid w:val="00EC7CBA"/>
    <w:rsid w:val="00EE2CBC"/>
    <w:rsid w:val="00EF1132"/>
    <w:rsid w:val="00EF14CD"/>
    <w:rsid w:val="00EF7B2E"/>
    <w:rsid w:val="00F05EA9"/>
    <w:rsid w:val="00F06AF7"/>
    <w:rsid w:val="00F07574"/>
    <w:rsid w:val="00F11BD2"/>
    <w:rsid w:val="00F22EBC"/>
    <w:rsid w:val="00F30FCA"/>
    <w:rsid w:val="00F36EA7"/>
    <w:rsid w:val="00F40A45"/>
    <w:rsid w:val="00F5192A"/>
    <w:rsid w:val="00F51F21"/>
    <w:rsid w:val="00F63908"/>
    <w:rsid w:val="00F654A4"/>
    <w:rsid w:val="00F6623C"/>
    <w:rsid w:val="00F717EF"/>
    <w:rsid w:val="00F825F3"/>
    <w:rsid w:val="00F84996"/>
    <w:rsid w:val="00F8519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61A"/>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37003486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3797632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vz.nipez.cz/formulare-zakazky/Z2025-052489"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header" Target="header4.xml"/><Relationship Id="rId9" Type="http://schemas.openxmlformats.org/officeDocument/2006/relationships/webSettings" Target="webSettings.xml"/><Relationship Id="rId14" Type="http://schemas.openxmlformats.org/officeDocument/2006/relationships/hyperlink" Target="mailto:zdrahal@amimedical.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302DB"/>
    <w:rsid w:val="000C1BDA"/>
    <w:rsid w:val="000C27BD"/>
    <w:rsid w:val="000F5D76"/>
    <w:rsid w:val="00266BF2"/>
    <w:rsid w:val="002763DE"/>
    <w:rsid w:val="00366109"/>
    <w:rsid w:val="003B69F5"/>
    <w:rsid w:val="003E3B51"/>
    <w:rsid w:val="005F45E5"/>
    <w:rsid w:val="00664E87"/>
    <w:rsid w:val="00796D44"/>
    <w:rsid w:val="007A64F4"/>
    <w:rsid w:val="00813E0B"/>
    <w:rsid w:val="0088221E"/>
    <w:rsid w:val="009844CA"/>
    <w:rsid w:val="009B4055"/>
    <w:rsid w:val="00AB1541"/>
    <w:rsid w:val="00AB5D91"/>
    <w:rsid w:val="00AF7B42"/>
    <w:rsid w:val="00B725FD"/>
    <w:rsid w:val="00B75953"/>
    <w:rsid w:val="00BC0D91"/>
    <w:rsid w:val="00C3156C"/>
    <w:rsid w:val="00D52D75"/>
    <w:rsid w:val="00DC00F8"/>
    <w:rsid w:val="00DC2A90"/>
    <w:rsid w:val="00FB516D"/>
    <w:rsid w:val="00FF74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311-247/247-26_RS.docx</ZkracenyRetezec>
    <Smazat xmlns="acca34e4-9ecd-41c8-99eb-d6aa654aaa55">&lt;a href="/sites/evidencesmluv/_layouts/15/IniWrkflIP.aspx?List=%7b311EF01B-94F1-4195-875A-802495BDB7D7%7d&amp;amp;ID=518&amp;amp;ItemGuid=%7b79C22820-A68A-4C68-8B87-5D96D5AFEBBD%7d&amp;amp;TemplateID=%7bd3f8102e-f4a5-4901-b93c-fb146a9d820d%7d"&gt;&lt;img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8A3C84D9-D133-4751-805A-2DD017801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4589F-29F9-4B9C-8842-4BC5DA5A5275}"/>
</file>

<file path=docProps/app.xml><?xml version="1.0" encoding="utf-8"?>
<Properties xmlns="http://schemas.openxmlformats.org/officeDocument/2006/extended-properties" xmlns:vt="http://schemas.openxmlformats.org/officeDocument/2006/docPropsVTypes">
  <Template>Normal</Template>
  <TotalTime>0</TotalTime>
  <Pages>8</Pages>
  <Words>4055</Words>
  <Characters>23925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27925</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Maudrová Jana</cp:lastModifiedBy>
  <cp:revision>2</cp:revision>
  <cp:lastPrinted>2025-12-17T11:02:00Z</cp:lastPrinted>
  <dcterms:created xsi:type="dcterms:W3CDTF">2026-03-30T06:21:00Z</dcterms:created>
  <dcterms:modified xsi:type="dcterms:W3CDTF">2026-03-30T06:21:00Z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2c42a710-3a20-487a-a7aa-c9bb354010db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