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E1E" w:rsidRDefault="00CD5E1E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cgg3x3pdpfk" w:colFirst="0" w:colLast="0"/>
      <w:bookmarkEnd w:id="0"/>
    </w:p>
    <w:p w:rsidR="00CD5E1E" w:rsidRDefault="00AC6AE4">
      <w:pPr>
        <w:spacing w:after="0"/>
        <w:rPr>
          <w:b/>
          <w:bCs/>
        </w:rPr>
      </w:pPr>
      <w:r>
        <w:rPr>
          <w:b/>
          <w:bCs/>
        </w:rPr>
        <w:t>Správa Arcibiskupského zámku a zahrad v Kroměříži, z.ú.</w:t>
      </w:r>
    </w:p>
    <w:p w:rsidR="00CD5E1E" w:rsidRDefault="00AC6AE4">
      <w:pPr>
        <w:spacing w:after="0"/>
      </w:pPr>
      <w:bookmarkStart w:id="1" w:name="_heading=h.vualmb7azkbd" w:colFirst="0" w:colLast="0"/>
      <w:bookmarkEnd w:id="1"/>
      <w:r>
        <w:t>Sněmovní náměstí 1/2, 767 01 Kroměříž</w:t>
      </w:r>
    </w:p>
    <w:p w:rsidR="00CD5E1E" w:rsidRDefault="00AC6AE4">
      <w:pPr>
        <w:spacing w:after="0"/>
      </w:pPr>
      <w:r>
        <w:t>IČ: 08888434</w:t>
      </w:r>
    </w:p>
    <w:p w:rsidR="00CD5E1E" w:rsidRDefault="00523348">
      <w:pPr>
        <w:spacing w:after="0"/>
      </w:pPr>
      <w:r>
        <w:t>Bankovní spojení xxxxxxxxxxxxxx</w:t>
      </w:r>
    </w:p>
    <w:p w:rsidR="00CD5E1E" w:rsidRDefault="00523348">
      <w:pPr>
        <w:spacing w:after="0"/>
      </w:pPr>
      <w:r>
        <w:t>Č. účtu: xxxxxxxxxxxxxx</w:t>
      </w:r>
    </w:p>
    <w:p w:rsidR="00CD5E1E" w:rsidRDefault="00523348">
      <w:pPr>
        <w:spacing w:after="0"/>
        <w:rPr>
          <w:b/>
          <w:bCs/>
        </w:rPr>
      </w:pPr>
      <w:r>
        <w:rPr>
          <w:b/>
          <w:bCs/>
        </w:rPr>
        <w:t>zastoupená: xxxxxxxxxxxxx</w:t>
      </w:r>
    </w:p>
    <w:p w:rsidR="00CD5E1E" w:rsidRDefault="00AC6AE4">
      <w:pPr>
        <w:spacing w:after="0"/>
      </w:pPr>
      <w:r>
        <w:t>(dále jen „</w:t>
      </w:r>
      <w:r>
        <w:rPr>
          <w:b/>
          <w:bCs/>
        </w:rPr>
        <w:t>SAZZK</w:t>
      </w:r>
      <w:r>
        <w:t>“)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a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rPr>
          <w:b/>
          <w:bCs/>
        </w:rPr>
        <w:t>Národní památkový ústav</w:t>
      </w:r>
      <w:r>
        <w:t>, státní příspěvková organizace</w:t>
      </w:r>
    </w:p>
    <w:p w:rsidR="00CD5E1E" w:rsidRDefault="00AC6AE4">
      <w:pPr>
        <w:spacing w:after="0"/>
      </w:pPr>
      <w:r>
        <w:t>IČO: 75032333, DIČ: CZ75032333,</w:t>
      </w:r>
    </w:p>
    <w:p w:rsidR="00CD5E1E" w:rsidRDefault="00AC6AE4">
      <w:pPr>
        <w:spacing w:after="0"/>
      </w:pPr>
      <w:r>
        <w:t>se sídlem: Valdštejnské nám. 162/3, PSČ 118 01 Praha 1 – Malá Strana,</w:t>
      </w:r>
    </w:p>
    <w:p w:rsidR="00CD5E1E" w:rsidRDefault="00523348">
      <w:pPr>
        <w:spacing w:after="0"/>
        <w:rPr>
          <w:b/>
          <w:bCs/>
        </w:rPr>
      </w:pPr>
      <w:r>
        <w:rPr>
          <w:b/>
          <w:bCs/>
        </w:rPr>
        <w:t>zastoupen: xxxxxxxxxxxxxx</w:t>
      </w:r>
      <w:r w:rsidR="00AC6AE4">
        <w:rPr>
          <w:b/>
          <w:bCs/>
        </w:rPr>
        <w:t>, ředitelem ÚPS Kroměříž,</w:t>
      </w:r>
    </w:p>
    <w:p w:rsidR="00CD5E1E" w:rsidRDefault="00AC6AE4">
      <w:pPr>
        <w:spacing w:after="0"/>
      </w:pPr>
      <w:r>
        <w:t>bankovní spojení: ČNB pobočka Praha, č. ú.: 500005-60039011/0710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Doručovací adresa:</w:t>
      </w:r>
    </w:p>
    <w:p w:rsidR="00CD5E1E" w:rsidRDefault="00AC6AE4">
      <w:pPr>
        <w:spacing w:after="0"/>
      </w:pPr>
      <w:r>
        <w:t>Národní památkový ústav, správa Květné zahrady Kroměříž</w:t>
      </w:r>
    </w:p>
    <w:p w:rsidR="00CD5E1E" w:rsidRDefault="00AC6AE4">
      <w:pPr>
        <w:spacing w:after="0"/>
      </w:pPr>
      <w:r>
        <w:t>adresa: Generála Svobody 1192/39, 767 01 Kroměříž,</w:t>
      </w:r>
    </w:p>
    <w:p w:rsidR="00CD5E1E" w:rsidRDefault="00523348">
      <w:pPr>
        <w:spacing w:after="0"/>
      </w:pPr>
      <w:r>
        <w:t>tel.: xxxxxxxxxxxxxxxx</w:t>
      </w:r>
      <w:r w:rsidR="00AC6AE4">
        <w:t>, e-mai</w:t>
      </w:r>
      <w:r>
        <w:t>l: xxxxxxxxxxxxxxxxxx</w:t>
      </w:r>
    </w:p>
    <w:p w:rsidR="00CD5E1E" w:rsidRDefault="00AC6AE4">
      <w:pPr>
        <w:spacing w:after="0"/>
      </w:pPr>
      <w:r>
        <w:t xml:space="preserve">(dále jen </w:t>
      </w:r>
      <w:r>
        <w:rPr>
          <w:b/>
          <w:bCs/>
        </w:rPr>
        <w:t>„NPÚ“</w:t>
      </w:r>
      <w:r>
        <w:t>)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ab/>
      </w:r>
      <w:r>
        <w:tab/>
        <w:t>jako smluvní strany uzavřely níže uvedeného dne</w:t>
      </w:r>
      <w:r>
        <w:t>, měsíce a roku tuto</w:t>
      </w:r>
    </w:p>
    <w:p w:rsidR="00CD5E1E" w:rsidRDefault="00CD5E1E">
      <w:pPr>
        <w:spacing w:after="0"/>
      </w:pPr>
    </w:p>
    <w:p w:rsidR="00CD5E1E" w:rsidRDefault="00AC6AE4">
      <w:pPr>
        <w:spacing w:after="0"/>
        <w:jc w:val="center"/>
        <w:rPr>
          <w:b/>
          <w:bCs/>
        </w:rPr>
      </w:pPr>
      <w:r>
        <w:rPr>
          <w:b/>
          <w:bCs/>
        </w:rPr>
        <w:t>Smlouva o spolupráci</w:t>
      </w:r>
    </w:p>
    <w:p w:rsidR="00CD5E1E" w:rsidRDefault="00CD5E1E">
      <w:pPr>
        <w:spacing w:after="0"/>
        <w:jc w:val="center"/>
        <w:rPr>
          <w:b/>
          <w:bCs/>
        </w:rPr>
      </w:pPr>
    </w:p>
    <w:p w:rsidR="00CD5E1E" w:rsidRDefault="00AC6AE4">
      <w:pPr>
        <w:spacing w:after="0"/>
        <w:jc w:val="center"/>
        <w:rPr>
          <w:b/>
          <w:bCs/>
        </w:rPr>
      </w:pPr>
      <w:r>
        <w:rPr>
          <w:b/>
          <w:bCs/>
        </w:rPr>
        <w:t>Článek I.</w:t>
      </w:r>
    </w:p>
    <w:p w:rsidR="00CD5E1E" w:rsidRDefault="00AC6AE4">
      <w:pPr>
        <w:spacing w:after="0"/>
        <w:jc w:val="center"/>
        <w:rPr>
          <w:b/>
          <w:bCs/>
        </w:rPr>
      </w:pPr>
      <w:r>
        <w:rPr>
          <w:b/>
          <w:bCs/>
        </w:rPr>
        <w:t>Předmět a účel smlouvy</w:t>
      </w:r>
    </w:p>
    <w:p w:rsidR="00CD5E1E" w:rsidRDefault="00CD5E1E">
      <w:pPr>
        <w:spacing w:after="0"/>
        <w:jc w:val="center"/>
      </w:pPr>
    </w:p>
    <w:p w:rsidR="00CD5E1E" w:rsidRDefault="00AC6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Předmětem této smlouvy je spolupráce smluvních stran na projektu </w:t>
      </w:r>
      <w:r>
        <w:rPr>
          <w:b/>
          <w:bCs/>
          <w:color w:val="000000"/>
        </w:rPr>
        <w:t xml:space="preserve">VIA UNESCO </w:t>
      </w:r>
      <w:r>
        <w:rPr>
          <w:color w:val="000000"/>
        </w:rPr>
        <w:t>–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zpřístupnění vybraných částí objektů obou institucí (NPÚ a SAZZK), tzn. dvou objektů (Arcibiskupského zámku v Kroměříži a Květné zahrady Kroměříž) za účelem nabídky speciálního produktu – vstupenka</w:t>
      </w:r>
      <w:r>
        <w:rPr>
          <w:b/>
          <w:bCs/>
          <w:color w:val="000000"/>
        </w:rPr>
        <w:t xml:space="preserve"> „VIA UNESCO“ </w:t>
      </w:r>
      <w:r>
        <w:rPr>
          <w:color w:val="000000"/>
        </w:rPr>
        <w:t>pro návštěvníky.</w:t>
      </w:r>
    </w:p>
    <w:p w:rsidR="00CD5E1E" w:rsidRDefault="00AC6A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Účelem této smlouvy je stano</w:t>
      </w:r>
      <w:r>
        <w:rPr>
          <w:color w:val="000000"/>
        </w:rPr>
        <w:t>vení provozních a platebních podmínek mezi provozovateli vstupenky VIA UNESCO.</w:t>
      </w:r>
    </w:p>
    <w:p w:rsidR="00CD5E1E" w:rsidRDefault="00CD5E1E">
      <w:pPr>
        <w:spacing w:after="0"/>
        <w:ind w:left="360"/>
      </w:pP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Článek II.</w:t>
      </w: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Vymezení pojmů</w:t>
      </w:r>
    </w:p>
    <w:p w:rsidR="00CD5E1E" w:rsidRDefault="00CD5E1E">
      <w:pPr>
        <w:spacing w:after="0"/>
        <w:ind w:left="360"/>
        <w:jc w:val="center"/>
        <w:rPr>
          <w:b/>
          <w:bCs/>
        </w:rPr>
      </w:pPr>
    </w:p>
    <w:p w:rsidR="00CD5E1E" w:rsidRDefault="00AC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Vstupenka VIA UNESCO</w:t>
      </w:r>
      <w:r>
        <w:t xml:space="preserve"> </w:t>
      </w:r>
      <w:r>
        <w:rPr>
          <w:color w:val="000000"/>
        </w:rPr>
        <w:t xml:space="preserve">je projektem SAZZK a NPÚ. </w:t>
      </w:r>
    </w:p>
    <w:p w:rsidR="00CD5E1E" w:rsidRDefault="00AC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S</w:t>
      </w:r>
      <w:r>
        <w:rPr>
          <w:color w:val="000000"/>
        </w:rPr>
        <w:t>AZZK a NPÚ nabízí vstup do návštěvnického okruhu „VIA UNESCO“ za cenu podle platného ceníku – viz příloha č. 1, která je nedílnou součástí této smlouvy. Smluvní strany si poskytují na základě vzájemné dohody podíl na ceně této vstupenky výměnou za zpřístup</w:t>
      </w:r>
      <w:r>
        <w:rPr>
          <w:color w:val="000000"/>
        </w:rPr>
        <w:t>nění vybraných částí partnerských objektů. Vstupenku VIA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UNESCO lze zakoupit na pokladnách SAZZK a v Květné zahradě. Vstupenku VIA UNESCO nelze zakoupit on-line.</w:t>
      </w:r>
    </w:p>
    <w:p w:rsidR="00CD5E1E" w:rsidRDefault="00AC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lastRenderedPageBreak/>
        <w:t>S</w:t>
      </w:r>
      <w:r>
        <w:rPr>
          <w:color w:val="000000"/>
        </w:rPr>
        <w:t xml:space="preserve">AZZK na základě vstupenky VIA UNESCO umožní návštěvníkovi v otevíracích hodinách zámku vstup </w:t>
      </w:r>
      <w:r>
        <w:t>na trasu Cesta dědictví</w:t>
      </w:r>
      <w:r>
        <w:rPr>
          <w:color w:val="000000"/>
        </w:rPr>
        <w:t xml:space="preserve"> v rámci otevírací doby. Poslední vstup je </w:t>
      </w:r>
      <w:r>
        <w:rPr>
          <w:color w:val="000000"/>
        </w:rPr>
        <w:br/>
        <w:t>30 minut před zavírací dobou. Doporučený minimální čas na prohlídku je</w:t>
      </w:r>
      <w:r>
        <w:rPr>
          <w:color w:val="6D9EEB"/>
        </w:rPr>
        <w:t xml:space="preserve"> </w:t>
      </w:r>
      <w:r>
        <w:t>60 minut.</w:t>
      </w:r>
      <w:r>
        <w:rPr>
          <w:color w:val="000000"/>
        </w:rPr>
        <w:t xml:space="preserve"> </w:t>
      </w:r>
      <w:r>
        <w:rPr>
          <w:color w:val="000000"/>
        </w:rPr>
        <w:br/>
        <w:t>Vstup na věž může být omezen z důvodu nepřízně počasí.</w:t>
      </w:r>
    </w:p>
    <w:p w:rsidR="00CD5E1E" w:rsidRDefault="00AC6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NPÚ na základě vstupenky VIA UNESCO umožní návštěvní</w:t>
      </w:r>
      <w:r>
        <w:rPr>
          <w:color w:val="000000"/>
        </w:rPr>
        <w:t xml:space="preserve">kovi v otevírací době a dle pravidel návštěvního řádu zahrady vstup do objektu bez průvodce. </w:t>
      </w:r>
    </w:p>
    <w:p w:rsidR="00CD5E1E" w:rsidRDefault="00CD5E1E">
      <w:pPr>
        <w:spacing w:after="0"/>
        <w:ind w:left="360"/>
        <w:jc w:val="center"/>
      </w:pP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Článek III.</w:t>
      </w: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Doba trvání smlouvy</w:t>
      </w:r>
    </w:p>
    <w:p w:rsidR="00CD5E1E" w:rsidRDefault="00CD5E1E">
      <w:pPr>
        <w:spacing w:after="0"/>
        <w:ind w:left="360"/>
        <w:jc w:val="center"/>
        <w:rPr>
          <w:b/>
          <w:bCs/>
        </w:rPr>
      </w:pPr>
    </w:p>
    <w:p w:rsidR="00CD5E1E" w:rsidRDefault="00AC6AE4">
      <w:pPr>
        <w:spacing w:after="0"/>
        <w:ind w:left="360"/>
        <w:rPr>
          <w:color w:val="FF0000"/>
          <w:shd w:val="clear" w:color="auto" w:fill="A4C2F4"/>
        </w:rPr>
      </w:pPr>
      <w:r>
        <w:t xml:space="preserve">Tato smlouva se uzavírá na dobu určitou </w:t>
      </w:r>
      <w:r>
        <w:rPr>
          <w:b/>
          <w:bCs/>
        </w:rPr>
        <w:t>od 1. 4. 2026 do 1. 11. 2026.</w:t>
      </w:r>
      <w:r>
        <w:rPr>
          <w:shd w:val="clear" w:color="auto" w:fill="A4C2F4"/>
        </w:rPr>
        <w:t xml:space="preserve"> </w:t>
      </w:r>
    </w:p>
    <w:p w:rsidR="00CD5E1E" w:rsidRDefault="00CD5E1E">
      <w:pPr>
        <w:spacing w:after="0"/>
      </w:pP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Článek IV.</w:t>
      </w:r>
    </w:p>
    <w:p w:rsidR="00CD5E1E" w:rsidRDefault="00AC6AE4">
      <w:pPr>
        <w:spacing w:after="0"/>
        <w:ind w:left="360"/>
        <w:jc w:val="center"/>
      </w:pPr>
      <w:r>
        <w:rPr>
          <w:b/>
          <w:bCs/>
        </w:rPr>
        <w:t>Práva a povinnosti smluvních stran</w:t>
      </w:r>
    </w:p>
    <w:p w:rsidR="00CD5E1E" w:rsidRDefault="00CD5E1E">
      <w:pPr>
        <w:spacing w:after="0"/>
        <w:ind w:left="360"/>
        <w:jc w:val="center"/>
      </w:pPr>
    </w:p>
    <w:p w:rsidR="00CD5E1E" w:rsidRDefault="00AC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Smluvní strany se zavazují prodávat vstupenku VIA UNESCO za cenu podle platného ceníku, který je Přílohou č. 1 této smlouvy. Z této ceny náleží smluvním stranám podíl z ceny každé prodané vstupenky tak, jak je uvedeno v Příloze č. 1 této smlouvy.</w:t>
      </w:r>
    </w:p>
    <w:p w:rsidR="00CD5E1E" w:rsidRDefault="00AC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Každá sml</w:t>
      </w:r>
      <w:r>
        <w:rPr>
          <w:color w:val="000000"/>
        </w:rPr>
        <w:t xml:space="preserve">uvní strana je povinna podat ostatním smluvním stranám vyúčtování všech prodaných společných vstupenek za příslušný kalendářní rok, a to v příslušném kalendářním roce 2026 za období od 1. 4. 2026 do 30. 6. 2026 nejpozději do 10. 7. 2026 a za období od </w:t>
      </w:r>
      <w:r>
        <w:rPr>
          <w:color w:val="000000"/>
        </w:rPr>
        <w:br/>
        <w:t xml:space="preserve">1. </w:t>
      </w:r>
      <w:r>
        <w:rPr>
          <w:color w:val="000000"/>
        </w:rPr>
        <w:t xml:space="preserve">7. 2026 do </w:t>
      </w:r>
      <w:r>
        <w:t>2</w:t>
      </w:r>
      <w:r>
        <w:rPr>
          <w:color w:val="000000"/>
        </w:rPr>
        <w:t>. 11. 2026 do 30. 11. 2026. Vyúčtování zahrnuje sestavu z prodejního systému obsahující informaci o počtu návštěvníků a výši tržeb za vstupenky VIA UNESCO (dále jen „sestava“) a převod příslušného podílu tržeb ve prospěch výše uvedeného bankovn</w:t>
      </w:r>
      <w:r>
        <w:rPr>
          <w:color w:val="000000"/>
        </w:rPr>
        <w:t>ího účtu druhé smluvní strany na základě vystavené faktury</w:t>
      </w:r>
      <w:r>
        <w:t xml:space="preserve">, </w:t>
      </w:r>
      <w:r>
        <w:rPr>
          <w:rFonts w:ascii="Arial" w:eastAsia="Arial" w:hAnsi="Arial" w:cs="Arial"/>
          <w:sz w:val="20"/>
          <w:szCs w:val="20"/>
          <w:highlight w:val="white"/>
        </w:rPr>
        <w:t>variabilní symbol platby ve prospěch účtu</w:t>
      </w:r>
      <w:r>
        <w:rPr>
          <w:rFonts w:ascii="Arial" w:eastAsia="Arial" w:hAnsi="Arial" w:cs="Arial"/>
          <w:sz w:val="20"/>
          <w:szCs w:val="20"/>
          <w:highlight w:val="red"/>
        </w:rPr>
        <w:t xml:space="preserve">      </w:t>
      </w:r>
      <w:r w:rsidR="00523348">
        <w:rPr>
          <w:rFonts w:ascii="Arial" w:eastAsia="Arial" w:hAnsi="Arial" w:cs="Arial"/>
          <w:sz w:val="20"/>
          <w:szCs w:val="20"/>
        </w:rPr>
        <w:t>NPÚ je xxxxxxxxxxx</w:t>
      </w:r>
      <w:r>
        <w:rPr>
          <w:rFonts w:ascii="Arial" w:eastAsia="Arial" w:hAnsi="Arial" w:cs="Arial"/>
          <w:sz w:val="20"/>
          <w:szCs w:val="20"/>
        </w:rPr>
        <w:t xml:space="preserve"> a variabilní symbol platby</w:t>
      </w:r>
      <w:r w:rsidR="00523348">
        <w:rPr>
          <w:rFonts w:ascii="Arial" w:eastAsia="Arial" w:hAnsi="Arial" w:cs="Arial"/>
          <w:sz w:val="20"/>
          <w:szCs w:val="20"/>
        </w:rPr>
        <w:t xml:space="preserve"> ve prospěch účtu AZZ je xxxxxxxxxxxxx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color w:val="000000"/>
        </w:rPr>
        <w:t>Sestava je zasílaná emailem na adresy níže uvedených kontaktních osob. Ko</w:t>
      </w:r>
      <w:r>
        <w:rPr>
          <w:color w:val="000000"/>
        </w:rPr>
        <w:t xml:space="preserve">ntaktní osobou za SAZZK je </w:t>
      </w:r>
      <w:r w:rsidR="00523348">
        <w:rPr>
          <w:b/>
          <w:bCs/>
        </w:rPr>
        <w:t>xxxxxxxxxx</w:t>
      </w:r>
      <w:r>
        <w:rPr>
          <w:color w:val="000000"/>
        </w:rPr>
        <w:t xml:space="preserve"> e-mail:</w:t>
      </w:r>
      <w:r w:rsidR="00523348">
        <w:t xml:space="preserve"> xxxxxxxxxxxxxx</w:t>
      </w:r>
      <w:r>
        <w:rPr>
          <w:color w:val="000000"/>
        </w:rPr>
        <w:t xml:space="preserve">, kontaktní osobou za NPÚ (Květná zahrada Kroměříž) je </w:t>
      </w:r>
      <w:r w:rsidR="00523348">
        <w:rPr>
          <w:b/>
          <w:bCs/>
          <w:color w:val="000000"/>
        </w:rPr>
        <w:t>xxxxxxxxxx</w:t>
      </w:r>
      <w:r w:rsidR="00523348">
        <w:rPr>
          <w:color w:val="000000"/>
        </w:rPr>
        <w:t>, e-mail: xxxxxxxxxxxxxx</w:t>
      </w:r>
      <w:r>
        <w:rPr>
          <w:color w:val="000000"/>
        </w:rPr>
        <w:t>.</w:t>
      </w:r>
    </w:p>
    <w:p w:rsidR="00CD5E1E" w:rsidRDefault="00AC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Smluvní strany se dohodly na prezentaci vstupenky VIA UNESCO</w:t>
      </w:r>
      <w:r>
        <w:t xml:space="preserve"> </w:t>
      </w:r>
      <w:r>
        <w:rPr>
          <w:color w:val="000000"/>
        </w:rPr>
        <w:t>na svých webových stránkách a</w:t>
      </w:r>
      <w:r>
        <w:rPr>
          <w:color w:val="000000"/>
        </w:rPr>
        <w:t xml:space="preserve"> podpoře formou výměny propagačních materiálů vstupenky VIA UNESCO.</w:t>
      </w:r>
    </w:p>
    <w:p w:rsidR="00CD5E1E" w:rsidRDefault="00AC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Platnost jednotlivých vstupenek VIA UNESCO je omezena na tři dny a otevírací dobu Arcibiskupského zámku a Květné zahrady Kroměříž.</w:t>
      </w:r>
    </w:p>
    <w:p w:rsidR="00CD5E1E" w:rsidRDefault="00AC6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Smluvní strany se zavazují řešit stížnosti a reklamace návštěvníků vzniklých nákupem vstupenek VIA UNESCO vždy do 24 hodin po jejich obdržení. Každou konkrétní stížnost nebo reklamaci vyřeší smluvní strana, jejíž objekt bude předmětem stížnosti nebo reklam</w:t>
      </w:r>
      <w:r>
        <w:rPr>
          <w:color w:val="000000"/>
        </w:rPr>
        <w:t>ace, přičemž místo nákupu vstupenky VIA UNESCO v tomto případě nehraje roli.</w:t>
      </w:r>
    </w:p>
    <w:p w:rsidR="00CD5E1E" w:rsidRDefault="00CD5E1E">
      <w:pPr>
        <w:spacing w:after="0"/>
        <w:rPr>
          <w:b/>
          <w:bCs/>
        </w:rPr>
      </w:pP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Článek V.</w:t>
      </w:r>
    </w:p>
    <w:p w:rsidR="00CD5E1E" w:rsidRDefault="00AC6AE4">
      <w:pPr>
        <w:spacing w:after="0"/>
        <w:ind w:left="36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:rsidR="00CD5E1E" w:rsidRDefault="00CD5E1E">
      <w:pPr>
        <w:spacing w:after="0"/>
        <w:ind w:left="360"/>
        <w:jc w:val="center"/>
        <w:rPr>
          <w:b/>
          <w:bCs/>
        </w:rPr>
      </w:pP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Tato smlouva je vyhotovena ve </w:t>
      </w:r>
      <w:r>
        <w:t>t</w:t>
      </w:r>
      <w:r>
        <w:rPr>
          <w:color w:val="000000"/>
        </w:rPr>
        <w:t xml:space="preserve">řech stejnopisech s platností originálu, z nichž po dvou paré obdrží NPÚ a </w:t>
      </w:r>
      <w:r>
        <w:t>jedn</w:t>
      </w:r>
      <w:r w:rsidR="00D53271">
        <w:t>o</w:t>
      </w:r>
      <w:r>
        <w:t xml:space="preserve"> paré obdrží SAZZK</w:t>
      </w:r>
      <w:r>
        <w:rPr>
          <w:color w:val="000000"/>
        </w:rPr>
        <w:t>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Pokud není ve smlouvě uvedeno jinak, řídí se smluvní vztah občanským zákoníkem v platném znění.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Smlouva nabývá platnosti dnem jejího podpisu všemi smluvními stranami a účinnosti dnem jejího zveřejnění v registru smluv.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lastRenderedPageBreak/>
        <w:t>Smluvní strany berou na vědomí, že sm</w:t>
      </w:r>
      <w:r>
        <w:rPr>
          <w:color w:val="000000"/>
        </w:rPr>
        <w:t xml:space="preserve">louvy s hodnotou předmětu převyšující 50.000 Kč bez DPH včetně dohod, na základě, kterých se tyto smlouvy mění, nahrazují nebo ruší, zveřejní NPÚ v Registru smluv zřízeném jako informační systém veřejné správy na základě zákona č. 340/2015 Sb., o registru </w:t>
      </w:r>
      <w:r>
        <w:rPr>
          <w:color w:val="000000"/>
        </w:rPr>
        <w:t>smluv. Smluvní strany výslovně souhlasí s tím, aby tato smlouva včetně případných dohod o její změně, nahrazení nebo zrušení byly v plném rozsahu v Registru smluv zveřejněny, kdy toto zveřejnění zajistí NPÚ. Smluvní strany prohlašují, že skutečnosti uveden</w:t>
      </w:r>
      <w:r>
        <w:rPr>
          <w:color w:val="000000"/>
        </w:rPr>
        <w:t>é v této smlouvě nepovažují za obchodní tajemství a udělují svolení k jejich užití a zveřejnění bez stanovení jakýchkoliv dalších podmínek.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Smluvní strany se zavazují spolupůsobit jako osoba povinná v souladu se zákonem č. 320/2001 Sb., o finanční kontrole</w:t>
      </w:r>
      <w:r>
        <w:rPr>
          <w:color w:val="000000"/>
        </w:rPr>
        <w:t xml:space="preserve"> ve veřejné správě a o změně některých zákonů (zákon o finanční kontrole), ve znění pozdějších předpisů.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Jakékoliv změny této smlouvy lze činit pouze po dohodě smluvních stran ve formě písemných dodatků.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Smluvní strany prohlašují, že tuto smlouvu uzavřely </w:t>
      </w:r>
      <w:r>
        <w:rPr>
          <w:color w:val="000000"/>
        </w:rPr>
        <w:t>podle své pravé a svobodné vůle prosté omylů, nikoliv v tísni a že vzájemné plnění dle této smlouvy není v hrubém nepoměru. Smlouva je pro obě smluvní strany určitá a srozumitelná.</w:t>
      </w:r>
    </w:p>
    <w:p w:rsidR="00CD5E1E" w:rsidRDefault="00AC6AE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Informace k ochraně osobních údajů jsou ze strany NPÚ uveřejněny na webovýc</w:t>
      </w:r>
      <w:r>
        <w:rPr>
          <w:color w:val="000000"/>
        </w:rPr>
        <w:t>h stránkách www.npu.cz v sekci "Ochrana osobních údajů".</w:t>
      </w:r>
    </w:p>
    <w:p w:rsidR="00CD5E1E" w:rsidRDefault="00CD5E1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:rsidR="00CD5E1E" w:rsidRDefault="00CD5E1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CD5E1E" w:rsidRDefault="00AC6AE4">
      <w:pPr>
        <w:spacing w:after="0"/>
      </w:pPr>
      <w:r>
        <w:t>Příloha č. 1: ceník vstupenek a podíly smluvních stran ze vstupného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V Kroměříži dne 30. 3. 2026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……………………………………</w:t>
      </w:r>
    </w:p>
    <w:p w:rsidR="00CD5E1E" w:rsidRDefault="00AC6AE4">
      <w:pPr>
        <w:spacing w:after="0"/>
      </w:pPr>
      <w:r>
        <w:t>Za Správu Arcibiskupského zámku a zahrad v Kroměříži</w:t>
      </w:r>
    </w:p>
    <w:p w:rsidR="00CD5E1E" w:rsidRDefault="00523348">
      <w:pPr>
        <w:spacing w:after="0"/>
      </w:pPr>
      <w:r>
        <w:t>xxxxxxxxxxxxxxxxxxxxx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V Kroměříži, dne 30. 3. 2026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…………………………………..</w:t>
      </w:r>
    </w:p>
    <w:p w:rsidR="00CD5E1E" w:rsidRDefault="00AC6AE4">
      <w:pPr>
        <w:spacing w:after="0"/>
      </w:pPr>
      <w:r>
        <w:t>Za Národní památkový ústav</w:t>
      </w:r>
    </w:p>
    <w:p w:rsidR="00CD5E1E" w:rsidRDefault="00AC6AE4">
      <w:pPr>
        <w:spacing w:after="0"/>
      </w:pPr>
      <w:r>
        <w:t>Ing. Petr Šubík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br w:type="column"/>
      </w:r>
      <w:r>
        <w:lastRenderedPageBreak/>
        <w:t>Příloha č. 1 ke Smlouvě o spolupráci VIA UNESCO</w:t>
      </w:r>
    </w:p>
    <w:p w:rsidR="00CD5E1E" w:rsidRDefault="00CD5E1E">
      <w:pPr>
        <w:spacing w:after="0"/>
      </w:pPr>
    </w:p>
    <w:p w:rsidR="00CD5E1E" w:rsidRDefault="00AC6AE4">
      <w:pPr>
        <w:spacing w:after="0"/>
        <w:rPr>
          <w:b/>
          <w:bCs/>
        </w:rPr>
      </w:pPr>
      <w:r>
        <w:rPr>
          <w:b/>
          <w:bCs/>
        </w:rPr>
        <w:t>Ceník vstupenek a podíly smluvních stran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Smluvní strany v souladu se Smlouvou o spolupráci SAZZK a NPÚ tímto stanovují ceny společných vstupenek a jednotlivé podíly smluvních stran následovně:</w:t>
      </w: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Veřejný ceník pro rok 2026:</w:t>
      </w:r>
    </w:p>
    <w:p w:rsidR="00CD5E1E" w:rsidRDefault="00CD5E1E">
      <w:pPr>
        <w:spacing w:after="0"/>
      </w:pPr>
    </w:p>
    <w:tbl>
      <w:tblPr>
        <w:tblStyle w:val="a3"/>
        <w:tblW w:w="50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819"/>
      </w:tblGrid>
      <w:tr w:rsidR="00CD5E1E">
        <w:trPr>
          <w:trHeight w:val="48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Kategorie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UNESCO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Základní (Dospělí od 25 do 64.)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Snížené (Senioři 65+, Mládež od 18 do 24, Držitelé průkazu ZTP, ZTP/P)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Děti od 6 do 17 let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Děti do 6 let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 Kč</w:t>
            </w:r>
          </w:p>
        </w:tc>
      </w:tr>
    </w:tbl>
    <w:p w:rsidR="00CD5E1E" w:rsidRDefault="00CD5E1E">
      <w:pPr>
        <w:spacing w:after="0"/>
      </w:pPr>
    </w:p>
    <w:p w:rsidR="00CD5E1E" w:rsidRDefault="00AC6AE4">
      <w:pPr>
        <w:spacing w:after="0"/>
      </w:pPr>
      <w:r>
        <w:t>Podíly smluvních stran pro rok 2026:</w:t>
      </w:r>
    </w:p>
    <w:p w:rsidR="00CD5E1E" w:rsidRDefault="00CD5E1E">
      <w:pPr>
        <w:spacing w:after="0"/>
      </w:pPr>
    </w:p>
    <w:tbl>
      <w:tblPr>
        <w:tblStyle w:val="a4"/>
        <w:tblW w:w="69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1819"/>
        <w:gridCol w:w="1910"/>
      </w:tblGrid>
      <w:tr w:rsidR="00CD5E1E">
        <w:trPr>
          <w:trHeight w:val="48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Kategorie / podíl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Via Magnifica</w:t>
            </w:r>
            <w:r>
              <w:rPr>
                <w:b/>
                <w:bCs/>
              </w:rPr>
              <w:br/>
              <w:t>(AZZ)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Květná zahrada (NPÚ)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Základní (Dospělí od 25 do 64.)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</w:pPr>
            <w:r>
              <w:t>400 Kč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</w:pPr>
            <w:r>
              <w:t>180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Snížené (Senioři 65+, Mládež od 18 do 24, Držitelé průkazu ZTP, ZTP/P)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</w:pPr>
            <w:r>
              <w:t>260 Kč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</w:pPr>
            <w:r>
              <w:t>140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</w:pPr>
            <w:r>
              <w:t>Děti od 6 do 17 let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</w:pPr>
            <w:r>
              <w:t>200 Kč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</w:pPr>
            <w:r>
              <w:t xml:space="preserve">   50 Kč</w:t>
            </w:r>
          </w:p>
        </w:tc>
      </w:tr>
      <w:tr w:rsidR="00CD5E1E">
        <w:trPr>
          <w:trHeight w:val="1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rPr>
                <w:u w:val="single"/>
              </w:rPr>
            </w:pPr>
            <w:r>
              <w:t>Děti do 6 let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E1E" w:rsidRDefault="00AC6AE4">
            <w:pPr>
              <w:spacing w:after="0"/>
              <w:jc w:val="center"/>
              <w:rPr>
                <w:u w:val="single"/>
              </w:rPr>
            </w:pPr>
            <w:r>
              <w:t xml:space="preserve">     0 Kč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1E" w:rsidRDefault="00AC6AE4">
            <w:pPr>
              <w:spacing w:after="0"/>
              <w:jc w:val="center"/>
              <w:rPr>
                <w:u w:val="single"/>
              </w:rPr>
            </w:pPr>
            <w:r>
              <w:t xml:space="preserve">     0 Kč</w:t>
            </w:r>
          </w:p>
        </w:tc>
      </w:tr>
    </w:tbl>
    <w:p w:rsidR="00CD5E1E" w:rsidRDefault="00CD5E1E">
      <w:pPr>
        <w:spacing w:after="0"/>
      </w:pPr>
    </w:p>
    <w:p w:rsidR="00CD5E1E" w:rsidRDefault="00AC6AE4">
      <w:pPr>
        <w:spacing w:after="0"/>
      </w:pPr>
      <w:r>
        <w:t>V Kroměříži, dne 30. 3. 2026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……………………………………</w:t>
      </w:r>
    </w:p>
    <w:p w:rsidR="00CD5E1E" w:rsidRDefault="00AC6AE4">
      <w:pPr>
        <w:spacing w:after="0"/>
      </w:pPr>
      <w:r>
        <w:t>Za Správu arcibiskupského zámku a zahrad v Kroměříži</w:t>
      </w:r>
    </w:p>
    <w:p w:rsidR="00CD5E1E" w:rsidRDefault="00523348">
      <w:pPr>
        <w:spacing w:after="0"/>
      </w:pPr>
      <w:r>
        <w:t>xxxxxxxxxxxxxxxxxxxxxx</w:t>
      </w:r>
      <w:bookmarkStart w:id="2" w:name="_GoBack"/>
      <w:bookmarkEnd w:id="2"/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V Kroměříži, dne 30. 3. 2026</w:t>
      </w: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CD5E1E">
      <w:pPr>
        <w:spacing w:after="0"/>
      </w:pPr>
    </w:p>
    <w:p w:rsidR="00CD5E1E" w:rsidRDefault="00AC6AE4">
      <w:pPr>
        <w:spacing w:after="0"/>
      </w:pPr>
      <w:r>
        <w:t>…………………………………..</w:t>
      </w:r>
    </w:p>
    <w:p w:rsidR="00CD5E1E" w:rsidRDefault="00AC6AE4">
      <w:pPr>
        <w:spacing w:after="0"/>
      </w:pPr>
      <w:r>
        <w:t>Za Národní památkový ústav</w:t>
      </w:r>
    </w:p>
    <w:p w:rsidR="00CD5E1E" w:rsidRDefault="00AC6AE4">
      <w:pPr>
        <w:spacing w:after="0"/>
      </w:pPr>
      <w:r>
        <w:t>Ing. Petr Šubík</w:t>
      </w:r>
    </w:p>
    <w:p w:rsidR="00CD5E1E" w:rsidRDefault="00CD5E1E">
      <w:pPr>
        <w:spacing w:after="0"/>
        <w:ind w:left="708" w:firstLine="708"/>
      </w:pPr>
    </w:p>
    <w:sectPr w:rsidR="00CD5E1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E4" w:rsidRDefault="00AC6AE4">
      <w:pPr>
        <w:spacing w:after="0" w:line="240" w:lineRule="auto"/>
      </w:pPr>
      <w:r>
        <w:separator/>
      </w:r>
    </w:p>
  </w:endnote>
  <w:endnote w:type="continuationSeparator" w:id="0">
    <w:p w:rsidR="00AC6AE4" w:rsidRDefault="00AC6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8EE43B-F94B-4EF7-A290-1E8DFA758475}"/>
    <w:embedBold r:id="rId2" w:fontKey="{6BCE39D9-DFC2-4181-8D98-4EC2B4E498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D8DED0E-6933-4709-A367-C2959E91E03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289C799-B56B-4F27-AE4A-149E8A1344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E9B4FF9-062F-4D9B-9747-B243F26AF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E1E" w:rsidRDefault="00AC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D53271">
      <w:rPr>
        <w:color w:val="000000"/>
      </w:rPr>
      <w:fldChar w:fldCharType="separate"/>
    </w:r>
    <w:r w:rsidR="00523348">
      <w:rPr>
        <w:noProof/>
        <w:color w:val="000000"/>
      </w:rPr>
      <w:t>1</w:t>
    </w:r>
    <w:r>
      <w:rPr>
        <w:color w:val="000000"/>
      </w:rPr>
      <w:fldChar w:fldCharType="end"/>
    </w:r>
  </w:p>
  <w:p w:rsidR="00CD5E1E" w:rsidRDefault="00CD5E1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E4" w:rsidRDefault="00AC6AE4">
      <w:pPr>
        <w:spacing w:after="0" w:line="240" w:lineRule="auto"/>
      </w:pPr>
      <w:r>
        <w:separator/>
      </w:r>
    </w:p>
  </w:footnote>
  <w:footnote w:type="continuationSeparator" w:id="0">
    <w:p w:rsidR="00AC6AE4" w:rsidRDefault="00AC6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E1E" w:rsidRDefault="00AC6AE4">
    <w:pPr>
      <w:pBdr>
        <w:top w:val="nil"/>
        <w:left w:val="nil"/>
        <w:bottom w:val="nil"/>
        <w:right w:val="nil"/>
        <w:between w:val="nil"/>
      </w:pBdr>
      <w:tabs>
        <w:tab w:val="left" w:pos="5954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  <w:t xml:space="preserve">Č.j. NPÚ: </w:t>
    </w:r>
    <w:r w:rsidR="00D53271" w:rsidRPr="00D53271">
      <w:rPr>
        <w:color w:val="000000"/>
      </w:rPr>
      <w:t>NPU-450/23592/2026</w:t>
    </w:r>
  </w:p>
  <w:p w:rsidR="00CD5E1E" w:rsidRDefault="00AC6AE4">
    <w:pPr>
      <w:pBdr>
        <w:top w:val="nil"/>
        <w:left w:val="nil"/>
        <w:bottom w:val="nil"/>
        <w:right w:val="nil"/>
        <w:between w:val="nil"/>
      </w:pBdr>
      <w:tabs>
        <w:tab w:val="left" w:pos="5954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>Č.j. SAZZK: 202</w:t>
    </w:r>
    <w:r>
      <w:t>6</w:t>
    </w:r>
    <w:r>
      <w:rPr>
        <w:color w:val="000000"/>
      </w:rPr>
      <w:t>-S-0</w:t>
    </w:r>
    <w:r>
      <w:t>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D18CF"/>
    <w:multiLevelType w:val="multilevel"/>
    <w:tmpl w:val="D0FCD6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4CA1"/>
    <w:multiLevelType w:val="multilevel"/>
    <w:tmpl w:val="FD289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10CD6"/>
    <w:multiLevelType w:val="multilevel"/>
    <w:tmpl w:val="24D2F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E5D85"/>
    <w:multiLevelType w:val="multilevel"/>
    <w:tmpl w:val="1968F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E1E"/>
    <w:rsid w:val="00523348"/>
    <w:rsid w:val="00AC6AE4"/>
    <w:rsid w:val="00CD5E1E"/>
    <w:rsid w:val="00D5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60212-B269-4556-A6F7-4CADE7F1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uiPriority w:val="34"/>
    <w:qFormat/>
    <w:rsid w:val="00803A3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A05C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A05C6"/>
    <w:rPr>
      <w:color w:val="605E5C"/>
      <w:shd w:val="clear" w:color="auto" w:fill="E1DFDD"/>
    </w:rPr>
  </w:style>
  <w:style w:type="paragraph" w:styleId="Zhlav">
    <w:name w:val="header"/>
    <w:link w:val="ZhlavChar"/>
    <w:uiPriority w:val="99"/>
    <w:unhideWhenUsed/>
    <w:rsid w:val="004A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760D"/>
  </w:style>
  <w:style w:type="paragraph" w:styleId="Zpat">
    <w:name w:val="footer"/>
    <w:link w:val="ZpatChar"/>
    <w:uiPriority w:val="99"/>
    <w:unhideWhenUsed/>
    <w:rsid w:val="004A7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60D"/>
  </w:style>
  <w:style w:type="paragraph" w:styleId="Textbubliny">
    <w:name w:val="Balloon Text"/>
    <w:link w:val="TextbublinyChar"/>
    <w:uiPriority w:val="99"/>
    <w:semiHidden/>
    <w:unhideWhenUsed/>
    <w:rsid w:val="00372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2A4E"/>
    <w:rPr>
      <w:rFonts w:ascii="Segoe UI" w:hAnsi="Segoe UI" w:cs="Segoe UI"/>
      <w:sz w:val="18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kHRR2Drm2s99CuH34kc+ugVMYg==">CgMxLjAyDWguY2dnM3gzcGRwZmsyDmgudnVhbG1iN2F6a2JkOAByITFJc2llS3B2amlnZVFTSzFNbEVpRndMRkN6Q2tHek1iQw==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1036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Dufková Tereza</dc:creator>
  <cp:lastModifiedBy>Suchánková Jindřiška</cp:lastModifiedBy>
  <cp:revision>2</cp:revision>
  <cp:lastPrinted>2026-03-30T10:00:00Z</cp:lastPrinted>
  <dcterms:created xsi:type="dcterms:W3CDTF">2026-03-30T11:43:00Z</dcterms:created>
  <dcterms:modified xsi:type="dcterms:W3CDTF">2026-03-30T11:43:00Z</dcterms:modified>
</cp:coreProperties>
</file>