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51" w:rsidRDefault="00D737E0">
      <w:pPr>
        <w:pStyle w:val="Nadpis20"/>
        <w:keepNext/>
        <w:keepLines/>
        <w:shd w:val="clear" w:color="auto" w:fill="auto"/>
        <w:spacing w:before="520" w:after="0"/>
      </w:pPr>
      <w:bookmarkStart w:id="0" w:name="bookmark0"/>
      <w:r>
        <w:t>Dodatek č</w:t>
      </w:r>
      <w:r w:rsidR="00297EE5">
        <w:t>. 2</w:t>
      </w:r>
      <w:bookmarkEnd w:id="0"/>
    </w:p>
    <w:p w:rsidR="00535851" w:rsidRDefault="00D737E0">
      <w:pPr>
        <w:pStyle w:val="Nadpis20"/>
        <w:keepNext/>
        <w:keepLines/>
        <w:shd w:val="clear" w:color="auto" w:fill="auto"/>
        <w:spacing w:after="800"/>
      </w:pPr>
      <w:bookmarkStart w:id="1" w:name="bookmark1"/>
      <w:r>
        <w:t xml:space="preserve">ke smlouvě </w:t>
      </w:r>
      <w:proofErr w:type="gramStart"/>
      <w:r>
        <w:t>č</w:t>
      </w:r>
      <w:r w:rsidR="00297EE5">
        <w:t>.j.</w:t>
      </w:r>
      <w:proofErr w:type="gramEnd"/>
      <w:r w:rsidR="00297EE5">
        <w:t xml:space="preserve"> NG/99/2017</w:t>
      </w:r>
      <w:bookmarkEnd w:id="1"/>
    </w:p>
    <w:p w:rsidR="00535851" w:rsidRDefault="00297EE5">
      <w:pPr>
        <w:pStyle w:val="Nadpis20"/>
        <w:keepNext/>
        <w:keepLines/>
        <w:numPr>
          <w:ilvl w:val="0"/>
          <w:numId w:val="1"/>
        </w:numPr>
        <w:shd w:val="clear" w:color="auto" w:fill="auto"/>
        <w:tabs>
          <w:tab w:val="left" w:pos="348"/>
        </w:tabs>
        <w:spacing w:after="0"/>
        <w:jc w:val="left"/>
      </w:pPr>
      <w:bookmarkStart w:id="2" w:name="bookmark2"/>
      <w:r>
        <w:t>Národní galerie v Praze</w:t>
      </w:r>
      <w:bookmarkEnd w:id="2"/>
    </w:p>
    <w:p w:rsidR="00535851" w:rsidRDefault="00297EE5">
      <w:pPr>
        <w:pStyle w:val="Zkladntext1"/>
        <w:shd w:val="clear" w:color="auto" w:fill="auto"/>
        <w:spacing w:after="0" w:line="240" w:lineRule="auto"/>
      </w:pPr>
      <w:r>
        <w:t>se sídlem: Staroměstské nám. 12, 110 15 Praha 1</w:t>
      </w:r>
    </w:p>
    <w:p w:rsidR="00535851" w:rsidRDefault="00297EE5">
      <w:pPr>
        <w:pStyle w:val="Zkladntext1"/>
        <w:shd w:val="clear" w:color="auto" w:fill="auto"/>
        <w:spacing w:after="0" w:line="240" w:lineRule="auto"/>
      </w:pPr>
      <w:r>
        <w:t>zastoupena: Jiřím Fajtem, generálním ředitelem</w:t>
      </w:r>
    </w:p>
    <w:p w:rsidR="00535851" w:rsidRDefault="00297EE5">
      <w:pPr>
        <w:pStyle w:val="Zkladntext1"/>
        <w:shd w:val="clear" w:color="auto" w:fill="auto"/>
        <w:spacing w:after="0" w:line="240" w:lineRule="auto"/>
      </w:pPr>
      <w:r>
        <w:t>IČ: 00023281, DIČ: CZ00023281</w:t>
      </w:r>
    </w:p>
    <w:p w:rsidR="00D737E0" w:rsidRDefault="00297EE5" w:rsidP="00D737E0">
      <w:pPr>
        <w:pStyle w:val="Zkladntext1"/>
        <w:shd w:val="clear" w:color="auto" w:fill="auto"/>
        <w:spacing w:after="0" w:line="312" w:lineRule="auto"/>
        <w:ind w:right="1678"/>
      </w:pPr>
      <w:r>
        <w:t xml:space="preserve">bankovní spojení: Česká národní banka, číslo účtu: 050008-0008839011/0710 </w:t>
      </w:r>
    </w:p>
    <w:p w:rsidR="00535851" w:rsidRDefault="00297EE5" w:rsidP="00D737E0">
      <w:pPr>
        <w:pStyle w:val="Zkladntext1"/>
        <w:shd w:val="clear" w:color="auto" w:fill="auto"/>
        <w:spacing w:after="0" w:line="312" w:lineRule="auto"/>
        <w:ind w:right="1678"/>
      </w:pPr>
      <w:r>
        <w:t>(dále jen „objednatel“)</w:t>
      </w:r>
    </w:p>
    <w:p w:rsidR="00D737E0" w:rsidRDefault="00D737E0" w:rsidP="00D737E0">
      <w:pPr>
        <w:pStyle w:val="Zkladntext1"/>
        <w:shd w:val="clear" w:color="auto" w:fill="auto"/>
        <w:spacing w:after="0" w:line="312" w:lineRule="auto"/>
        <w:ind w:right="1678"/>
      </w:pPr>
    </w:p>
    <w:p w:rsidR="00535851" w:rsidRDefault="00297EE5">
      <w:pPr>
        <w:pStyle w:val="Zkladntext1"/>
        <w:shd w:val="clear" w:color="auto" w:fill="auto"/>
      </w:pPr>
      <w:r>
        <w:t>a</w:t>
      </w:r>
    </w:p>
    <w:p w:rsidR="00535851" w:rsidRDefault="00297EE5">
      <w:pPr>
        <w:pStyle w:val="Nadpis20"/>
        <w:keepNext/>
        <w:keepLines/>
        <w:numPr>
          <w:ilvl w:val="0"/>
          <w:numId w:val="1"/>
        </w:numPr>
        <w:shd w:val="clear" w:color="auto" w:fill="auto"/>
        <w:tabs>
          <w:tab w:val="left" w:pos="358"/>
        </w:tabs>
        <w:spacing w:after="0"/>
        <w:jc w:val="left"/>
      </w:pPr>
      <w:bookmarkStart w:id="3" w:name="bookmark3"/>
      <w:r>
        <w:t xml:space="preserve">OMNILINK </w:t>
      </w:r>
      <w:proofErr w:type="spellStart"/>
      <w:r>
        <w:t>Services</w:t>
      </w:r>
      <w:proofErr w:type="spellEnd"/>
      <w:r>
        <w:t xml:space="preserve"> a.s.</w:t>
      </w:r>
      <w:bookmarkEnd w:id="3"/>
    </w:p>
    <w:p w:rsidR="00535851" w:rsidRDefault="00297EE5">
      <w:pPr>
        <w:pStyle w:val="Zkladntext1"/>
        <w:shd w:val="clear" w:color="auto" w:fill="auto"/>
        <w:spacing w:after="0"/>
      </w:pPr>
      <w:r>
        <w:t>se sídlem: V Korytech 3155/23, Záběhlice, 106 00 Praha 10</w:t>
      </w:r>
    </w:p>
    <w:p w:rsidR="00535851" w:rsidRDefault="00297EE5">
      <w:pPr>
        <w:pStyle w:val="Zkladntext1"/>
        <w:shd w:val="clear" w:color="auto" w:fill="auto"/>
        <w:spacing w:after="0"/>
      </w:pPr>
      <w:r>
        <w:t>zastoupena: Filipem Lukášem, předsedou představenstva a Ing. Robertem Hořčíkem, členem představenstva</w:t>
      </w:r>
    </w:p>
    <w:p w:rsidR="00D737E0" w:rsidRDefault="00297EE5" w:rsidP="00D737E0">
      <w:pPr>
        <w:pStyle w:val="Zkladntext1"/>
        <w:shd w:val="clear" w:color="auto" w:fill="auto"/>
        <w:spacing w:after="0"/>
      </w:pPr>
      <w:r>
        <w:t xml:space="preserve">zapsaná v obchodním rejstříku vedeném Městským soudem v Praze, oddíl B, vložka 18197 </w:t>
      </w:r>
    </w:p>
    <w:p w:rsidR="00D737E0" w:rsidRDefault="00297EE5" w:rsidP="00D737E0">
      <w:pPr>
        <w:pStyle w:val="Zkladntext1"/>
        <w:shd w:val="clear" w:color="auto" w:fill="auto"/>
        <w:spacing w:after="0"/>
      </w:pPr>
      <w:r>
        <w:t xml:space="preserve">IČ: 24298557, DIČ: CZ 24298557 </w:t>
      </w:r>
    </w:p>
    <w:p w:rsidR="00535851" w:rsidRDefault="00297EE5" w:rsidP="00D737E0">
      <w:pPr>
        <w:pStyle w:val="Zkladntext1"/>
        <w:shd w:val="clear" w:color="auto" w:fill="auto"/>
        <w:spacing w:after="0"/>
      </w:pPr>
      <w:r>
        <w:t>(dále jen „zhotovitel“)</w:t>
      </w:r>
    </w:p>
    <w:p w:rsidR="00D737E0" w:rsidRDefault="00D737E0" w:rsidP="00D737E0">
      <w:pPr>
        <w:pStyle w:val="Zkladntext1"/>
        <w:shd w:val="clear" w:color="auto" w:fill="auto"/>
        <w:spacing w:after="0"/>
      </w:pPr>
    </w:p>
    <w:p w:rsidR="00D737E0" w:rsidRDefault="00D737E0" w:rsidP="00D737E0">
      <w:pPr>
        <w:pStyle w:val="Zkladntext1"/>
        <w:shd w:val="clear" w:color="auto" w:fill="auto"/>
        <w:spacing w:after="0"/>
      </w:pPr>
    </w:p>
    <w:p w:rsidR="00535851" w:rsidRDefault="00297EE5">
      <w:pPr>
        <w:pStyle w:val="Zkladntext1"/>
        <w:shd w:val="clear" w:color="auto" w:fill="auto"/>
        <w:spacing w:after="540"/>
        <w:jc w:val="center"/>
      </w:pPr>
      <w:r>
        <w:t>uzavírají níže uvedeného dne, měsíce a roku na základě vzájemného konsensu o všech níže</w:t>
      </w:r>
      <w:r>
        <w:br/>
        <w:t>uvedených ustanoveních tento</w:t>
      </w:r>
    </w:p>
    <w:p w:rsidR="00535851" w:rsidRDefault="00297EE5">
      <w:pPr>
        <w:pStyle w:val="Nadpis20"/>
        <w:keepNext/>
        <w:keepLines/>
        <w:shd w:val="clear" w:color="auto" w:fill="auto"/>
        <w:spacing w:after="540"/>
      </w:pPr>
      <w:bookmarkStart w:id="4" w:name="bookmark4"/>
      <w:r>
        <w:t xml:space="preserve">dodatek č. 2 ke smlouvě o dílo </w:t>
      </w:r>
      <w:proofErr w:type="gramStart"/>
      <w:r w:rsidR="00D737E0">
        <w:t>č</w:t>
      </w:r>
      <w:r>
        <w:t>.j.</w:t>
      </w:r>
      <w:proofErr w:type="gramEnd"/>
      <w:r>
        <w:t xml:space="preserve"> NG/99/2017 ze dne 23.1.2017:</w:t>
      </w:r>
      <w:bookmarkEnd w:id="4"/>
    </w:p>
    <w:p w:rsidR="00535851" w:rsidRDefault="00297EE5">
      <w:pPr>
        <w:pStyle w:val="Nadpis20"/>
        <w:keepNext/>
        <w:keepLines/>
        <w:shd w:val="clear" w:color="auto" w:fill="auto"/>
        <w:spacing w:after="0"/>
      </w:pPr>
      <w:bookmarkStart w:id="5" w:name="bookmark5"/>
      <w:r>
        <w:t>I.</w:t>
      </w:r>
      <w:bookmarkEnd w:id="5"/>
    </w:p>
    <w:p w:rsidR="00535851" w:rsidRDefault="00297EE5">
      <w:pPr>
        <w:pStyle w:val="Nadpis20"/>
        <w:keepNext/>
        <w:keepLines/>
        <w:shd w:val="clear" w:color="auto" w:fill="auto"/>
        <w:spacing w:after="280"/>
      </w:pPr>
      <w:bookmarkStart w:id="6" w:name="bookmark6"/>
      <w:r>
        <w:t>Předmět dodatku</w:t>
      </w:r>
      <w:bookmarkEnd w:id="6"/>
    </w:p>
    <w:p w:rsidR="00535851" w:rsidRDefault="00297EE5">
      <w:pPr>
        <w:pStyle w:val="Zkladntext1"/>
        <w:numPr>
          <w:ilvl w:val="0"/>
          <w:numId w:val="2"/>
        </w:numPr>
        <w:shd w:val="clear" w:color="auto" w:fill="auto"/>
        <w:tabs>
          <w:tab w:val="left" w:pos="706"/>
        </w:tabs>
        <w:ind w:left="700" w:hanging="340"/>
      </w:pPr>
      <w:r>
        <w:t>Předmětem tohoto dodatku je úprava Projektové dokumentace dle čl. III Smlouvy. Jedná se zejména o úpravu technického řešení aktivních prvků sítě na základě připomínek MKČR:</w:t>
      </w:r>
    </w:p>
    <w:p w:rsidR="00535851" w:rsidRDefault="00297EE5">
      <w:pPr>
        <w:pStyle w:val="Zkladntext1"/>
        <w:numPr>
          <w:ilvl w:val="0"/>
          <w:numId w:val="3"/>
        </w:numPr>
        <w:shd w:val="clear" w:color="auto" w:fill="auto"/>
        <w:tabs>
          <w:tab w:val="left" w:pos="1062"/>
        </w:tabs>
        <w:spacing w:after="0" w:line="257" w:lineRule="auto"/>
        <w:ind w:left="700"/>
      </w:pPr>
      <w:r>
        <w:t>Optimalizaci technického řešení s cílem snížit variabilitu aktivních prvků.</w:t>
      </w:r>
    </w:p>
    <w:p w:rsidR="00535851" w:rsidRDefault="00297EE5">
      <w:pPr>
        <w:pStyle w:val="Zkladntext1"/>
        <w:numPr>
          <w:ilvl w:val="0"/>
          <w:numId w:val="3"/>
        </w:numPr>
        <w:shd w:val="clear" w:color="auto" w:fill="auto"/>
        <w:tabs>
          <w:tab w:val="left" w:pos="1080"/>
        </w:tabs>
        <w:spacing w:after="0" w:line="257" w:lineRule="auto"/>
        <w:ind w:left="700"/>
      </w:pPr>
      <w:r>
        <w:t xml:space="preserve">Přesun </w:t>
      </w:r>
      <w:proofErr w:type="spellStart"/>
      <w:r>
        <w:t>PoE</w:t>
      </w:r>
      <w:proofErr w:type="spellEnd"/>
      <w:r>
        <w:t xml:space="preserve"> portů z 1 </w:t>
      </w:r>
      <w:proofErr w:type="spellStart"/>
      <w:r>
        <w:t>OGibitových</w:t>
      </w:r>
      <w:proofErr w:type="spellEnd"/>
      <w:r>
        <w:t xml:space="preserve"> páteřních přepínačů na Gigabitové přístupové přepínače.</w:t>
      </w:r>
    </w:p>
    <w:p w:rsidR="00535851" w:rsidRDefault="00297EE5">
      <w:pPr>
        <w:pStyle w:val="Zkladntext1"/>
        <w:numPr>
          <w:ilvl w:val="0"/>
          <w:numId w:val="3"/>
        </w:numPr>
        <w:shd w:val="clear" w:color="auto" w:fill="auto"/>
        <w:tabs>
          <w:tab w:val="left" w:pos="1080"/>
        </w:tabs>
        <w:spacing w:after="0" w:line="257" w:lineRule="auto"/>
        <w:ind w:left="700"/>
      </w:pPr>
      <w:r>
        <w:t>Optimalizaci datové propustnosti aktivních prvků.</w:t>
      </w:r>
    </w:p>
    <w:p w:rsidR="00535851" w:rsidRDefault="00297EE5">
      <w:pPr>
        <w:pStyle w:val="Zkladntext1"/>
        <w:numPr>
          <w:ilvl w:val="0"/>
          <w:numId w:val="3"/>
        </w:numPr>
        <w:shd w:val="clear" w:color="auto" w:fill="auto"/>
        <w:tabs>
          <w:tab w:val="left" w:pos="1080"/>
        </w:tabs>
        <w:spacing w:after="280" w:line="257" w:lineRule="auto"/>
        <w:ind w:left="700"/>
      </w:pPr>
      <w:r>
        <w:t>Revizi požadovaných technických parametrů, tak aby byly stanoveny na základě otevřených technických standardů.</w:t>
      </w:r>
    </w:p>
    <w:p w:rsidR="00535851" w:rsidRDefault="00297EE5">
      <w:pPr>
        <w:pStyle w:val="Zkladntext1"/>
        <w:numPr>
          <w:ilvl w:val="0"/>
          <w:numId w:val="2"/>
        </w:numPr>
        <w:shd w:val="clear" w:color="auto" w:fill="auto"/>
        <w:tabs>
          <w:tab w:val="left" w:pos="715"/>
        </w:tabs>
        <w:spacing w:after="120" w:line="257" w:lineRule="auto"/>
        <w:ind w:left="700" w:hanging="340"/>
      </w:pPr>
      <w:r>
        <w:t>Termín plnění předmětu tohoto dodatku je 5 pracovních dnů od nabytí účinnosti smlouvy.</w:t>
      </w:r>
      <w:r>
        <w:br w:type="page"/>
      </w:r>
    </w:p>
    <w:p w:rsidR="00535851" w:rsidRDefault="00297EE5">
      <w:pPr>
        <w:pStyle w:val="Zkladntext1"/>
        <w:numPr>
          <w:ilvl w:val="0"/>
          <w:numId w:val="2"/>
        </w:numPr>
        <w:shd w:val="clear" w:color="auto" w:fill="auto"/>
        <w:tabs>
          <w:tab w:val="left" w:pos="358"/>
        </w:tabs>
        <w:ind w:left="380" w:hanging="380"/>
        <w:jc w:val="both"/>
      </w:pPr>
      <w:r>
        <w:lastRenderedPageBreak/>
        <w:t>Cena plnění v rozsahu dle bodu 1. tohoto Dodatku byla stanovena na 24 000 Kč bez DPH, (slovy: dvacet čtyři tisíc korun českých).</w:t>
      </w:r>
    </w:p>
    <w:p w:rsidR="00535851" w:rsidRDefault="00297EE5">
      <w:pPr>
        <w:pStyle w:val="Zkladntext1"/>
        <w:numPr>
          <w:ilvl w:val="0"/>
          <w:numId w:val="2"/>
        </w:numPr>
        <w:shd w:val="clear" w:color="auto" w:fill="auto"/>
        <w:tabs>
          <w:tab w:val="left" w:pos="358"/>
        </w:tabs>
        <w:spacing w:after="540" w:line="262" w:lineRule="auto"/>
        <w:ind w:left="380" w:hanging="380"/>
        <w:jc w:val="both"/>
      </w:pPr>
      <w:r>
        <w:t>Ostatní ujednání zůstávají tímto dodatkem nedotčeny.</w:t>
      </w:r>
    </w:p>
    <w:p w:rsidR="00535851" w:rsidRDefault="00297EE5">
      <w:pPr>
        <w:pStyle w:val="Nadpis20"/>
        <w:keepNext/>
        <w:keepLines/>
        <w:shd w:val="clear" w:color="auto" w:fill="auto"/>
        <w:spacing w:after="0"/>
        <w:ind w:left="4080"/>
        <w:jc w:val="left"/>
      </w:pPr>
      <w:bookmarkStart w:id="7" w:name="bookmark7"/>
      <w:r>
        <w:t>II.</w:t>
      </w:r>
      <w:bookmarkEnd w:id="7"/>
    </w:p>
    <w:p w:rsidR="00535851" w:rsidRDefault="00297EE5">
      <w:pPr>
        <w:pStyle w:val="Nadpis20"/>
        <w:keepNext/>
        <w:keepLines/>
        <w:shd w:val="clear" w:color="auto" w:fill="auto"/>
        <w:spacing w:after="260"/>
        <w:ind w:left="3080"/>
        <w:jc w:val="left"/>
      </w:pPr>
      <w:bookmarkStart w:id="8" w:name="bookmark8"/>
      <w:r>
        <w:t>Závěrečná ustanovení</w:t>
      </w:r>
      <w:bookmarkEnd w:id="8"/>
    </w:p>
    <w:p w:rsidR="00535851" w:rsidRDefault="00297EE5">
      <w:pPr>
        <w:pStyle w:val="Zkladntext1"/>
        <w:numPr>
          <w:ilvl w:val="0"/>
          <w:numId w:val="4"/>
        </w:numPr>
        <w:shd w:val="clear" w:color="auto" w:fill="auto"/>
        <w:tabs>
          <w:tab w:val="left" w:pos="358"/>
        </w:tabs>
        <w:ind w:left="380" w:hanging="380"/>
        <w:jc w:val="both"/>
      </w:pPr>
      <w:r>
        <w:t>Tento dodatek je vyhotoven ve čtyřech stejnopisech, z nichž dva obdrží objednatel a dva zhotovitel.</w:t>
      </w:r>
    </w:p>
    <w:p w:rsidR="00535851" w:rsidRDefault="00297EE5">
      <w:pPr>
        <w:pStyle w:val="Zkladntext1"/>
        <w:numPr>
          <w:ilvl w:val="0"/>
          <w:numId w:val="4"/>
        </w:numPr>
        <w:shd w:val="clear" w:color="auto" w:fill="auto"/>
        <w:tabs>
          <w:tab w:val="left" w:pos="358"/>
        </w:tabs>
        <w:spacing w:line="257" w:lineRule="auto"/>
        <w:ind w:left="380" w:hanging="380"/>
        <w:jc w:val="both"/>
      </w:pPr>
      <w:r>
        <w:t>Tento dodatek nabývá platnosti a účinnosti dnem podpisu oprávněnými zástupci obou smluvních stran.</w:t>
      </w:r>
    </w:p>
    <w:p w:rsidR="00535851" w:rsidRDefault="00297EE5">
      <w:pPr>
        <w:pStyle w:val="Zkladntext1"/>
        <w:numPr>
          <w:ilvl w:val="0"/>
          <w:numId w:val="4"/>
        </w:numPr>
        <w:shd w:val="clear" w:color="auto" w:fill="auto"/>
        <w:tabs>
          <w:tab w:val="left" w:pos="358"/>
        </w:tabs>
        <w:spacing w:line="262" w:lineRule="auto"/>
        <w:ind w:left="380" w:hanging="380"/>
        <w:jc w:val="both"/>
      </w:pPr>
      <w:r>
        <w:t>Pro případ povinnosti zveřejnění tohoto dodatku dle zákona č. 340/2015 Sb., o zvláštních podmínkách účinnosti některých smluv, uveřejňování těchto smluv a o registru smluv (zákon o registru smluv) smluvní strany sjednávají, že uveřejnění provede Národní galerie v Praze. Obě smluvní strany berou na vědomí, že nebudou zveřejněny pouze ty informace, které nelze poskytnout podle předpisů upravujících svobodný přístup k informacím. Považuje-li druhá strana některé informace uvedené v tomto dodatku a Smlouvě za informace, které nemohou nebo nemají být zveřejněny v registru smluv dle zákona č. 340/2015 Sb., je povinna na to Národní galerii v Praze současně s uzavřením tohoto dodatku písemně upozornit. Pokud se na tento dodatek vztahuje povinnost uveřejnění prostřednictvím registru smluv, nabývá tento dodatek účinnosti dnem uveřejnění, ledaže se smluvní strany tímto dodatkem dohodly na pozdějším datu účinnosti. Druhá smluvní strana výslovně souhlasí s tím, že Národní galerie v Praze v případě pochybností, o tom, zdaje dána povinnost uveřejnění tohoto dodatku v registru smluv, tento dodatek v zájmu transparentnosti a právní jistoty uveřejní.</w:t>
      </w:r>
    </w:p>
    <w:p w:rsidR="00535851" w:rsidRDefault="00297EE5">
      <w:pPr>
        <w:pStyle w:val="Zkladntext1"/>
        <w:numPr>
          <w:ilvl w:val="0"/>
          <w:numId w:val="4"/>
        </w:numPr>
        <w:shd w:val="clear" w:color="auto" w:fill="auto"/>
        <w:tabs>
          <w:tab w:val="left" w:pos="358"/>
        </w:tabs>
        <w:spacing w:after="0"/>
        <w:ind w:left="380" w:hanging="380"/>
        <w:jc w:val="both"/>
        <w:sectPr w:rsidR="00535851">
          <w:footerReference w:type="even" r:id="rId7"/>
          <w:footerReference w:type="default" r:id="rId8"/>
          <w:pgSz w:w="11900" w:h="16840"/>
          <w:pgMar w:top="1538" w:right="1348" w:bottom="1804" w:left="1480" w:header="0" w:footer="3" w:gutter="0"/>
          <w:pgNumType w:start="1"/>
          <w:cols w:space="720"/>
          <w:noEndnote/>
          <w:docGrid w:linePitch="360"/>
        </w:sectPr>
      </w:pPr>
      <w:r>
        <w:t>Obě smluvní strany prohlašují, že tento dodatek je projevem jejich svobodné, vážně míněné a omylu prosté vůle, což stvrzují svými podpisy.</w:t>
      </w:r>
    </w:p>
    <w:p w:rsidR="00535851" w:rsidRDefault="00535851">
      <w:pPr>
        <w:spacing w:line="240" w:lineRule="exact"/>
        <w:rPr>
          <w:sz w:val="19"/>
          <w:szCs w:val="19"/>
        </w:rPr>
      </w:pPr>
    </w:p>
    <w:p w:rsidR="00535851" w:rsidRDefault="00535851">
      <w:pPr>
        <w:spacing w:line="240" w:lineRule="exact"/>
        <w:rPr>
          <w:sz w:val="19"/>
          <w:szCs w:val="19"/>
        </w:rPr>
      </w:pPr>
    </w:p>
    <w:p w:rsidR="00535851" w:rsidRDefault="00535851">
      <w:pPr>
        <w:spacing w:before="3" w:after="3" w:line="240" w:lineRule="exact"/>
        <w:rPr>
          <w:sz w:val="19"/>
          <w:szCs w:val="19"/>
        </w:rPr>
      </w:pPr>
    </w:p>
    <w:p w:rsidR="00535851" w:rsidRPr="001C3A9B" w:rsidRDefault="00535851">
      <w:pPr>
        <w:spacing w:line="14" w:lineRule="exact"/>
        <w:rPr>
          <w:sz w:val="22"/>
          <w:szCs w:val="22"/>
        </w:rPr>
        <w:sectPr w:rsidR="00535851" w:rsidRPr="001C3A9B">
          <w:type w:val="continuous"/>
          <w:pgSz w:w="11900" w:h="16840"/>
          <w:pgMar w:top="1409" w:right="0" w:bottom="855" w:left="0" w:header="0" w:footer="3" w:gutter="0"/>
          <w:cols w:space="720"/>
          <w:noEndnote/>
          <w:docGrid w:linePitch="360"/>
        </w:sectPr>
      </w:pPr>
    </w:p>
    <w:p w:rsidR="00535851" w:rsidRPr="001C3A9B" w:rsidRDefault="00535851">
      <w:pPr>
        <w:pStyle w:val="Nadpis10"/>
        <w:keepNext/>
        <w:keepLines/>
        <w:framePr w:w="1656" w:h="518" w:wrap="none" w:vAnchor="text" w:hAnchor="margin" w:x="1601" w:y="21"/>
        <w:shd w:val="clear" w:color="auto" w:fill="auto"/>
        <w:rPr>
          <w:b/>
          <w:sz w:val="22"/>
          <w:szCs w:val="22"/>
        </w:rPr>
      </w:pPr>
    </w:p>
    <w:p w:rsidR="00535851" w:rsidRPr="001C3A9B" w:rsidRDefault="00297EE5" w:rsidP="00211496">
      <w:pPr>
        <w:pStyle w:val="Titulekobrzku0"/>
        <w:framePr w:w="2305" w:h="335" w:wrap="none" w:vAnchor="text" w:hAnchor="margin" w:x="-113" w:y="263"/>
        <w:shd w:val="clear" w:color="auto" w:fill="auto"/>
        <w:spacing w:line="240" w:lineRule="auto"/>
        <w:ind w:firstLine="0"/>
        <w:rPr>
          <w:b w:val="0"/>
          <w:sz w:val="22"/>
          <w:szCs w:val="22"/>
        </w:rPr>
      </w:pPr>
      <w:r w:rsidRPr="001C3A9B">
        <w:rPr>
          <w:rFonts w:ascii="Times New Roman" w:eastAsia="Times New Roman" w:hAnsi="Times New Roman" w:cs="Times New Roman"/>
          <w:b w:val="0"/>
          <w:bCs w:val="0"/>
          <w:color w:val="000000"/>
          <w:sz w:val="22"/>
          <w:szCs w:val="22"/>
        </w:rPr>
        <w:t>V Praze dne</w:t>
      </w:r>
      <w:r w:rsidR="00211496" w:rsidRPr="001C3A9B">
        <w:rPr>
          <w:rFonts w:ascii="Times New Roman" w:eastAsia="Times New Roman" w:hAnsi="Times New Roman" w:cs="Times New Roman"/>
          <w:b w:val="0"/>
          <w:bCs w:val="0"/>
          <w:color w:val="000000"/>
          <w:sz w:val="22"/>
          <w:szCs w:val="22"/>
        </w:rPr>
        <w:t xml:space="preserve"> 18. 9. 2017</w:t>
      </w:r>
    </w:p>
    <w:p w:rsidR="00535851" w:rsidRPr="001C3A9B" w:rsidRDefault="00297EE5" w:rsidP="00211496">
      <w:pPr>
        <w:pStyle w:val="Titulekobrzku0"/>
        <w:framePr w:w="8698" w:h="635" w:wrap="none" w:vAnchor="text" w:hAnchor="margin" w:x="-48" w:y="1633"/>
        <w:shd w:val="clear" w:color="auto" w:fill="auto"/>
        <w:spacing w:line="240" w:lineRule="auto"/>
        <w:ind w:firstLine="0"/>
        <w:rPr>
          <w:b w:val="0"/>
          <w:sz w:val="22"/>
          <w:szCs w:val="22"/>
        </w:rPr>
      </w:pPr>
      <w:r w:rsidRPr="001C3A9B">
        <w:rPr>
          <w:rFonts w:ascii="Times New Roman" w:eastAsia="Times New Roman" w:hAnsi="Times New Roman" w:cs="Times New Roman"/>
          <w:b w:val="0"/>
          <w:bCs w:val="0"/>
          <w:color w:val="000000"/>
          <w:sz w:val="22"/>
          <w:szCs w:val="22"/>
        </w:rPr>
        <w:t>Za objednatele</w:t>
      </w:r>
      <w:r w:rsidR="00211496" w:rsidRPr="001C3A9B">
        <w:rPr>
          <w:rFonts w:ascii="Times New Roman" w:eastAsia="Times New Roman" w:hAnsi="Times New Roman" w:cs="Times New Roman"/>
          <w:b w:val="0"/>
          <w:bCs w:val="0"/>
          <w:color w:val="000000"/>
          <w:sz w:val="22"/>
          <w:szCs w:val="22"/>
        </w:rPr>
        <w:tab/>
      </w:r>
      <w:r w:rsidR="00211496" w:rsidRPr="001C3A9B">
        <w:rPr>
          <w:rFonts w:ascii="Times New Roman" w:eastAsia="Times New Roman" w:hAnsi="Times New Roman" w:cs="Times New Roman"/>
          <w:b w:val="0"/>
          <w:bCs w:val="0"/>
          <w:color w:val="000000"/>
          <w:sz w:val="22"/>
          <w:szCs w:val="22"/>
        </w:rPr>
        <w:tab/>
      </w:r>
      <w:r w:rsidR="00211496" w:rsidRPr="001C3A9B">
        <w:rPr>
          <w:rFonts w:ascii="Times New Roman" w:eastAsia="Times New Roman" w:hAnsi="Times New Roman" w:cs="Times New Roman"/>
          <w:b w:val="0"/>
          <w:bCs w:val="0"/>
          <w:color w:val="000000"/>
          <w:sz w:val="22"/>
          <w:szCs w:val="22"/>
        </w:rPr>
        <w:tab/>
      </w:r>
      <w:r w:rsidR="00211496" w:rsidRPr="001C3A9B">
        <w:rPr>
          <w:rFonts w:ascii="Times New Roman" w:eastAsia="Times New Roman" w:hAnsi="Times New Roman" w:cs="Times New Roman"/>
          <w:b w:val="0"/>
          <w:bCs w:val="0"/>
          <w:color w:val="000000"/>
          <w:sz w:val="22"/>
          <w:szCs w:val="22"/>
        </w:rPr>
        <w:tab/>
      </w:r>
      <w:r w:rsidR="00211496" w:rsidRPr="001C3A9B">
        <w:rPr>
          <w:rFonts w:ascii="Times New Roman" w:eastAsia="Times New Roman" w:hAnsi="Times New Roman" w:cs="Times New Roman"/>
          <w:b w:val="0"/>
          <w:bCs w:val="0"/>
          <w:color w:val="000000"/>
          <w:sz w:val="22"/>
          <w:szCs w:val="22"/>
        </w:rPr>
        <w:tab/>
      </w:r>
      <w:r w:rsidR="00211496" w:rsidRPr="001C3A9B">
        <w:rPr>
          <w:rFonts w:ascii="Times New Roman" w:eastAsia="Times New Roman" w:hAnsi="Times New Roman" w:cs="Times New Roman"/>
          <w:b w:val="0"/>
          <w:bCs w:val="0"/>
          <w:color w:val="000000"/>
          <w:sz w:val="22"/>
          <w:szCs w:val="22"/>
        </w:rPr>
        <w:tab/>
        <w:t>Za zhotovitele</w:t>
      </w:r>
    </w:p>
    <w:p w:rsidR="00535851" w:rsidRPr="00D737E0" w:rsidRDefault="00D737E0" w:rsidP="00D737E0">
      <w:pPr>
        <w:pStyle w:val="Zkladntext1"/>
        <w:framePr w:w="1303" w:h="580" w:wrap="none" w:vAnchor="text" w:hAnchor="margin" w:x="6691" w:y="559"/>
        <w:shd w:val="clear" w:color="auto" w:fill="auto"/>
        <w:spacing w:after="100" w:line="240" w:lineRule="auto"/>
      </w:pPr>
      <w:r w:rsidRPr="00D737E0">
        <w:t xml:space="preserve"> </w:t>
      </w:r>
    </w:p>
    <w:p w:rsidR="00535851" w:rsidRDefault="00535851">
      <w:pPr>
        <w:spacing w:line="360" w:lineRule="exact"/>
      </w:pPr>
    </w:p>
    <w:p w:rsidR="00535851" w:rsidRDefault="00535851">
      <w:pPr>
        <w:spacing w:line="360" w:lineRule="exact"/>
      </w:pPr>
      <w:bookmarkStart w:id="9" w:name="_GoBack"/>
      <w:bookmarkEnd w:id="9"/>
    </w:p>
    <w:p w:rsidR="00535851" w:rsidRDefault="00535851">
      <w:pPr>
        <w:spacing w:line="360" w:lineRule="exact"/>
      </w:pPr>
    </w:p>
    <w:p w:rsidR="00535851" w:rsidRDefault="00535851">
      <w:pPr>
        <w:spacing w:line="360" w:lineRule="exact"/>
      </w:pPr>
    </w:p>
    <w:p w:rsidR="00535851" w:rsidRDefault="00535851">
      <w:pPr>
        <w:spacing w:line="360" w:lineRule="exact"/>
      </w:pPr>
    </w:p>
    <w:p w:rsidR="00535851" w:rsidRDefault="00535851">
      <w:pPr>
        <w:spacing w:line="360" w:lineRule="exact"/>
      </w:pPr>
    </w:p>
    <w:p w:rsidR="00535851" w:rsidRDefault="00535851">
      <w:pPr>
        <w:spacing w:line="360" w:lineRule="exact"/>
      </w:pPr>
    </w:p>
    <w:p w:rsidR="00535851" w:rsidRDefault="00535851">
      <w:pPr>
        <w:spacing w:line="398" w:lineRule="exact"/>
      </w:pPr>
    </w:p>
    <w:p w:rsidR="00535851" w:rsidRDefault="00535851">
      <w:pPr>
        <w:spacing w:line="14" w:lineRule="exact"/>
      </w:pPr>
    </w:p>
    <w:sectPr w:rsidR="00535851">
      <w:type w:val="continuous"/>
      <w:pgSz w:w="11900" w:h="16840"/>
      <w:pgMar w:top="1409" w:right="1298" w:bottom="855" w:left="13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C98" w:rsidRDefault="00417C98">
      <w:r>
        <w:separator/>
      </w:r>
    </w:p>
  </w:endnote>
  <w:endnote w:type="continuationSeparator" w:id="0">
    <w:p w:rsidR="00417C98" w:rsidRDefault="0041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51" w:rsidRDefault="00297EE5">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3487420</wp:posOffset>
              </wp:positionH>
              <wp:positionV relativeFrom="page">
                <wp:posOffset>10168890</wp:posOffset>
              </wp:positionV>
              <wp:extent cx="402590" cy="86995"/>
              <wp:effectExtent l="0" t="0" r="0" b="0"/>
              <wp:wrapNone/>
              <wp:docPr id="3" name="Shape 3"/>
              <wp:cNvGraphicFramePr/>
              <a:graphic xmlns:a="http://schemas.openxmlformats.org/drawingml/2006/main">
                <a:graphicData uri="http://schemas.microsoft.com/office/word/2010/wordprocessingShape">
                  <wps:wsp>
                    <wps:cNvSpPr txBox="1"/>
                    <wps:spPr>
                      <a:xfrm>
                        <a:off x="0" y="0"/>
                        <a:ext cx="402590" cy="86995"/>
                      </a:xfrm>
                      <a:prstGeom prst="rect">
                        <a:avLst/>
                      </a:prstGeom>
                      <a:noFill/>
                    </wps:spPr>
                    <wps:txbx>
                      <w:txbxContent>
                        <w:p w:rsidR="00535851" w:rsidRDefault="00297EE5">
                          <w:pPr>
                            <w:pStyle w:val="Zhlavnebozpat20"/>
                            <w:shd w:val="clear" w:color="auto" w:fill="auto"/>
                            <w:rPr>
                              <w:sz w:val="19"/>
                              <w:szCs w:val="19"/>
                            </w:rPr>
                          </w:pPr>
                          <w:r>
                            <w:rPr>
                              <w:sz w:val="19"/>
                              <w:szCs w:val="19"/>
                            </w:rPr>
                            <w:t>Strana 2</w:t>
                          </w:r>
                        </w:p>
                      </w:txbxContent>
                    </wps:txbx>
                    <wps:bodyPr wrap="none" lIns="0" tIns="0" rIns="0" bIns="0">
                      <a:spAutoFit/>
                    </wps:bodyPr>
                  </wps:wsp>
                </a:graphicData>
              </a:graphic>
            </wp:anchor>
          </w:drawing>
        </mc:Choice>
        <mc:Fallback>
          <w:pict>
            <v:shape id="_x0000_s1029" type="#_x0000_t202" style="position:absolute;margin-left:274.60000000000002pt;margin-top:800.70000000000005pt;width:31.699999999999999pt;height:6.8499999999999996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Strana 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51" w:rsidRDefault="00297EE5">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3602990</wp:posOffset>
              </wp:positionH>
              <wp:positionV relativeFrom="page">
                <wp:posOffset>9921875</wp:posOffset>
              </wp:positionV>
              <wp:extent cx="391160" cy="86995"/>
              <wp:effectExtent l="0" t="0" r="0" b="0"/>
              <wp:wrapNone/>
              <wp:docPr id="1" name="Shape 1"/>
              <wp:cNvGraphicFramePr/>
              <a:graphic xmlns:a="http://schemas.openxmlformats.org/drawingml/2006/main">
                <a:graphicData uri="http://schemas.microsoft.com/office/word/2010/wordprocessingShape">
                  <wps:wsp>
                    <wps:cNvSpPr txBox="1"/>
                    <wps:spPr>
                      <a:xfrm>
                        <a:off x="0" y="0"/>
                        <a:ext cx="391160" cy="86995"/>
                      </a:xfrm>
                      <a:prstGeom prst="rect">
                        <a:avLst/>
                      </a:prstGeom>
                      <a:noFill/>
                    </wps:spPr>
                    <wps:txbx>
                      <w:txbxContent>
                        <w:p w:rsidR="00535851" w:rsidRDefault="00297EE5">
                          <w:pPr>
                            <w:pStyle w:val="Zhlavnebozpat20"/>
                            <w:shd w:val="clear" w:color="auto" w:fill="auto"/>
                            <w:rPr>
                              <w:sz w:val="19"/>
                              <w:szCs w:val="19"/>
                            </w:rPr>
                          </w:pPr>
                          <w:r>
                            <w:rPr>
                              <w:sz w:val="19"/>
                              <w:szCs w:val="19"/>
                            </w:rPr>
                            <w:t>Strana 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3.69999999999999pt;margin-top:781.25pt;width:30.800000000000001pt;height:6.84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Strana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C98" w:rsidRDefault="00417C98"/>
  </w:footnote>
  <w:footnote w:type="continuationSeparator" w:id="0">
    <w:p w:rsidR="00417C98" w:rsidRDefault="00417C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447A"/>
    <w:multiLevelType w:val="multilevel"/>
    <w:tmpl w:val="98269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703560"/>
    <w:multiLevelType w:val="multilevel"/>
    <w:tmpl w:val="DE3EA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159328B"/>
    <w:multiLevelType w:val="multilevel"/>
    <w:tmpl w:val="742660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992171"/>
    <w:multiLevelType w:val="multilevel"/>
    <w:tmpl w:val="52503D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51"/>
    <w:rsid w:val="001C3A9B"/>
    <w:rsid w:val="00211496"/>
    <w:rsid w:val="00297EE5"/>
    <w:rsid w:val="00417C98"/>
    <w:rsid w:val="00535851"/>
    <w:rsid w:val="00D737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5FC2F-CDD8-4237-8847-99AEE2C8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color w:val="4B4F9D"/>
      <w:sz w:val="38"/>
      <w:szCs w:val="3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4B4F9D"/>
      <w:sz w:val="10"/>
      <w:szCs w:val="1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4B4F9D"/>
      <w:sz w:val="10"/>
      <w:szCs w:val="10"/>
      <w:u w:val="none"/>
    </w:rPr>
  </w:style>
  <w:style w:type="paragraph" w:customStyle="1" w:styleId="Nadpis20">
    <w:name w:val="Nadpis #2"/>
    <w:basedOn w:val="Normln"/>
    <w:link w:val="Nadpis2"/>
    <w:pPr>
      <w:shd w:val="clear" w:color="auto" w:fill="FFFFFF"/>
      <w:spacing w:after="130"/>
      <w:jc w:val="center"/>
      <w:outlineLvl w:val="1"/>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line="259" w:lineRule="auto"/>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i/>
      <w:iCs/>
      <w:color w:val="4B4F9D"/>
      <w:sz w:val="38"/>
      <w:szCs w:val="38"/>
    </w:rPr>
  </w:style>
  <w:style w:type="paragraph" w:customStyle="1" w:styleId="Zkladntext20">
    <w:name w:val="Základní text (2)"/>
    <w:basedOn w:val="Normln"/>
    <w:link w:val="Zkladntext2"/>
    <w:pPr>
      <w:shd w:val="clear" w:color="auto" w:fill="FFFFFF"/>
      <w:spacing w:line="298" w:lineRule="auto"/>
    </w:pPr>
    <w:rPr>
      <w:rFonts w:ascii="Arial" w:eastAsia="Arial" w:hAnsi="Arial" w:cs="Arial"/>
      <w:sz w:val="14"/>
      <w:szCs w:val="14"/>
    </w:rPr>
  </w:style>
  <w:style w:type="paragraph" w:customStyle="1" w:styleId="Titulekobrzku0">
    <w:name w:val="Titulek obrázku"/>
    <w:basedOn w:val="Normln"/>
    <w:link w:val="Titulekobrzku"/>
    <w:pPr>
      <w:shd w:val="clear" w:color="auto" w:fill="FFFFFF"/>
      <w:spacing w:line="257" w:lineRule="auto"/>
      <w:ind w:firstLine="1580"/>
    </w:pPr>
    <w:rPr>
      <w:rFonts w:ascii="Arial" w:eastAsia="Arial" w:hAnsi="Arial" w:cs="Arial"/>
      <w:b/>
      <w:bCs/>
      <w:color w:val="4B4F9D"/>
      <w:sz w:val="10"/>
      <w:szCs w:val="10"/>
    </w:rPr>
  </w:style>
  <w:style w:type="paragraph" w:customStyle="1" w:styleId="Zkladntext30">
    <w:name w:val="Základní text (3)"/>
    <w:basedOn w:val="Normln"/>
    <w:link w:val="Zkladntext3"/>
    <w:pPr>
      <w:shd w:val="clear" w:color="auto" w:fill="FFFFFF"/>
      <w:spacing w:line="391" w:lineRule="auto"/>
    </w:pPr>
    <w:rPr>
      <w:rFonts w:ascii="Arial" w:eastAsia="Arial" w:hAnsi="Arial" w:cs="Arial"/>
      <w:b/>
      <w:bCs/>
      <w:color w:val="4B4F9D"/>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460</Words>
  <Characters>2717</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MF.VP.6130-20170921103321</dc:title>
  <dc:subject/>
  <dc:creator/>
  <cp:keywords/>
  <cp:lastModifiedBy>Zdenka Šímová</cp:lastModifiedBy>
  <cp:revision>5</cp:revision>
  <dcterms:created xsi:type="dcterms:W3CDTF">2017-09-21T12:24:00Z</dcterms:created>
  <dcterms:modified xsi:type="dcterms:W3CDTF">2017-09-21T13:40:00Z</dcterms:modified>
</cp:coreProperties>
</file>