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17" w:rsidRDefault="00AF0B4F" w:rsidP="0011225E">
      <w:pPr>
        <w:pStyle w:val="Nzev"/>
      </w:pPr>
      <w:bookmarkStart w:id="0" w:name="_GoBack"/>
      <w:bookmarkEnd w:id="0"/>
      <w:r>
        <w:t>SMLOUVA</w:t>
      </w:r>
      <w:r w:rsidR="0011225E">
        <w:t xml:space="preserve"> INOMINÁTNÍ</w:t>
      </w:r>
    </w:p>
    <w:p w:rsidR="00375E17" w:rsidRDefault="00375E17" w:rsidP="0011225E">
      <w:pPr>
        <w:jc w:val="center"/>
        <w:rPr>
          <w:b/>
          <w:bCs/>
          <w:sz w:val="40"/>
        </w:rPr>
      </w:pPr>
    </w:p>
    <w:p w:rsidR="00375E17" w:rsidRDefault="00AF0B4F" w:rsidP="0011225E">
      <w:pPr>
        <w:jc w:val="center"/>
        <w:rPr>
          <w:b/>
          <w:bCs/>
          <w:sz w:val="26"/>
        </w:rPr>
      </w:pPr>
      <w:r>
        <w:rPr>
          <w:sz w:val="26"/>
        </w:rPr>
        <w:t>Číslo smlouvy:</w:t>
      </w:r>
      <w:r>
        <w:rPr>
          <w:sz w:val="26"/>
        </w:rPr>
        <w:tab/>
      </w:r>
      <w:r w:rsidR="003B3F1F" w:rsidRPr="003B3F1F">
        <w:rPr>
          <w:b/>
          <w:sz w:val="26"/>
        </w:rPr>
        <w:t>10</w:t>
      </w:r>
      <w:r w:rsidR="007E58E9">
        <w:rPr>
          <w:b/>
          <w:bCs/>
          <w:sz w:val="26"/>
        </w:rPr>
        <w:t>/20</w:t>
      </w:r>
      <w:r w:rsidR="003B3F1F">
        <w:rPr>
          <w:b/>
          <w:bCs/>
          <w:sz w:val="26"/>
        </w:rPr>
        <w:t>17</w:t>
      </w:r>
    </w:p>
    <w:p w:rsidR="00375E17" w:rsidRDefault="00375E17" w:rsidP="0011225E">
      <w:pPr>
        <w:jc w:val="both"/>
        <w:rPr>
          <w:b/>
          <w:bCs/>
          <w:sz w:val="28"/>
        </w:rPr>
      </w:pPr>
    </w:p>
    <w:p w:rsidR="00375E17" w:rsidRDefault="00375E17" w:rsidP="0011225E">
      <w:pPr>
        <w:jc w:val="both"/>
        <w:rPr>
          <w:b/>
          <w:bCs/>
          <w:sz w:val="28"/>
        </w:rPr>
      </w:pPr>
    </w:p>
    <w:p w:rsidR="00375E17" w:rsidRPr="0096779B" w:rsidRDefault="007E58E9" w:rsidP="0011225E">
      <w:pPr>
        <w:jc w:val="both"/>
      </w:pPr>
      <w:r>
        <w:t>D</w:t>
      </w:r>
      <w:r w:rsidR="00AF0B4F">
        <w:t>atum uzavření:</w:t>
      </w:r>
      <w:r w:rsidR="003B3F1F">
        <w:t xml:space="preserve"> 20.9.2017</w:t>
      </w:r>
      <w:r w:rsidR="003B3F1F">
        <w:tab/>
      </w:r>
      <w:r w:rsidR="003B3F1F">
        <w:tab/>
      </w:r>
      <w:r w:rsidR="003B3F1F">
        <w:tab/>
      </w:r>
      <w:r w:rsidR="003B3F1F">
        <w:tab/>
      </w:r>
      <w:r w:rsidR="003B3F1F">
        <w:tab/>
      </w:r>
      <w:r w:rsidR="00AF0B4F">
        <w:t xml:space="preserve">Datum vrácení: </w:t>
      </w:r>
      <w:r w:rsidR="0096779B">
        <w:t>29.12.2017</w:t>
      </w:r>
    </w:p>
    <w:p w:rsidR="00375E17" w:rsidRDefault="00375E17" w:rsidP="0011225E">
      <w:pPr>
        <w:jc w:val="both"/>
      </w:pPr>
    </w:p>
    <w:p w:rsidR="00375E17" w:rsidRDefault="00375E17" w:rsidP="0011225E">
      <w:pPr>
        <w:jc w:val="both"/>
      </w:pPr>
    </w:p>
    <w:p w:rsidR="00375E17" w:rsidRDefault="00375E17" w:rsidP="0011225E">
      <w:pPr>
        <w:jc w:val="both"/>
      </w:pPr>
    </w:p>
    <w:p w:rsidR="00375E17" w:rsidRDefault="00AF0B4F" w:rsidP="0011225E">
      <w:pPr>
        <w:pStyle w:val="Nadpis1"/>
        <w:jc w:val="both"/>
      </w:pPr>
      <w:r>
        <w:t>Oblastní muzeum v Chomutově, příspěvková organizace</w:t>
      </w:r>
    </w:p>
    <w:p w:rsidR="00375E17" w:rsidRDefault="00AF0B4F" w:rsidP="0011225E">
      <w:pPr>
        <w:pStyle w:val="Nadpis1"/>
        <w:jc w:val="both"/>
      </w:pPr>
      <w:r>
        <w:t>se sídlem Palackého 86, 430 01 Chomutov</w:t>
      </w:r>
    </w:p>
    <w:p w:rsidR="00375E17" w:rsidRDefault="00AF0B4F" w:rsidP="0011225E">
      <w:pPr>
        <w:jc w:val="both"/>
        <w:rPr>
          <w:b/>
          <w:bCs/>
        </w:rPr>
      </w:pPr>
      <w:r>
        <w:rPr>
          <w:b/>
          <w:bCs/>
        </w:rPr>
        <w:t>zastoupené ředitelem Ing. Stanislavem Dědem</w:t>
      </w:r>
    </w:p>
    <w:p w:rsidR="00375E17" w:rsidRDefault="00AF0B4F" w:rsidP="0011225E">
      <w:pPr>
        <w:jc w:val="both"/>
        <w:rPr>
          <w:b/>
          <w:bCs/>
        </w:rPr>
      </w:pPr>
      <w:r>
        <w:rPr>
          <w:b/>
          <w:bCs/>
        </w:rPr>
        <w:t xml:space="preserve">IČO: </w:t>
      </w:r>
      <w:r w:rsidR="007E58E9">
        <w:rPr>
          <w:b/>
          <w:bCs/>
        </w:rPr>
        <w:t>00</w:t>
      </w:r>
      <w:r>
        <w:rPr>
          <w:b/>
          <w:bCs/>
        </w:rPr>
        <w:t>360571</w:t>
      </w:r>
    </w:p>
    <w:p w:rsidR="00375E17" w:rsidRDefault="00AF0B4F" w:rsidP="0011225E">
      <w:pPr>
        <w:jc w:val="both"/>
      </w:pPr>
      <w:r>
        <w:t>(dále jen „Muzeum“)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AF0B4F" w:rsidP="0011225E">
      <w:pPr>
        <w:jc w:val="both"/>
      </w:pPr>
      <w:r>
        <w:t>a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3B3F1F" w:rsidP="0011225E">
      <w:pPr>
        <w:jc w:val="both"/>
        <w:rPr>
          <w:b/>
          <w:bCs/>
        </w:rPr>
      </w:pPr>
      <w:proofErr w:type="spellStart"/>
      <w:r>
        <w:rPr>
          <w:b/>
          <w:bCs/>
        </w:rPr>
        <w:t>MgA</w:t>
      </w:r>
      <w:proofErr w:type="spellEnd"/>
      <w:r>
        <w:rPr>
          <w:b/>
          <w:bCs/>
        </w:rPr>
        <w:t>. Štěpán Bílek</w:t>
      </w:r>
    </w:p>
    <w:p w:rsidR="00375E17" w:rsidRDefault="003B3F1F" w:rsidP="0011225E">
      <w:pPr>
        <w:jc w:val="both"/>
        <w:rPr>
          <w:b/>
          <w:bCs/>
        </w:rPr>
      </w:pPr>
      <w:r>
        <w:rPr>
          <w:b/>
          <w:bCs/>
        </w:rPr>
        <w:t>se sídlem Březenec 232, 431 11  Jirkov</w:t>
      </w:r>
    </w:p>
    <w:p w:rsidR="00375E17" w:rsidRPr="00DB62B3" w:rsidRDefault="003B3F1F" w:rsidP="0011225E">
      <w:pPr>
        <w:jc w:val="both"/>
        <w:rPr>
          <w:b/>
          <w:bCs/>
        </w:rPr>
      </w:pPr>
      <w:r w:rsidRPr="00DB62B3">
        <w:rPr>
          <w:b/>
          <w:bCs/>
        </w:rPr>
        <w:t xml:space="preserve">IČO: 65075854 </w:t>
      </w:r>
    </w:p>
    <w:p w:rsidR="003B3F1F" w:rsidRPr="0096779B" w:rsidRDefault="003B3F1F" w:rsidP="0011225E">
      <w:pPr>
        <w:jc w:val="both"/>
        <w:rPr>
          <w:b/>
          <w:bCs/>
        </w:rPr>
      </w:pPr>
      <w:r w:rsidRPr="0096779B">
        <w:rPr>
          <w:b/>
          <w:bCs/>
        </w:rPr>
        <w:t xml:space="preserve">DIČ: CZ27049515 </w:t>
      </w:r>
    </w:p>
    <w:p w:rsidR="00375E17" w:rsidRDefault="00AF0B4F" w:rsidP="0011225E">
      <w:pPr>
        <w:jc w:val="both"/>
      </w:pPr>
      <w:r>
        <w:t>(dále jen „Pověřená osoba“)</w:t>
      </w:r>
    </w:p>
    <w:p w:rsidR="00375E17" w:rsidRDefault="00375E17" w:rsidP="0011225E">
      <w:pPr>
        <w:jc w:val="both"/>
      </w:pPr>
    </w:p>
    <w:p w:rsidR="00375E17" w:rsidRDefault="00375E17" w:rsidP="0011225E">
      <w:pPr>
        <w:jc w:val="both"/>
      </w:pPr>
    </w:p>
    <w:p w:rsidR="00375E17" w:rsidRDefault="00AF0B4F" w:rsidP="0011225E">
      <w:pPr>
        <w:jc w:val="both"/>
      </w:pPr>
      <w:r>
        <w:t xml:space="preserve">se dnešního dne dohodly na uzavření této smlouvy podle § </w:t>
      </w:r>
      <w:r w:rsidR="007E58E9">
        <w:t>1785</w:t>
      </w:r>
      <w:r w:rsidR="00135546">
        <w:t xml:space="preserve"> a následujících</w:t>
      </w:r>
      <w:r>
        <w:t xml:space="preserve"> zákona</w:t>
      </w:r>
      <w:r w:rsidR="0011225E">
        <w:t xml:space="preserve"> </w:t>
      </w:r>
      <w:r>
        <w:t xml:space="preserve">č. </w:t>
      </w:r>
      <w:r w:rsidR="007E58E9">
        <w:t>89/2012</w:t>
      </w:r>
      <w:r>
        <w:t xml:space="preserve"> Sb., ob</w:t>
      </w:r>
      <w:r w:rsidR="00135546">
        <w:t>čanský zákoník, v platném znění.</w:t>
      </w:r>
    </w:p>
    <w:p w:rsidR="00375E17" w:rsidRDefault="00375E17" w:rsidP="0011225E">
      <w:pPr>
        <w:jc w:val="both"/>
      </w:pPr>
    </w:p>
    <w:p w:rsidR="00375E17" w:rsidRPr="0011225E" w:rsidRDefault="00AF0B4F" w:rsidP="0011225E">
      <w:pPr>
        <w:jc w:val="center"/>
        <w:rPr>
          <w:b/>
          <w:sz w:val="26"/>
        </w:rPr>
      </w:pPr>
      <w:r w:rsidRPr="0011225E">
        <w:rPr>
          <w:b/>
          <w:bCs/>
        </w:rPr>
        <w:t>I.</w:t>
      </w:r>
      <w:r w:rsidR="0011225E" w:rsidRPr="0011225E">
        <w:rPr>
          <w:b/>
          <w:bCs/>
        </w:rPr>
        <w:t xml:space="preserve"> </w:t>
      </w:r>
      <w:r w:rsidRPr="0011225E">
        <w:rPr>
          <w:b/>
        </w:rPr>
        <w:t>Předmět smlouvy</w:t>
      </w:r>
    </w:p>
    <w:p w:rsidR="00375E17" w:rsidRDefault="00375E17" w:rsidP="0011225E">
      <w:pPr>
        <w:jc w:val="both"/>
        <w:rPr>
          <w:b/>
          <w:bCs/>
          <w:sz w:val="26"/>
        </w:rPr>
      </w:pPr>
    </w:p>
    <w:p w:rsidR="00375E17" w:rsidRPr="007E58E9" w:rsidRDefault="00AF0B4F" w:rsidP="0011225E">
      <w:pPr>
        <w:jc w:val="both"/>
        <w:rPr>
          <w:bCs/>
        </w:rPr>
      </w:pPr>
      <w:r>
        <w:t>1. Smluvní strany se dohodly na</w:t>
      </w:r>
      <w:r w:rsidRPr="007E58E9">
        <w:rPr>
          <w:b/>
        </w:rPr>
        <w:t xml:space="preserve"> </w:t>
      </w:r>
      <w:r w:rsidRPr="003B3F1F">
        <w:rPr>
          <w:bCs/>
        </w:rPr>
        <w:t>zrestaurování</w:t>
      </w:r>
      <w:r>
        <w:t xml:space="preserve"> níže</w:t>
      </w:r>
      <w:r w:rsidR="0011225E">
        <w:t xml:space="preserve"> </w:t>
      </w:r>
      <w:r>
        <w:t>specifikovaných sbírkových předmětů Muzea a za tímto účelem uzavřelo Muzeum</w:t>
      </w:r>
      <w:r w:rsidR="0011225E">
        <w:t xml:space="preserve"> </w:t>
      </w:r>
      <w:r>
        <w:t xml:space="preserve">s Pověřenou osobou </w:t>
      </w:r>
      <w:r w:rsidRPr="007E58E9">
        <w:rPr>
          <w:bCs/>
        </w:rPr>
        <w:t>smlouvu o dílo</w:t>
      </w:r>
      <w:r>
        <w:t xml:space="preserve">, která tvoří </w:t>
      </w:r>
      <w:r w:rsidRPr="007E58E9">
        <w:rPr>
          <w:bCs/>
        </w:rPr>
        <w:t>nedílnou přílohu č. 1 této smlouvy.</w:t>
      </w:r>
    </w:p>
    <w:p w:rsidR="00375E17" w:rsidRDefault="00375E17" w:rsidP="0011225E">
      <w:pPr>
        <w:jc w:val="both"/>
        <w:rPr>
          <w:b/>
          <w:bCs/>
          <w:sz w:val="26"/>
        </w:rPr>
      </w:pPr>
    </w:p>
    <w:p w:rsidR="00375E17" w:rsidRDefault="00AF0B4F" w:rsidP="0011225E">
      <w:r>
        <w:t>2. Jedná se o sbírkové předměty, které jsou zapsány v Centrální evidenci sbírek (CES)</w:t>
      </w:r>
      <w:r w:rsidR="0011225E">
        <w:t xml:space="preserve"> </w:t>
      </w:r>
      <w:r>
        <w:t>Mini</w:t>
      </w:r>
      <w:r>
        <w:t>s</w:t>
      </w:r>
      <w:r>
        <w:t>terstva kultury ČR dle zákona č. 122/2000 Sb. ve znění pozdějších novel.</w:t>
      </w:r>
    </w:p>
    <w:p w:rsidR="00375E17" w:rsidRDefault="00AF0B4F" w:rsidP="0011225E">
      <w:pPr>
        <w:pStyle w:val="Nadpis1"/>
        <w:jc w:val="both"/>
      </w:pPr>
      <w:proofErr w:type="spellStart"/>
      <w:r>
        <w:t>Přír</w:t>
      </w:r>
      <w:proofErr w:type="spellEnd"/>
      <w:r>
        <w:t>. čís.</w:t>
      </w:r>
      <w:r>
        <w:tab/>
      </w:r>
      <w:r>
        <w:tab/>
      </w:r>
      <w:proofErr w:type="spellStart"/>
      <w:r>
        <w:t>Inv</w:t>
      </w:r>
      <w:proofErr w:type="spellEnd"/>
      <w:r>
        <w:t>. čís.</w:t>
      </w:r>
      <w:r>
        <w:tab/>
      </w:r>
      <w:r>
        <w:tab/>
        <w:t>Předmět</w:t>
      </w:r>
    </w:p>
    <w:p w:rsidR="00375E17" w:rsidRDefault="003B3F1F" w:rsidP="0011225E">
      <w:pPr>
        <w:jc w:val="both"/>
      </w:pPr>
      <w:r>
        <w:t>200/84</w:t>
      </w:r>
      <w:r>
        <w:tab/>
      </w:r>
      <w:r>
        <w:tab/>
      </w:r>
      <w:r>
        <w:tab/>
        <w:t>La 8</w:t>
      </w:r>
      <w:r>
        <w:tab/>
      </w:r>
      <w:r>
        <w:tab/>
      </w:r>
      <w:r>
        <w:tab/>
        <w:t>socha sv. Floriána</w:t>
      </w:r>
    </w:p>
    <w:p w:rsidR="003B3F1F" w:rsidRDefault="003B3F1F" w:rsidP="0011225E">
      <w:pPr>
        <w:jc w:val="both"/>
      </w:pPr>
      <w:r>
        <w:t>247/84</w:t>
      </w:r>
      <w:r>
        <w:tab/>
      </w:r>
      <w:r>
        <w:tab/>
      </w:r>
      <w:r>
        <w:tab/>
        <w:t>La 10</w:t>
      </w:r>
      <w:r>
        <w:tab/>
      </w:r>
      <w:r>
        <w:tab/>
      </w:r>
      <w:r>
        <w:tab/>
        <w:t>socha Piety</w:t>
      </w:r>
    </w:p>
    <w:p w:rsidR="003B3F1F" w:rsidRDefault="003B3F1F" w:rsidP="0011225E">
      <w:pPr>
        <w:jc w:val="both"/>
      </w:pPr>
      <w:r>
        <w:t>219/50</w:t>
      </w:r>
      <w:r>
        <w:tab/>
      </w:r>
      <w:r>
        <w:tab/>
      </w:r>
      <w:r>
        <w:tab/>
        <w:t>La 12</w:t>
      </w:r>
      <w:r>
        <w:tab/>
      </w:r>
      <w:r>
        <w:tab/>
      </w:r>
      <w:r>
        <w:tab/>
        <w:t>reliéf Archanděla Michaela</w:t>
      </w:r>
    </w:p>
    <w:p w:rsidR="003B3F1F" w:rsidRDefault="003B3F1F" w:rsidP="0011225E">
      <w:pPr>
        <w:jc w:val="both"/>
      </w:pPr>
      <w:r>
        <w:t>226/50</w:t>
      </w:r>
      <w:r>
        <w:tab/>
      </w:r>
      <w:r>
        <w:tab/>
      </w:r>
      <w:r>
        <w:tab/>
        <w:t>La 45</w:t>
      </w:r>
      <w:r>
        <w:tab/>
      </w:r>
      <w:r>
        <w:tab/>
      </w:r>
      <w:r>
        <w:tab/>
        <w:t xml:space="preserve">socha </w:t>
      </w:r>
      <w:proofErr w:type="spellStart"/>
      <w:r>
        <w:t>Immaculaty</w:t>
      </w:r>
      <w:proofErr w:type="spellEnd"/>
    </w:p>
    <w:p w:rsidR="003B3F1F" w:rsidRDefault="007137FB" w:rsidP="0011225E">
      <w:pPr>
        <w:jc w:val="both"/>
      </w:pPr>
      <w:r>
        <w:t>258/50</w:t>
      </w:r>
      <w:r>
        <w:tab/>
      </w:r>
      <w:r>
        <w:tab/>
      </w:r>
      <w:r>
        <w:tab/>
        <w:t>La 48</w:t>
      </w:r>
      <w:r>
        <w:tab/>
      </w:r>
      <w:r>
        <w:tab/>
      </w:r>
      <w:r>
        <w:tab/>
        <w:t>sousoší Kalvárie</w:t>
      </w:r>
    </w:p>
    <w:p w:rsidR="007137FB" w:rsidRDefault="007137FB" w:rsidP="0011225E">
      <w:pPr>
        <w:jc w:val="both"/>
      </w:pPr>
      <w:r>
        <w:t>31/2004</w:t>
      </w:r>
      <w:r>
        <w:tab/>
      </w:r>
      <w:r>
        <w:tab/>
        <w:t>La 59</w:t>
      </w:r>
      <w:r>
        <w:tab/>
      </w:r>
      <w:r>
        <w:tab/>
      </w:r>
      <w:r>
        <w:tab/>
        <w:t xml:space="preserve">socha </w:t>
      </w:r>
      <w:proofErr w:type="spellStart"/>
      <w:r>
        <w:t>Immaculaty</w:t>
      </w:r>
      <w:proofErr w:type="spellEnd"/>
    </w:p>
    <w:p w:rsidR="007137FB" w:rsidRDefault="007137FB" w:rsidP="0011225E">
      <w:pPr>
        <w:jc w:val="both"/>
      </w:pPr>
      <w:r>
        <w:t>218/50</w:t>
      </w:r>
      <w:r>
        <w:tab/>
      </w:r>
      <w:r>
        <w:tab/>
      </w:r>
      <w:r>
        <w:tab/>
        <w:t>La 62</w:t>
      </w:r>
      <w:r>
        <w:tab/>
      </w:r>
      <w:r>
        <w:tab/>
      </w:r>
      <w:r>
        <w:tab/>
        <w:t>náhrobek D. Grosse (1787)</w:t>
      </w:r>
    </w:p>
    <w:p w:rsidR="007137FB" w:rsidRPr="007137FB" w:rsidRDefault="007137FB" w:rsidP="0011225E">
      <w:pPr>
        <w:jc w:val="both"/>
        <w:rPr>
          <w:b/>
        </w:rPr>
      </w:pPr>
      <w:r>
        <w:rPr>
          <w:b/>
        </w:rPr>
        <w:t>Celkem 7 sbírkových předmětů</w:t>
      </w:r>
    </w:p>
    <w:p w:rsidR="00375E17" w:rsidRDefault="00375E17" w:rsidP="0011225E">
      <w:pPr>
        <w:jc w:val="both"/>
      </w:pPr>
    </w:p>
    <w:p w:rsidR="00375E17" w:rsidRDefault="00AF0B4F" w:rsidP="0011225E">
      <w:pPr>
        <w:jc w:val="both"/>
      </w:pPr>
      <w:r>
        <w:t>3. Muzeum se zavazuje předat sbírkové předměty Pověřené osobě nejpozději do</w:t>
      </w:r>
      <w:r w:rsidR="0011225E">
        <w:t xml:space="preserve"> </w:t>
      </w:r>
      <w:r w:rsidR="0096779B">
        <w:t>29.9.2017</w:t>
      </w:r>
      <w:r>
        <w:t>, o předání a převzetí sbírkových předmětů za účelem jejich</w:t>
      </w:r>
      <w:r w:rsidR="0011225E">
        <w:t xml:space="preserve"> </w:t>
      </w:r>
      <w:r w:rsidR="00135546" w:rsidRPr="007137FB">
        <w:rPr>
          <w:bCs/>
        </w:rPr>
        <w:t>z</w:t>
      </w:r>
      <w:r w:rsidRPr="007137FB">
        <w:rPr>
          <w:bCs/>
        </w:rPr>
        <w:t>restaurování</w:t>
      </w:r>
      <w:r w:rsidR="007E58E9">
        <w:rPr>
          <w:b/>
          <w:bCs/>
          <w:i/>
        </w:rPr>
        <w:t xml:space="preserve"> </w:t>
      </w:r>
      <w:r>
        <w:t>se smluvní strany z</w:t>
      </w:r>
      <w:r>
        <w:t>a</w:t>
      </w:r>
      <w:r>
        <w:t>vazují sepsat</w:t>
      </w:r>
      <w:r w:rsidR="0011225E">
        <w:t xml:space="preserve"> </w:t>
      </w:r>
      <w:r>
        <w:t>písemný zápis.</w:t>
      </w:r>
    </w:p>
    <w:p w:rsidR="00375E17" w:rsidRDefault="00375E17" w:rsidP="0011225E">
      <w:pPr>
        <w:jc w:val="both"/>
      </w:pPr>
    </w:p>
    <w:p w:rsidR="00375E17" w:rsidRDefault="00375E17" w:rsidP="0011225E">
      <w:pPr>
        <w:jc w:val="both"/>
      </w:pPr>
    </w:p>
    <w:p w:rsidR="00375E17" w:rsidRDefault="00AF0B4F" w:rsidP="0011225E">
      <w:pPr>
        <w:jc w:val="both"/>
      </w:pPr>
      <w:r>
        <w:t>4. Pověřená osoba se zavazuje vrátit sbírkové předměty Muzeu nejpozději do</w:t>
      </w:r>
      <w:r w:rsidR="0096779B">
        <w:t xml:space="preserve"> 29.12.2017</w:t>
      </w:r>
      <w:r w:rsidR="0011225E">
        <w:t xml:space="preserve"> </w:t>
      </w:r>
      <w:r>
        <w:t>, o vrácení sbírkových předmětů se smluvní strany zavazují sepsat</w:t>
      </w:r>
      <w:r w:rsidR="0011225E">
        <w:t xml:space="preserve"> </w:t>
      </w:r>
      <w:r>
        <w:t>písemný zápis.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AF0B4F" w:rsidP="0011225E">
      <w:pPr>
        <w:jc w:val="both"/>
      </w:pPr>
      <w:r>
        <w:t>5. Pověřená osoba se zavazuje starat</w:t>
      </w:r>
      <w:r w:rsidR="00135546">
        <w:t xml:space="preserve"> se </w:t>
      </w:r>
      <w:r>
        <w:t>o vydané sbírkové předměty s náležitou péčí a všemi dostupnými prostředky je chránit před poškozením nebo zničením. Pověřená</w:t>
      </w:r>
      <w:r w:rsidR="00135546">
        <w:t xml:space="preserve"> </w:t>
      </w:r>
      <w:r>
        <w:t>osoba odpovídá za škodu vzniklou na sbírkových předmětech po dobu, kdy bude</w:t>
      </w:r>
      <w:r>
        <w:rPr>
          <w:sz w:val="26"/>
        </w:rPr>
        <w:t xml:space="preserve"> mít </w:t>
      </w:r>
      <w:r>
        <w:t>sbírkové předměty ve své dispozici.</w:t>
      </w:r>
    </w:p>
    <w:p w:rsidR="00375E17" w:rsidRDefault="00375E17" w:rsidP="0011225E">
      <w:pPr>
        <w:jc w:val="both"/>
      </w:pPr>
    </w:p>
    <w:p w:rsidR="00375E17" w:rsidRDefault="00375E17" w:rsidP="0011225E">
      <w:pPr>
        <w:jc w:val="both"/>
      </w:pPr>
    </w:p>
    <w:p w:rsidR="00375E17" w:rsidRPr="0011225E" w:rsidRDefault="00AF0B4F" w:rsidP="0011225E">
      <w:pPr>
        <w:jc w:val="center"/>
        <w:rPr>
          <w:b/>
        </w:rPr>
      </w:pPr>
      <w:r w:rsidRPr="0011225E">
        <w:rPr>
          <w:b/>
          <w:bCs/>
        </w:rPr>
        <w:t>II.</w:t>
      </w:r>
      <w:r w:rsidR="0011225E" w:rsidRPr="0011225E">
        <w:rPr>
          <w:b/>
          <w:bCs/>
        </w:rPr>
        <w:t xml:space="preserve"> </w:t>
      </w:r>
      <w:r w:rsidRPr="0011225E">
        <w:rPr>
          <w:b/>
        </w:rPr>
        <w:t>Závěrečná ustanovení</w:t>
      </w:r>
    </w:p>
    <w:p w:rsidR="00375E17" w:rsidRDefault="00375E17" w:rsidP="0011225E">
      <w:pPr>
        <w:jc w:val="both"/>
        <w:rPr>
          <w:b/>
          <w:bCs/>
          <w:sz w:val="26"/>
        </w:rPr>
      </w:pPr>
    </w:p>
    <w:p w:rsidR="00375E17" w:rsidRDefault="00AF0B4F" w:rsidP="0011225E">
      <w:pPr>
        <w:jc w:val="both"/>
      </w:pPr>
      <w:r>
        <w:t>1. Smluvní strany prohlašují, že si tuto sml</w:t>
      </w:r>
      <w:r w:rsidR="00135546">
        <w:t>ouvu přečetly, souhlasí s jejím</w:t>
      </w:r>
      <w:r>
        <w:t xml:space="preserve"> obsahem</w:t>
      </w:r>
      <w:r w:rsidR="00135546">
        <w:t xml:space="preserve"> </w:t>
      </w:r>
      <w:r>
        <w:t>a že tato byla ujednána svobodně, vážně, určitě a srozumitelně, nikoliv v tísni za</w:t>
      </w:r>
      <w:r w:rsidR="00135546">
        <w:t xml:space="preserve"> </w:t>
      </w:r>
      <w:r>
        <w:t>nápadně nevýhodných podmínek, což stvrzují svými podpisy.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AF0B4F" w:rsidP="0011225E">
      <w:pPr>
        <w:jc w:val="both"/>
      </w:pPr>
      <w:r>
        <w:t>2. Jakékoliv změny textu této smlouvy je možné provádět pouze písemnou formou</w:t>
      </w:r>
      <w:r w:rsidR="0011225E">
        <w:t xml:space="preserve"> </w:t>
      </w:r>
      <w:r>
        <w:t>po dohodě obou smluvních stran.</w:t>
      </w:r>
    </w:p>
    <w:p w:rsidR="00375E17" w:rsidRDefault="00375E17" w:rsidP="0011225E">
      <w:pPr>
        <w:jc w:val="both"/>
      </w:pPr>
    </w:p>
    <w:p w:rsidR="00375E17" w:rsidRDefault="00AF0B4F" w:rsidP="0011225E">
      <w:pPr>
        <w:jc w:val="both"/>
      </w:pPr>
      <w:r>
        <w:t>3. Práva a povinnosti touto smlouvou výslovně neřešená se řídí příslušnými</w:t>
      </w:r>
      <w:r w:rsidR="0011225E">
        <w:t xml:space="preserve"> </w:t>
      </w:r>
      <w:r>
        <w:t>ustanoveními občanského zákoníku, příp. dalších právních předpisů.</w:t>
      </w:r>
    </w:p>
    <w:p w:rsidR="00375E17" w:rsidRDefault="00375E17" w:rsidP="0011225E">
      <w:pPr>
        <w:jc w:val="both"/>
      </w:pPr>
    </w:p>
    <w:p w:rsidR="00375E17" w:rsidRDefault="00AF0B4F" w:rsidP="0011225E">
      <w:pPr>
        <w:jc w:val="both"/>
      </w:pPr>
      <w:r>
        <w:t xml:space="preserve">4. Tato smlouva je vyhotovena </w:t>
      </w:r>
      <w:r w:rsidRPr="007E58E9">
        <w:rPr>
          <w:bCs/>
        </w:rPr>
        <w:t>ve dvou stejnopisech</w:t>
      </w:r>
      <w:r>
        <w:t>, z nichž po jednom obdrží</w:t>
      </w:r>
      <w:r w:rsidR="0011225E">
        <w:t xml:space="preserve"> </w:t>
      </w:r>
      <w:r>
        <w:t>každá ze smluvních stran.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AF0B4F" w:rsidP="0011225E">
      <w:pPr>
        <w:jc w:val="both"/>
      </w:pPr>
      <w:r>
        <w:t>Chomutov dne</w:t>
      </w:r>
      <w:r w:rsidR="007137FB">
        <w:t xml:space="preserve"> 20.9.2017</w:t>
      </w:r>
      <w:r w:rsidR="007137FB">
        <w:tab/>
      </w:r>
      <w:r w:rsidR="007137FB">
        <w:tab/>
      </w:r>
      <w:r w:rsidR="007137FB">
        <w:tab/>
      </w:r>
      <w:r w:rsidR="007137FB">
        <w:tab/>
      </w:r>
      <w:r w:rsidR="0096779B">
        <w:t>Chomutov</w:t>
      </w:r>
      <w:r w:rsidR="007137FB">
        <w:t xml:space="preserve"> dne 20.9.2017</w:t>
      </w:r>
      <w:r w:rsidR="007137FB">
        <w:tab/>
      </w:r>
      <w:r w:rsidR="007137FB">
        <w:tab/>
      </w:r>
      <w:r w:rsidR="007137FB">
        <w:tab/>
      </w:r>
      <w:r w:rsidR="007137FB">
        <w:tab/>
      </w:r>
    </w:p>
    <w:p w:rsidR="00375E17" w:rsidRDefault="00375E17" w:rsidP="0011225E">
      <w:pPr>
        <w:jc w:val="both"/>
        <w:rPr>
          <w:sz w:val="26"/>
        </w:rPr>
      </w:pPr>
    </w:p>
    <w:p w:rsidR="00375E17" w:rsidRDefault="00375E17" w:rsidP="0011225E">
      <w:pPr>
        <w:jc w:val="both"/>
        <w:rPr>
          <w:sz w:val="26"/>
        </w:rPr>
      </w:pPr>
    </w:p>
    <w:p w:rsidR="00375E17" w:rsidRDefault="00375E17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AF0B4F" w:rsidRDefault="00AF0B4F" w:rsidP="0011225E">
      <w:pPr>
        <w:jc w:val="both"/>
        <w:rPr>
          <w:sz w:val="26"/>
        </w:rPr>
      </w:pPr>
    </w:p>
    <w:p w:rsidR="00375E17" w:rsidRDefault="00AF0B4F" w:rsidP="0011225E">
      <w:pPr>
        <w:jc w:val="both"/>
        <w:rPr>
          <w:sz w:val="26"/>
        </w:rPr>
      </w:pPr>
      <w:r>
        <w:rPr>
          <w:sz w:val="26"/>
        </w:rPr>
        <w:t>……………………………………</w:t>
      </w:r>
      <w:r>
        <w:rPr>
          <w:sz w:val="26"/>
        </w:rPr>
        <w:tab/>
      </w:r>
      <w:r>
        <w:rPr>
          <w:sz w:val="26"/>
        </w:rPr>
        <w:tab/>
        <w:t>……………………………………</w:t>
      </w:r>
    </w:p>
    <w:p w:rsidR="00375E17" w:rsidRDefault="00AF0B4F" w:rsidP="0011225E">
      <w:pPr>
        <w:ind w:left="708" w:firstLine="708"/>
        <w:jc w:val="both"/>
      </w:pPr>
      <w:r>
        <w:t>Muzeum</w:t>
      </w:r>
      <w:r>
        <w:tab/>
      </w:r>
      <w:r>
        <w:tab/>
      </w:r>
      <w:r>
        <w:tab/>
      </w:r>
      <w:r>
        <w:tab/>
      </w:r>
      <w:r>
        <w:tab/>
        <w:t>Pověřená osoba</w:t>
      </w:r>
    </w:p>
    <w:p w:rsidR="00375E17" w:rsidRDefault="00375E17" w:rsidP="0011225E">
      <w:pPr>
        <w:jc w:val="both"/>
        <w:rPr>
          <w:sz w:val="26"/>
        </w:rPr>
      </w:pPr>
    </w:p>
    <w:p w:rsidR="00375E17" w:rsidRDefault="00375E17" w:rsidP="0011225E">
      <w:pPr>
        <w:jc w:val="both"/>
        <w:rPr>
          <w:sz w:val="26"/>
        </w:rPr>
      </w:pPr>
    </w:p>
    <w:p w:rsidR="00AF0B4F" w:rsidRPr="00AF0B4F" w:rsidRDefault="00AF0B4F" w:rsidP="0011225E">
      <w:pPr>
        <w:jc w:val="both"/>
        <w:rPr>
          <w:sz w:val="26"/>
        </w:rPr>
      </w:pP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</w:p>
    <w:sectPr w:rsidR="00AF0B4F" w:rsidRPr="00AF0B4F" w:rsidSect="0037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61" w:rsidRDefault="00CD0261" w:rsidP="0053770B">
      <w:r>
        <w:separator/>
      </w:r>
    </w:p>
  </w:endnote>
  <w:endnote w:type="continuationSeparator" w:id="0">
    <w:p w:rsidR="00CD0261" w:rsidRDefault="00CD0261" w:rsidP="005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61" w:rsidRDefault="00CD0261" w:rsidP="0053770B">
      <w:r>
        <w:separator/>
      </w:r>
    </w:p>
  </w:footnote>
  <w:footnote w:type="continuationSeparator" w:id="0">
    <w:p w:rsidR="00CD0261" w:rsidRDefault="00CD0261" w:rsidP="0053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1F"/>
    <w:rsid w:val="00011206"/>
    <w:rsid w:val="00054EA1"/>
    <w:rsid w:val="0011225E"/>
    <w:rsid w:val="00135546"/>
    <w:rsid w:val="00326087"/>
    <w:rsid w:val="00375E17"/>
    <w:rsid w:val="003B16EC"/>
    <w:rsid w:val="003B3F1F"/>
    <w:rsid w:val="004E7FC6"/>
    <w:rsid w:val="0053770B"/>
    <w:rsid w:val="0060463D"/>
    <w:rsid w:val="0067484D"/>
    <w:rsid w:val="007137FB"/>
    <w:rsid w:val="00733B41"/>
    <w:rsid w:val="007E58E9"/>
    <w:rsid w:val="0096779B"/>
    <w:rsid w:val="00984157"/>
    <w:rsid w:val="00A03977"/>
    <w:rsid w:val="00AA6D20"/>
    <w:rsid w:val="00AF0B4F"/>
    <w:rsid w:val="00C3457B"/>
    <w:rsid w:val="00CD0261"/>
    <w:rsid w:val="00D4142D"/>
    <w:rsid w:val="00DB62B3"/>
    <w:rsid w:val="00EA4926"/>
    <w:rsid w:val="00E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E17"/>
    <w:rPr>
      <w:sz w:val="24"/>
      <w:szCs w:val="24"/>
    </w:rPr>
  </w:style>
  <w:style w:type="paragraph" w:styleId="Nadpis1">
    <w:name w:val="heading 1"/>
    <w:basedOn w:val="Normln"/>
    <w:next w:val="Normln"/>
    <w:qFormat/>
    <w:rsid w:val="00375E1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75E17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375E17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75E17"/>
    <w:pPr>
      <w:jc w:val="center"/>
    </w:pPr>
    <w:rPr>
      <w:b/>
      <w:bCs/>
      <w:sz w:val="40"/>
    </w:rPr>
  </w:style>
  <w:style w:type="paragraph" w:styleId="Zhlav">
    <w:name w:val="header"/>
    <w:basedOn w:val="Normln"/>
    <w:link w:val="Zhlav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7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70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7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E17"/>
    <w:rPr>
      <w:sz w:val="24"/>
      <w:szCs w:val="24"/>
    </w:rPr>
  </w:style>
  <w:style w:type="paragraph" w:styleId="Nadpis1">
    <w:name w:val="heading 1"/>
    <w:basedOn w:val="Normln"/>
    <w:next w:val="Normln"/>
    <w:qFormat/>
    <w:rsid w:val="00375E1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75E17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375E17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75E17"/>
    <w:pPr>
      <w:jc w:val="center"/>
    </w:pPr>
    <w:rPr>
      <w:b/>
      <w:bCs/>
      <w:sz w:val="40"/>
    </w:rPr>
  </w:style>
  <w:style w:type="paragraph" w:styleId="Zhlav">
    <w:name w:val="header"/>
    <w:basedOn w:val="Normln"/>
    <w:link w:val="Zhlav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7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70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7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%20Zemkov&#225;\Desktop\Smlouvy%20o%20v&#253;p&#367;j&#269;ce\P&#345;&#237;kaz%20&#269;.%2089-2005%20p&#345;&#237;l.%20&#269;.%202-4-1%20Vzor%20Smlouva%20inomin&#225;t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Příkaz č. 89-2005 příl. č. 2-4-1 Vzor Smlouva inominátní.dotx</Template>
  <TotalTime>1</TotalTime>
  <Pages>2</Pages>
  <Words>380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Oblastní muzeum v Chomutově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Iveta Zemková</dc:creator>
  <cp:lastModifiedBy>Stanislav Děd</cp:lastModifiedBy>
  <cp:revision>2</cp:revision>
  <cp:lastPrinted>2017-09-20T08:36:00Z</cp:lastPrinted>
  <dcterms:created xsi:type="dcterms:W3CDTF">2017-09-25T05:55:00Z</dcterms:created>
  <dcterms:modified xsi:type="dcterms:W3CDTF">2017-09-25T05:55:00Z</dcterms:modified>
</cp:coreProperties>
</file>