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Style w:val="Style9"/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Havlíčkův Brod,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13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Dodavatel: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AMGEN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Amgen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Pod dráhou 1637/2, Holešovice 170 00 PRAHA 7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ČESKÁ REPUBLIKA Tel 800 142 465 Fax 800 142 254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Fakturační adresa DIČ : CZ27117804 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 xml:space="preserve">Objednávka    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7"/>
        </w:rPr>
        <w:t>0013368336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 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ČÍSLO OBJE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000000"/>
          <w:spacing w:val="0"/>
          <w:sz w:val="21"/>
        </w:rPr>
        <w:t>D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N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ÁVK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Y </w:t>
      </w:r>
      <w:r>
        <w:rPr>
          <w:rStyle w:val="Strong"/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</w:rPr>
        <w:t>130326H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7344" w:type="dxa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0"/>
        <w:gridCol w:w="504"/>
      </w:tblGrid>
      <w:tr>
        <w:trPr>
          <w:trHeight w:val="270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XGEVA 120MG INJ SOL ISP 1X1ML PERO</w:t>
            </w:r>
          </w:p>
        </w:tc>
        <w:tc>
          <w:tcPr>
            <w:tcW w:w="50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  <w:tc>
          <w:tcPr>
            <w:tcW w:w="50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</w:tr>
      <w:tr>
        <w:trPr>
          <w:trHeight w:val="255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  <w:tc>
          <w:tcPr>
            <w:tcW w:w="50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</w:tr>
      <w:tr>
        <w:trPr>
          <w:trHeight w:val="270" w:hRule="atLeast"/>
        </w:trPr>
        <w:tc>
          <w:tcPr>
            <w:tcW w:w="684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  <w:tc>
          <w:tcPr>
            <w:tcW w:w="50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eastAsia="Roboto;sans-serif" w:cs="Roboto;sans-serif"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Times New Roman">
    <w:altName w:val="serif"/>
    <w:charset w:val="ee"/>
    <w:family w:val="roman"/>
    <w:pitch w:val="variable"/>
  </w:font>
  <w:font w:name="Roboto">
    <w:altName w:val="sans-serif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LibreOffice/25.8.5.2$Windows_X86_64 LibreOffice_project/9c8b85f387cc00a89945a79c9e6239f32e450ac2</Application>
  <AppVersion>15.0000</AppVersion>
  <Pages>2</Pages>
  <Words>144</Words>
  <Characters>898</Characters>
  <CharactersWithSpaces>1032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2026-03-23T10:16:29Z</dcterms:created>
  <dc:creator/>
  <dc:description/>
  <dc:language>cs-CZ</dc:language>
  <cp:lastModifiedBy/>
  <dcterms:modified xsi:type="dcterms:W3CDTF">2026-03-23T10:26:09Z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