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rStyle w:val="Style9"/>
            <w:b w:val="false"/>
            <w:i w:val="false"/>
            <w:caps w:val="false"/>
            <w:smallCaps w:val="false"/>
            <w:color w:val="000000"/>
            <w:spacing w:val="0"/>
          </w:rPr>
          <w:t>E-mail: 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5. března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TEST-LINE, Clinical Diagnostics,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Křižíkova 68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612 00 Brno</w:t>
      </w:r>
    </w:p>
    <w:p>
      <w:pPr>
        <w:pStyle w:val="BodyText"/>
        <w:widowControl/>
        <w:bidi w:val="0"/>
        <w:ind w:hanging="0" w:left="0" w:right="0"/>
        <w:jc w:val="left"/>
        <w:rPr>
          <w:color w:val="0563C1"/>
        </w:rPr>
      </w:pPr>
      <w:r>
        <w:rPr>
          <w:color w:val="0563C1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91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3"/>
        <w:gridCol w:w="672"/>
      </w:tblGrid>
      <w:tr>
        <w:trPr>
          <w:trHeight w:val="270" w:hRule="atLeast"/>
        </w:trPr>
        <w:tc>
          <w:tcPr>
            <w:tcW w:w="8433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BORRELIA IGG BD-BGL024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TESTLINE</w:t>
            </w:r>
          </w:p>
        </w:tc>
        <w:tc>
          <w:tcPr>
            <w:tcW w:w="672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433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BORRELIA IGM BD-BML024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TESTLINE</w:t>
            </w:r>
          </w:p>
        </w:tc>
        <w:tc>
          <w:tcPr>
            <w:tcW w:w="672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433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CHLAMYDIA IGA BD-CAL024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TESTLINE</w:t>
            </w:r>
          </w:p>
        </w:tc>
        <w:tc>
          <w:tcPr>
            <w:tcW w:w="672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433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CHLAMYDIA IGG BD-CGL024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TESTLINE</w:t>
            </w:r>
          </w:p>
        </w:tc>
        <w:tc>
          <w:tcPr>
            <w:tcW w:w="672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433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CMV IGG CMG096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TESTLINE</w:t>
            </w:r>
          </w:p>
        </w:tc>
        <w:tc>
          <w:tcPr>
            <w:tcW w:w="672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433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CMV IGM 96T CMM096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TESTLINE</w:t>
            </w:r>
          </w:p>
        </w:tc>
        <w:tc>
          <w:tcPr>
            <w:tcW w:w="672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433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EBV EA-D IGG EAG096 TEST-LINE</w:t>
            </w:r>
          </w:p>
        </w:tc>
        <w:tc>
          <w:tcPr>
            <w:tcW w:w="672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70" w:hRule="atLeast"/>
        </w:trPr>
        <w:tc>
          <w:tcPr>
            <w:tcW w:w="8433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TRANSGLUTAMINASE IGA tTA096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TESTLINE</w:t>
            </w:r>
          </w:p>
        </w:tc>
        <w:tc>
          <w:tcPr>
            <w:tcW w:w="672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91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4"/>
        <w:gridCol w:w="731"/>
      </w:tblGrid>
      <w:tr>
        <w:trPr>
          <w:trHeight w:val="270" w:hRule="atLeast"/>
        </w:trPr>
        <w:tc>
          <w:tcPr>
            <w:tcW w:w="8374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CHORUS HERPES SIMPLEX 1+2 IGG 81020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TESTLINE</w:t>
            </w:r>
          </w:p>
        </w:tc>
        <w:tc>
          <w:tcPr>
            <w:tcW w:w="731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70" w:hRule="atLeast"/>
        </w:trPr>
        <w:tc>
          <w:tcPr>
            <w:tcW w:w="8374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CHORUS HERPES SIMPLEX 1+2 IGM 81021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TESTLINE</w:t>
            </w:r>
          </w:p>
        </w:tc>
        <w:tc>
          <w:tcPr>
            <w:tcW w:w="731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 xml:space="preserve">Oddělení společných laboratoří, 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Povinnost zveřejnění smlouvy v registru smluv splní Nemocnice Havlíčkův Brod, p.o.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Arial;Helvetica" w:hAnsi="Arial;Helvetica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i w:val="false"/>
          <w:caps w:val="false"/>
          <w:smallCaps w:val="false"/>
          <w:color w:val="000000"/>
          <w:spacing w:val="0"/>
          <w:sz w:val="20"/>
        </w:rPr>
      </w:r>
      <w:bookmarkStart w:id="1" w:name="img-1232000306362273101761807395410"/>
      <w:bookmarkStart w:id="2" w:name="img-1232000306362273101761807395410"/>
      <w:bookmarkEnd w:id="2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roman"/>
    <w:pitch w:val="variable"/>
  </w:font>
  <w:font w:name="Roboto">
    <w:altName w:val="sans-serif"/>
    <w:charset w:val="ee"/>
    <w:family w:val="roman"/>
    <w:pitch w:val="variable"/>
  </w:font>
  <w:font w:name="Arial">
    <w:altName w:val="Helvetica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2</Pages>
  <Words>202</Words>
  <Characters>1293</Characters>
  <CharactersWithSpaces>1458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2026-03-17T10:01:52Z</dcterms:created>
  <dc:creator/>
  <dc:description/>
  <dc:language>cs-CZ</dc:language>
  <cp:lastModifiedBy/>
  <dcterms:modified xsi:type="dcterms:W3CDTF">2026-03-17T10:16:12Z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