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ECDD" w14:textId="77777777" w:rsidR="00703E4D" w:rsidRPr="00703E4D" w:rsidRDefault="00703E4D" w:rsidP="00703E4D">
      <w:p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b/>
          <w:bCs/>
          <w:sz w:val="40"/>
          <w:szCs w:val="40"/>
          <w:lang w:eastAsia="cs-CZ"/>
        </w:rPr>
        <w:t>PŘÍKAZNÍ SMLOUVA</w:t>
      </w:r>
      <w:r w:rsidRPr="00703E4D">
        <w:rPr>
          <w:rFonts w:asciiTheme="majorHAnsi" w:eastAsia="Times New Roman" w:hAnsiTheme="majorHAnsi" w:cstheme="majorHAnsi"/>
          <w:sz w:val="21"/>
          <w:szCs w:val="21"/>
          <w:lang w:eastAsia="cs-CZ"/>
        </w:rPr>
        <w:br/>
        <w:t>dle § 2430 a násl. zákona č. 89/2012 Sb., občanský zákoník</w:t>
      </w:r>
    </w:p>
    <w:p w14:paraId="7C7E9F97" w14:textId="77777777" w:rsidR="00703E4D" w:rsidRPr="00703E4D" w:rsidRDefault="00703E4D" w:rsidP="00703E4D">
      <w:pPr>
        <w:rPr>
          <w:rFonts w:asciiTheme="majorHAnsi" w:eastAsia="Times New Roman" w:hAnsiTheme="majorHAnsi" w:cstheme="majorHAnsi"/>
          <w:sz w:val="21"/>
          <w:szCs w:val="21"/>
          <w:lang w:eastAsia="cs-CZ"/>
        </w:rPr>
      </w:pPr>
    </w:p>
    <w:p w14:paraId="20BD64BC"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I. Smluvní strany</w:t>
      </w:r>
    </w:p>
    <w:p w14:paraId="1CCE43F6" w14:textId="77777777" w:rsidR="00703E4D" w:rsidRPr="00703E4D" w:rsidRDefault="00703E4D" w:rsidP="00703E4D">
      <w:p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b/>
          <w:bCs/>
          <w:sz w:val="21"/>
          <w:szCs w:val="21"/>
          <w:lang w:eastAsia="cs-CZ"/>
        </w:rPr>
        <w:t>Základní škola a mateřská škola Český Těšín Hrabina, příspěvková organizace</w:t>
      </w:r>
      <w:r w:rsidRPr="00703E4D">
        <w:rPr>
          <w:rFonts w:asciiTheme="majorHAnsi" w:eastAsia="Times New Roman" w:hAnsiTheme="majorHAnsi" w:cstheme="majorHAnsi"/>
          <w:sz w:val="21"/>
          <w:szCs w:val="21"/>
          <w:lang w:eastAsia="cs-CZ"/>
        </w:rPr>
        <w:br/>
        <w:t>se sídlem Ostravská 1710, 737 01 Český Těšín</w:t>
      </w:r>
      <w:r w:rsidRPr="00703E4D">
        <w:rPr>
          <w:rFonts w:asciiTheme="majorHAnsi" w:eastAsia="Times New Roman" w:hAnsiTheme="majorHAnsi" w:cstheme="majorHAnsi"/>
          <w:sz w:val="21"/>
          <w:szCs w:val="21"/>
          <w:lang w:eastAsia="cs-CZ"/>
        </w:rPr>
        <w:br/>
        <w:t>IČO: 72545933</w:t>
      </w:r>
      <w:r w:rsidRPr="00703E4D">
        <w:rPr>
          <w:rFonts w:asciiTheme="majorHAnsi" w:eastAsia="Times New Roman" w:hAnsiTheme="majorHAnsi" w:cstheme="majorHAnsi"/>
          <w:sz w:val="21"/>
          <w:szCs w:val="21"/>
          <w:lang w:eastAsia="cs-CZ"/>
        </w:rPr>
        <w:br/>
        <w:t>zastoupena ředitelem školy</w:t>
      </w:r>
      <w:r w:rsidRPr="00703E4D">
        <w:rPr>
          <w:rFonts w:asciiTheme="majorHAnsi" w:eastAsia="Times New Roman" w:hAnsiTheme="majorHAnsi" w:cstheme="majorHAnsi"/>
          <w:sz w:val="21"/>
          <w:szCs w:val="21"/>
          <w:lang w:eastAsia="cs-CZ"/>
        </w:rPr>
        <w:br/>
        <w:t>(dále jen „příkazce“)</w:t>
      </w:r>
    </w:p>
    <w:p w14:paraId="3011E8AB" w14:textId="77777777" w:rsidR="00703E4D" w:rsidRPr="00703E4D" w:rsidRDefault="00703E4D" w:rsidP="00703E4D">
      <w:p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a</w:t>
      </w:r>
    </w:p>
    <w:p w14:paraId="3A17B9B8" w14:textId="77777777" w:rsidR="00703E4D" w:rsidRPr="00703E4D" w:rsidRDefault="00703E4D" w:rsidP="00703E4D">
      <w:pPr>
        <w:spacing w:before="100" w:beforeAutospacing="1" w:after="100" w:afterAutospacing="1"/>
        <w:rPr>
          <w:rFonts w:asciiTheme="majorHAnsi" w:eastAsia="Times New Roman" w:hAnsiTheme="majorHAnsi" w:cstheme="majorHAnsi"/>
          <w:sz w:val="21"/>
          <w:szCs w:val="21"/>
          <w:lang w:eastAsia="cs-CZ"/>
        </w:rPr>
      </w:pPr>
      <w:proofErr w:type="spellStart"/>
      <w:r w:rsidRPr="00703E4D">
        <w:rPr>
          <w:rFonts w:asciiTheme="majorHAnsi" w:eastAsia="Times New Roman" w:hAnsiTheme="majorHAnsi" w:cstheme="majorHAnsi"/>
          <w:b/>
          <w:bCs/>
          <w:sz w:val="21"/>
          <w:szCs w:val="21"/>
          <w:lang w:eastAsia="cs-CZ"/>
        </w:rPr>
        <w:t>mumandi</w:t>
      </w:r>
      <w:proofErr w:type="spellEnd"/>
      <w:r w:rsidRPr="00703E4D">
        <w:rPr>
          <w:rFonts w:asciiTheme="majorHAnsi" w:eastAsia="Times New Roman" w:hAnsiTheme="majorHAnsi" w:cstheme="majorHAnsi"/>
          <w:b/>
          <w:bCs/>
          <w:sz w:val="21"/>
          <w:szCs w:val="21"/>
          <w:lang w:eastAsia="cs-CZ"/>
        </w:rPr>
        <w:t xml:space="preserve"> s. r. o.</w:t>
      </w:r>
      <w:r w:rsidRPr="00703E4D">
        <w:rPr>
          <w:rFonts w:asciiTheme="majorHAnsi" w:eastAsia="Times New Roman" w:hAnsiTheme="majorHAnsi" w:cstheme="majorHAnsi"/>
          <w:sz w:val="21"/>
          <w:szCs w:val="21"/>
          <w:lang w:eastAsia="cs-CZ"/>
        </w:rPr>
        <w:br/>
        <w:t>se sídlem Sokolská 1615/50, 702 00 Moravská Ostrava</w:t>
      </w:r>
      <w:r w:rsidRPr="00703E4D">
        <w:rPr>
          <w:rFonts w:asciiTheme="majorHAnsi" w:eastAsia="Times New Roman" w:hAnsiTheme="majorHAnsi" w:cstheme="majorHAnsi"/>
          <w:sz w:val="21"/>
          <w:szCs w:val="21"/>
          <w:lang w:eastAsia="cs-CZ"/>
        </w:rPr>
        <w:br/>
        <w:t>IČO: 28591534</w:t>
      </w:r>
      <w:r w:rsidRPr="00703E4D">
        <w:rPr>
          <w:rFonts w:asciiTheme="majorHAnsi" w:eastAsia="Times New Roman" w:hAnsiTheme="majorHAnsi" w:cstheme="majorHAnsi"/>
          <w:sz w:val="21"/>
          <w:szCs w:val="21"/>
          <w:lang w:eastAsia="cs-CZ"/>
        </w:rPr>
        <w:br/>
        <w:t>zastoupena jednatelem</w:t>
      </w:r>
      <w:r w:rsidRPr="00703E4D">
        <w:rPr>
          <w:rFonts w:asciiTheme="majorHAnsi" w:eastAsia="Times New Roman" w:hAnsiTheme="majorHAnsi" w:cstheme="majorHAnsi"/>
          <w:sz w:val="21"/>
          <w:szCs w:val="21"/>
          <w:lang w:eastAsia="cs-CZ"/>
        </w:rPr>
        <w:br/>
        <w:t>(dále jen „příkazník“)</w:t>
      </w:r>
    </w:p>
    <w:p w14:paraId="3B3C9A44" w14:textId="77777777" w:rsidR="00703E4D" w:rsidRPr="00703E4D" w:rsidRDefault="00703E4D" w:rsidP="00703E4D">
      <w:pPr>
        <w:rPr>
          <w:rFonts w:asciiTheme="majorHAnsi" w:eastAsia="Times New Roman" w:hAnsiTheme="majorHAnsi" w:cstheme="majorHAnsi"/>
          <w:sz w:val="21"/>
          <w:szCs w:val="21"/>
          <w:lang w:eastAsia="cs-CZ"/>
        </w:rPr>
      </w:pPr>
    </w:p>
    <w:p w14:paraId="1EF6F50D"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II. Úvodní ustanovení</w:t>
      </w:r>
    </w:p>
    <w:p w14:paraId="0323BF1B" w14:textId="77777777" w:rsidR="00703E4D" w:rsidRPr="00703E4D" w:rsidRDefault="00703E4D" w:rsidP="00703E4D">
      <w:pPr>
        <w:numPr>
          <w:ilvl w:val="0"/>
          <w:numId w:val="1"/>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Příkazce podal projektovou žádost v rámci 87. výzvy OP Spravedlivá transformace s názvem projektu</w:t>
      </w:r>
      <w:r w:rsidR="002046A4">
        <w:rPr>
          <w:rFonts w:asciiTheme="majorHAnsi" w:eastAsia="Times New Roman" w:hAnsiTheme="majorHAnsi" w:cstheme="majorHAnsi"/>
          <w:sz w:val="21"/>
          <w:szCs w:val="21"/>
          <w:lang w:eastAsia="cs-CZ"/>
        </w:rPr>
        <w:t xml:space="preserve"> </w:t>
      </w:r>
      <w:r w:rsidRPr="00703E4D">
        <w:rPr>
          <w:rFonts w:asciiTheme="majorHAnsi" w:eastAsia="Times New Roman" w:hAnsiTheme="majorHAnsi" w:cstheme="majorHAnsi"/>
          <w:b/>
          <w:bCs/>
          <w:sz w:val="21"/>
          <w:szCs w:val="21"/>
          <w:lang w:eastAsia="cs-CZ"/>
        </w:rPr>
        <w:t>„Rekonstrukce učeben praktických a digitálních dovedností“</w:t>
      </w:r>
      <w:r w:rsidRPr="00703E4D">
        <w:rPr>
          <w:rFonts w:asciiTheme="majorHAnsi" w:eastAsia="Times New Roman" w:hAnsiTheme="majorHAnsi" w:cstheme="majorHAnsi"/>
          <w:sz w:val="21"/>
          <w:szCs w:val="21"/>
          <w:lang w:eastAsia="cs-CZ"/>
        </w:rPr>
        <w:t xml:space="preserve"> (dále jen „projekt“).</w:t>
      </w:r>
    </w:p>
    <w:p w14:paraId="0D6717F3" w14:textId="77777777" w:rsidR="00703E4D" w:rsidRPr="00703E4D" w:rsidRDefault="00703E4D" w:rsidP="00703E4D">
      <w:pPr>
        <w:numPr>
          <w:ilvl w:val="0"/>
          <w:numId w:val="1"/>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 xml:space="preserve">Tato smlouva upravuje </w:t>
      </w:r>
      <w:r w:rsidRPr="00703E4D">
        <w:rPr>
          <w:rFonts w:asciiTheme="majorHAnsi" w:eastAsia="Times New Roman" w:hAnsiTheme="majorHAnsi" w:cstheme="majorHAnsi"/>
          <w:b/>
          <w:bCs/>
          <w:sz w:val="21"/>
          <w:szCs w:val="21"/>
          <w:lang w:eastAsia="cs-CZ"/>
        </w:rPr>
        <w:t>výhradně činnosti spojené s realizací projektu po jeho schválení k financování</w:t>
      </w:r>
      <w:r w:rsidRPr="00703E4D">
        <w:rPr>
          <w:rFonts w:asciiTheme="majorHAnsi" w:eastAsia="Times New Roman" w:hAnsiTheme="majorHAnsi" w:cstheme="majorHAnsi"/>
          <w:sz w:val="21"/>
          <w:szCs w:val="21"/>
          <w:lang w:eastAsia="cs-CZ"/>
        </w:rPr>
        <w:t>.</w:t>
      </w:r>
    </w:p>
    <w:p w14:paraId="470E6E0A" w14:textId="77777777" w:rsidR="00703E4D" w:rsidRPr="00703E4D" w:rsidRDefault="00703E4D" w:rsidP="00703E4D">
      <w:pPr>
        <w:numPr>
          <w:ilvl w:val="0"/>
          <w:numId w:val="1"/>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Činnosti související se zpracováním a podáním žádosti o dotaci nejsou předmětem této smlouvy a byly mezi stranami vypořádány samostatně.</w:t>
      </w:r>
    </w:p>
    <w:p w14:paraId="0FA05F49"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III. Předmět smlouvy</w:t>
      </w:r>
    </w:p>
    <w:p w14:paraId="16742B58" w14:textId="77777777" w:rsidR="00703E4D" w:rsidRPr="00703E4D" w:rsidRDefault="00703E4D" w:rsidP="0052742A">
      <w:pPr>
        <w:spacing w:before="100" w:before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Příkazník se zavazuje zajistit pro příkazce administraci projektu v souladu s podmínkami poskytovatele dotace, zejména:</w:t>
      </w:r>
    </w:p>
    <w:p w14:paraId="01AF8ED0" w14:textId="77777777" w:rsidR="00703E4D" w:rsidRPr="00703E4D" w:rsidRDefault="00703E4D" w:rsidP="00F34364">
      <w:pPr>
        <w:numPr>
          <w:ilvl w:val="0"/>
          <w:numId w:val="2"/>
        </w:numPr>
        <w:spacing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administraci projektu v době realizace,</w:t>
      </w:r>
    </w:p>
    <w:p w14:paraId="47066BBF"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zajištění plnění podmínek dotace,</w:t>
      </w:r>
    </w:p>
    <w:p w14:paraId="5C606258"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zpracování zpráv o realizaci a žádostí o platbu,</w:t>
      </w:r>
    </w:p>
    <w:p w14:paraId="78A9A048"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komplexní komunikaci s poskytovatelem dotace,</w:t>
      </w:r>
    </w:p>
    <w:p w14:paraId="1E76F3F4"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zajištění povinné publicity projektu,</w:t>
      </w:r>
    </w:p>
    <w:p w14:paraId="54798C9D"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přípravu a administraci zadávacích/výběrových řízení dle ZZVZ,</w:t>
      </w:r>
    </w:p>
    <w:p w14:paraId="56144CFC"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administraci projektu v době udržitelnosti,</w:t>
      </w:r>
    </w:p>
    <w:p w14:paraId="63DA333D" w14:textId="77777777" w:rsidR="00703E4D" w:rsidRPr="00703E4D" w:rsidRDefault="00703E4D" w:rsidP="00703E4D">
      <w:pPr>
        <w:numPr>
          <w:ilvl w:val="0"/>
          <w:numId w:val="2"/>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součinnost při kontrolách projektu.</w:t>
      </w:r>
    </w:p>
    <w:p w14:paraId="44ECA73E" w14:textId="77777777" w:rsidR="00703E4D" w:rsidRPr="00703E4D" w:rsidRDefault="00703E4D" w:rsidP="00703E4D">
      <w:p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Rozsah zadavatelské činnosti je uveden v příloze č. 1 této smlouvy.</w:t>
      </w:r>
    </w:p>
    <w:p w14:paraId="45D8C792"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IV. Doba plnění</w:t>
      </w:r>
    </w:p>
    <w:p w14:paraId="286D01E9" w14:textId="77777777" w:rsidR="00703E4D" w:rsidRPr="00703E4D" w:rsidRDefault="00703E4D" w:rsidP="00703E4D">
      <w:pPr>
        <w:numPr>
          <w:ilvl w:val="0"/>
          <w:numId w:val="3"/>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Tato smlouva se uzavírá na dobu od její účinnosti do ukončení administrace projektu včetně období udržitelnosti.</w:t>
      </w:r>
    </w:p>
    <w:p w14:paraId="78EF0143" w14:textId="77777777" w:rsidR="00703E4D" w:rsidRPr="00703E4D" w:rsidRDefault="00703E4D" w:rsidP="00703E4D">
      <w:pPr>
        <w:numPr>
          <w:ilvl w:val="0"/>
          <w:numId w:val="3"/>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Příkazník zahájí plnění dnem nabytí účinnosti smlouvy.</w:t>
      </w:r>
    </w:p>
    <w:p w14:paraId="04105B55"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lastRenderedPageBreak/>
        <w:t>V. Cena a platební podmínky</w:t>
      </w:r>
    </w:p>
    <w:p w14:paraId="028C8641" w14:textId="77777777" w:rsidR="00703E4D" w:rsidRPr="00703E4D" w:rsidRDefault="00703E4D" w:rsidP="002046A4">
      <w:pPr>
        <w:numPr>
          <w:ilvl w:val="0"/>
          <w:numId w:val="4"/>
        </w:numPr>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Odměna příkazníka za administraci projektu činí:</w:t>
      </w:r>
    </w:p>
    <w:p w14:paraId="64070BD5" w14:textId="77777777" w:rsidR="00703E4D" w:rsidRPr="00703E4D" w:rsidRDefault="00703E4D" w:rsidP="002046A4">
      <w:pPr>
        <w:numPr>
          <w:ilvl w:val="0"/>
          <w:numId w:val="5"/>
        </w:numPr>
        <w:tabs>
          <w:tab w:val="clear" w:pos="720"/>
        </w:tabs>
        <w:spacing w:after="100" w:afterAutospacing="1"/>
        <w:ind w:left="993" w:hanging="284"/>
        <w:rPr>
          <w:rFonts w:asciiTheme="majorHAnsi" w:eastAsia="Times New Roman" w:hAnsiTheme="majorHAnsi" w:cstheme="majorHAnsi"/>
          <w:sz w:val="21"/>
          <w:szCs w:val="21"/>
          <w:lang w:eastAsia="cs-CZ"/>
        </w:rPr>
      </w:pPr>
      <w:r w:rsidRPr="00703E4D">
        <w:rPr>
          <w:rFonts w:asciiTheme="majorHAnsi" w:eastAsia="Times New Roman" w:hAnsiTheme="majorHAnsi" w:cstheme="majorHAnsi"/>
          <w:b/>
          <w:bCs/>
          <w:sz w:val="21"/>
          <w:szCs w:val="21"/>
          <w:lang w:eastAsia="cs-CZ"/>
        </w:rPr>
        <w:t>50 000 Kč</w:t>
      </w:r>
      <w:r w:rsidRPr="00703E4D">
        <w:rPr>
          <w:rFonts w:asciiTheme="majorHAnsi" w:eastAsia="Times New Roman" w:hAnsiTheme="majorHAnsi" w:cstheme="majorHAnsi"/>
          <w:sz w:val="21"/>
          <w:szCs w:val="21"/>
          <w:lang w:eastAsia="cs-CZ"/>
        </w:rPr>
        <w:t xml:space="preserve"> po ukončení všech zadávacích</w:t>
      </w:r>
      <w:r w:rsidR="002046A4">
        <w:rPr>
          <w:rFonts w:asciiTheme="majorHAnsi" w:eastAsia="Times New Roman" w:hAnsiTheme="majorHAnsi" w:cstheme="majorHAnsi"/>
          <w:sz w:val="21"/>
          <w:szCs w:val="21"/>
          <w:lang w:eastAsia="cs-CZ"/>
        </w:rPr>
        <w:t>/ výběrových</w:t>
      </w:r>
      <w:r w:rsidRPr="00703E4D">
        <w:rPr>
          <w:rFonts w:asciiTheme="majorHAnsi" w:eastAsia="Times New Roman" w:hAnsiTheme="majorHAnsi" w:cstheme="majorHAnsi"/>
          <w:sz w:val="21"/>
          <w:szCs w:val="21"/>
          <w:lang w:eastAsia="cs-CZ"/>
        </w:rPr>
        <w:t xml:space="preserve"> řízení uzavřením smluv s dodavateli</w:t>
      </w:r>
    </w:p>
    <w:p w14:paraId="7D5DC843" w14:textId="77777777" w:rsidR="00C005FE" w:rsidRPr="00C005FE" w:rsidRDefault="00443A24" w:rsidP="00C005FE">
      <w:pPr>
        <w:numPr>
          <w:ilvl w:val="0"/>
          <w:numId w:val="5"/>
        </w:numPr>
        <w:tabs>
          <w:tab w:val="clear" w:pos="720"/>
        </w:tabs>
        <w:ind w:left="993" w:hanging="284"/>
        <w:rPr>
          <w:rFonts w:asciiTheme="majorHAnsi" w:hAnsiTheme="majorHAnsi" w:cstheme="majorHAnsi"/>
          <w:sz w:val="21"/>
          <w:szCs w:val="21"/>
        </w:rPr>
      </w:pPr>
      <w:r>
        <w:rPr>
          <w:rFonts w:asciiTheme="majorHAnsi" w:eastAsia="Times New Roman" w:hAnsiTheme="majorHAnsi" w:cstheme="majorHAnsi"/>
          <w:b/>
          <w:bCs/>
          <w:sz w:val="21"/>
          <w:szCs w:val="21"/>
          <w:lang w:eastAsia="cs-CZ"/>
        </w:rPr>
        <w:t>4</w:t>
      </w:r>
      <w:r w:rsidR="00703E4D" w:rsidRPr="00703E4D">
        <w:rPr>
          <w:rFonts w:asciiTheme="majorHAnsi" w:eastAsia="Times New Roman" w:hAnsiTheme="majorHAnsi" w:cstheme="majorHAnsi"/>
          <w:b/>
          <w:bCs/>
          <w:sz w:val="21"/>
          <w:szCs w:val="21"/>
          <w:lang w:eastAsia="cs-CZ"/>
        </w:rPr>
        <w:t xml:space="preserve"> % z celkových uznatelných výdajů projektu</w:t>
      </w:r>
      <w:r w:rsidR="00703E4D" w:rsidRPr="00703E4D">
        <w:rPr>
          <w:rFonts w:asciiTheme="majorHAnsi" w:eastAsia="Times New Roman" w:hAnsiTheme="majorHAnsi" w:cstheme="majorHAnsi"/>
          <w:sz w:val="21"/>
          <w:szCs w:val="21"/>
          <w:lang w:eastAsia="cs-CZ"/>
        </w:rPr>
        <w:t xml:space="preserve"> po schválení závěrečné zprávy o realizaci a žádosti </w:t>
      </w:r>
      <w:r w:rsidR="00703E4D" w:rsidRPr="00C005FE">
        <w:rPr>
          <w:rFonts w:asciiTheme="majorHAnsi" w:eastAsia="Times New Roman" w:hAnsiTheme="majorHAnsi" w:cstheme="majorHAnsi"/>
          <w:sz w:val="21"/>
          <w:szCs w:val="21"/>
          <w:lang w:eastAsia="cs-CZ"/>
        </w:rPr>
        <w:t>o platbu poskytovatelem dotace</w:t>
      </w:r>
      <w:r w:rsidR="00C005FE" w:rsidRPr="00C005FE">
        <w:rPr>
          <w:rFonts w:asciiTheme="majorHAnsi" w:eastAsia="Times New Roman" w:hAnsiTheme="majorHAnsi" w:cstheme="majorHAnsi"/>
          <w:sz w:val="21"/>
          <w:szCs w:val="21"/>
          <w:lang w:eastAsia="cs-CZ"/>
        </w:rPr>
        <w:t xml:space="preserve">, </w:t>
      </w:r>
      <w:r w:rsidR="00C005FE" w:rsidRPr="00C005FE">
        <w:rPr>
          <w:rFonts w:asciiTheme="majorHAnsi" w:hAnsiTheme="majorHAnsi" w:cstheme="majorHAnsi"/>
          <w:sz w:val="21"/>
          <w:szCs w:val="21"/>
        </w:rPr>
        <w:t>přičemž od této částky budou odečteny veškeré již příkazníkovi uhrazené odměny vztahující se k tomuto projektu, zejména:</w:t>
      </w:r>
    </w:p>
    <w:p w14:paraId="11D8BA0A" w14:textId="77777777" w:rsidR="00C005FE" w:rsidRPr="00C005FE" w:rsidRDefault="00C005FE" w:rsidP="00C005FE">
      <w:pPr>
        <w:numPr>
          <w:ilvl w:val="1"/>
          <w:numId w:val="5"/>
        </w:numPr>
        <w:spacing w:before="100" w:beforeAutospacing="1" w:after="100" w:afterAutospacing="1"/>
        <w:rPr>
          <w:rFonts w:asciiTheme="majorHAnsi" w:eastAsia="Times New Roman" w:hAnsiTheme="majorHAnsi" w:cstheme="majorHAnsi"/>
          <w:sz w:val="21"/>
          <w:szCs w:val="21"/>
          <w:lang w:eastAsia="cs-CZ"/>
        </w:rPr>
      </w:pPr>
      <w:r w:rsidRPr="00C005FE">
        <w:rPr>
          <w:rFonts w:asciiTheme="majorHAnsi" w:eastAsia="Times New Roman" w:hAnsiTheme="majorHAnsi" w:cstheme="majorHAnsi"/>
          <w:sz w:val="21"/>
          <w:szCs w:val="21"/>
          <w:lang w:eastAsia="cs-CZ"/>
        </w:rPr>
        <w:t>odměna za podání žádosti o podporu ve výši 25 000 Kč,</w:t>
      </w:r>
    </w:p>
    <w:p w14:paraId="4265C34F" w14:textId="77777777" w:rsidR="00C005FE" w:rsidRPr="00C005FE" w:rsidRDefault="00C005FE" w:rsidP="00C005FE">
      <w:pPr>
        <w:numPr>
          <w:ilvl w:val="1"/>
          <w:numId w:val="5"/>
        </w:numPr>
        <w:spacing w:before="100" w:beforeAutospacing="1" w:after="100" w:afterAutospacing="1"/>
        <w:rPr>
          <w:rFonts w:asciiTheme="majorHAnsi" w:eastAsia="Times New Roman" w:hAnsiTheme="majorHAnsi" w:cstheme="majorHAnsi"/>
          <w:sz w:val="21"/>
          <w:szCs w:val="21"/>
          <w:lang w:eastAsia="cs-CZ"/>
        </w:rPr>
      </w:pPr>
      <w:r w:rsidRPr="00C005FE">
        <w:rPr>
          <w:rFonts w:asciiTheme="majorHAnsi" w:eastAsia="Times New Roman" w:hAnsiTheme="majorHAnsi" w:cstheme="majorHAnsi"/>
          <w:sz w:val="21"/>
          <w:szCs w:val="21"/>
          <w:lang w:eastAsia="cs-CZ"/>
        </w:rPr>
        <w:t>odměna za schválení projektu ve výši 50 000 Kč,</w:t>
      </w:r>
    </w:p>
    <w:p w14:paraId="550297F2" w14:textId="77777777" w:rsidR="00C005FE" w:rsidRPr="00C005FE" w:rsidRDefault="00C005FE" w:rsidP="00C005FE">
      <w:pPr>
        <w:numPr>
          <w:ilvl w:val="1"/>
          <w:numId w:val="5"/>
        </w:numPr>
        <w:spacing w:before="100" w:beforeAutospacing="1" w:after="100" w:afterAutospacing="1"/>
        <w:rPr>
          <w:rFonts w:asciiTheme="majorHAnsi" w:eastAsia="Times New Roman" w:hAnsiTheme="majorHAnsi" w:cstheme="majorHAnsi"/>
          <w:sz w:val="21"/>
          <w:szCs w:val="21"/>
          <w:lang w:eastAsia="cs-CZ"/>
        </w:rPr>
      </w:pPr>
      <w:r w:rsidRPr="00C005FE">
        <w:rPr>
          <w:rFonts w:asciiTheme="majorHAnsi" w:eastAsia="Times New Roman" w:hAnsiTheme="majorHAnsi" w:cstheme="majorHAnsi"/>
          <w:sz w:val="21"/>
          <w:szCs w:val="21"/>
          <w:lang w:eastAsia="cs-CZ"/>
        </w:rPr>
        <w:t>odměna za administraci zadávacích / výběrových řízení ve výši 50 000 Kč.</w:t>
      </w:r>
    </w:p>
    <w:p w14:paraId="5F8C0E7B" w14:textId="77777777" w:rsidR="00703E4D" w:rsidRPr="00703E4D" w:rsidRDefault="00C005FE" w:rsidP="00C005FE">
      <w:pPr>
        <w:spacing w:before="100" w:beforeAutospacing="1" w:after="100" w:afterAutospacing="1"/>
        <w:ind w:left="709"/>
        <w:rPr>
          <w:rFonts w:asciiTheme="majorHAnsi" w:eastAsia="Times New Roman" w:hAnsiTheme="majorHAnsi" w:cstheme="majorHAnsi"/>
          <w:sz w:val="21"/>
          <w:szCs w:val="21"/>
          <w:lang w:eastAsia="cs-CZ"/>
        </w:rPr>
      </w:pPr>
      <w:r w:rsidRPr="00C005FE">
        <w:rPr>
          <w:rFonts w:asciiTheme="majorHAnsi" w:eastAsia="Times New Roman" w:hAnsiTheme="majorHAnsi" w:cstheme="majorHAnsi"/>
          <w:sz w:val="21"/>
          <w:szCs w:val="21"/>
          <w:lang w:eastAsia="cs-CZ"/>
        </w:rPr>
        <w:t>Uvedené částky jsou konečné a již zahrnují daň z přidané hodnoty v aktuálně platné sazbě.</w:t>
      </w:r>
    </w:p>
    <w:p w14:paraId="1B147048" w14:textId="77777777" w:rsidR="00703E4D" w:rsidRPr="00703E4D" w:rsidRDefault="00703E4D" w:rsidP="00703E4D">
      <w:pPr>
        <w:numPr>
          <w:ilvl w:val="0"/>
          <w:numId w:val="6"/>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Odměna dle bodu 1 zahrnuje i administraci projektu v době udržitelnosti.</w:t>
      </w:r>
    </w:p>
    <w:p w14:paraId="7A244DB3" w14:textId="77777777" w:rsidR="00703E4D" w:rsidRPr="00703E4D" w:rsidRDefault="00703E4D" w:rsidP="00703E4D">
      <w:pPr>
        <w:numPr>
          <w:ilvl w:val="0"/>
          <w:numId w:val="6"/>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Splatnost faktur je 14 dní.</w:t>
      </w:r>
    </w:p>
    <w:p w14:paraId="5DC5BA2C"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VI. P</w:t>
      </w:r>
      <w:r w:rsidR="002046A4">
        <w:rPr>
          <w:rFonts w:asciiTheme="majorHAnsi" w:eastAsia="Times New Roman" w:hAnsiTheme="majorHAnsi" w:cstheme="majorHAnsi"/>
          <w:b/>
          <w:bCs/>
          <w:sz w:val="21"/>
          <w:szCs w:val="21"/>
          <w:lang w:eastAsia="cs-CZ"/>
        </w:rPr>
        <w:t>ráva a p</w:t>
      </w:r>
      <w:r w:rsidRPr="00703E4D">
        <w:rPr>
          <w:rFonts w:asciiTheme="majorHAnsi" w:eastAsia="Times New Roman" w:hAnsiTheme="majorHAnsi" w:cstheme="majorHAnsi"/>
          <w:b/>
          <w:bCs/>
          <w:sz w:val="21"/>
          <w:szCs w:val="21"/>
          <w:lang w:eastAsia="cs-CZ"/>
        </w:rPr>
        <w:t>ovinnosti smluvních stran</w:t>
      </w:r>
    </w:p>
    <w:p w14:paraId="0584046D" w14:textId="77777777" w:rsidR="002046A4" w:rsidRPr="00251EEE" w:rsidRDefault="002046A4" w:rsidP="0052742A">
      <w:pPr>
        <w:numPr>
          <w:ilvl w:val="0"/>
          <w:numId w:val="8"/>
        </w:numPr>
        <w:tabs>
          <w:tab w:val="clear" w:pos="720"/>
          <w:tab w:val="num" w:pos="360"/>
        </w:tabs>
        <w:spacing w:before="100" w:beforeAutospacing="1" w:after="100" w:afterAutospacing="1"/>
        <w:ind w:left="357" w:hanging="357"/>
        <w:jc w:val="both"/>
        <w:rPr>
          <w:rFonts w:ascii="Calibri Light" w:hAnsi="Calibri Light" w:cs="Calibri Light"/>
          <w:color w:val="000000"/>
          <w:sz w:val="21"/>
          <w:szCs w:val="21"/>
        </w:rPr>
      </w:pPr>
      <w:r w:rsidRPr="00251EEE">
        <w:rPr>
          <w:rFonts w:ascii="Calibri Light" w:hAnsi="Calibri Light" w:cs="Calibri Light"/>
          <w:color w:val="000000"/>
          <w:sz w:val="21"/>
          <w:szCs w:val="21"/>
        </w:rPr>
        <w:t xml:space="preserve">Příkazce je povinen na výzvu příkazníka poskytnout údaje a dokumenty vhodné jako podklady pro </w:t>
      </w:r>
      <w:r>
        <w:rPr>
          <w:rFonts w:ascii="Calibri Light" w:hAnsi="Calibri Light" w:cs="Calibri Light"/>
          <w:color w:val="000000"/>
          <w:sz w:val="21"/>
          <w:szCs w:val="21"/>
        </w:rPr>
        <w:t>plnění předmětu smlouvy</w:t>
      </w:r>
      <w:r w:rsidRPr="00251EEE">
        <w:rPr>
          <w:rFonts w:ascii="Calibri Light" w:hAnsi="Calibri Light" w:cs="Calibri Light"/>
          <w:color w:val="000000"/>
          <w:sz w:val="21"/>
          <w:szCs w:val="21"/>
        </w:rPr>
        <w:t xml:space="preserve">. </w:t>
      </w:r>
    </w:p>
    <w:p w14:paraId="34AA864A" w14:textId="77777777" w:rsidR="002046A4" w:rsidRPr="00251EEE" w:rsidRDefault="002046A4" w:rsidP="0052742A">
      <w:pPr>
        <w:numPr>
          <w:ilvl w:val="0"/>
          <w:numId w:val="8"/>
        </w:numPr>
        <w:tabs>
          <w:tab w:val="clear" w:pos="720"/>
          <w:tab w:val="num" w:pos="360"/>
        </w:tabs>
        <w:spacing w:before="100" w:beforeAutospacing="1" w:after="100" w:afterAutospacing="1"/>
        <w:ind w:left="357" w:hanging="357"/>
        <w:jc w:val="both"/>
        <w:rPr>
          <w:rFonts w:ascii="Calibri Light" w:hAnsi="Calibri Light" w:cs="Calibri Light"/>
          <w:color w:val="000000"/>
          <w:sz w:val="21"/>
          <w:szCs w:val="21"/>
        </w:rPr>
      </w:pPr>
      <w:r w:rsidRPr="00251EEE">
        <w:rPr>
          <w:rFonts w:ascii="Calibri Light" w:hAnsi="Calibri Light" w:cs="Calibri Light"/>
          <w:color w:val="000000"/>
          <w:sz w:val="21"/>
          <w:szCs w:val="21"/>
        </w:rPr>
        <w:t xml:space="preserve">Příkazce je oprávněn se průběžně informovat o stavu </w:t>
      </w:r>
      <w:r>
        <w:rPr>
          <w:rFonts w:ascii="Calibri Light" w:hAnsi="Calibri Light" w:cs="Calibri Light"/>
          <w:color w:val="000000"/>
          <w:sz w:val="21"/>
          <w:szCs w:val="21"/>
        </w:rPr>
        <w:t>plnění předmětu smlouvy</w:t>
      </w:r>
      <w:r w:rsidRPr="00251EEE">
        <w:rPr>
          <w:rFonts w:ascii="Calibri Light" w:hAnsi="Calibri Light" w:cs="Calibri Light"/>
          <w:color w:val="000000"/>
          <w:sz w:val="21"/>
          <w:szCs w:val="21"/>
        </w:rPr>
        <w:t xml:space="preserve"> a podávat návrhy na změny, pokud nejsou v rozporu s touto smlouvou nebo jejími přílohami. </w:t>
      </w:r>
    </w:p>
    <w:p w14:paraId="0CEEA3AC" w14:textId="77777777" w:rsidR="002046A4" w:rsidRPr="00251EEE" w:rsidRDefault="002046A4" w:rsidP="0052742A">
      <w:pPr>
        <w:numPr>
          <w:ilvl w:val="0"/>
          <w:numId w:val="8"/>
        </w:numPr>
        <w:tabs>
          <w:tab w:val="clear" w:pos="720"/>
          <w:tab w:val="num" w:pos="360"/>
        </w:tabs>
        <w:spacing w:before="100" w:beforeAutospacing="1" w:after="100" w:afterAutospacing="1"/>
        <w:ind w:left="357" w:hanging="357"/>
        <w:jc w:val="both"/>
        <w:rPr>
          <w:rFonts w:ascii="Calibri Light" w:hAnsi="Calibri Light" w:cs="Calibri Light"/>
          <w:color w:val="000000"/>
          <w:sz w:val="21"/>
          <w:szCs w:val="21"/>
        </w:rPr>
      </w:pPr>
      <w:r w:rsidRPr="00251EEE">
        <w:rPr>
          <w:rFonts w:ascii="Calibri Light" w:hAnsi="Calibri Light" w:cs="Calibri Light"/>
          <w:color w:val="000000"/>
          <w:sz w:val="21"/>
          <w:szCs w:val="21"/>
        </w:rPr>
        <w:t xml:space="preserve">Příkazník je povinen </w:t>
      </w:r>
      <w:r>
        <w:rPr>
          <w:rFonts w:ascii="Calibri Light" w:hAnsi="Calibri Light" w:cs="Calibri Light"/>
          <w:color w:val="000000"/>
          <w:sz w:val="21"/>
          <w:szCs w:val="21"/>
        </w:rPr>
        <w:t>zajistit plnění předmětu smlouvy</w:t>
      </w:r>
      <w:r w:rsidRPr="00251EEE">
        <w:rPr>
          <w:rFonts w:ascii="Calibri Light" w:hAnsi="Calibri Light" w:cs="Calibri Light"/>
          <w:color w:val="000000"/>
          <w:sz w:val="21"/>
          <w:szCs w:val="21"/>
        </w:rPr>
        <w:t xml:space="preserve"> v náležité odborné kvalitě.  </w:t>
      </w:r>
    </w:p>
    <w:p w14:paraId="3A09A858" w14:textId="77777777" w:rsidR="002046A4" w:rsidRPr="00251EEE" w:rsidRDefault="002046A4" w:rsidP="0052742A">
      <w:pPr>
        <w:numPr>
          <w:ilvl w:val="0"/>
          <w:numId w:val="8"/>
        </w:numPr>
        <w:tabs>
          <w:tab w:val="clear" w:pos="720"/>
          <w:tab w:val="num" w:pos="360"/>
        </w:tabs>
        <w:spacing w:before="100" w:beforeAutospacing="1" w:after="100" w:afterAutospacing="1"/>
        <w:ind w:left="357" w:hanging="357"/>
        <w:jc w:val="both"/>
        <w:rPr>
          <w:rFonts w:ascii="Calibri Light" w:hAnsi="Calibri Light" w:cs="Calibri Light"/>
          <w:sz w:val="21"/>
          <w:szCs w:val="21"/>
        </w:rPr>
      </w:pPr>
      <w:r w:rsidRPr="00251EEE">
        <w:rPr>
          <w:rFonts w:ascii="Calibri Light" w:hAnsi="Calibri Light" w:cs="Calibri Light"/>
          <w:sz w:val="21"/>
          <w:szCs w:val="21"/>
        </w:rPr>
        <w:t xml:space="preserve">Příkazce podpisem žádosti o dotaci potvrzuje, že se seznámil s jejím obsahem, včetně rozpočtu a všemi přílohami a že s ním souhlasí. </w:t>
      </w:r>
    </w:p>
    <w:p w14:paraId="1F8C0DEA" w14:textId="77777777" w:rsidR="002046A4" w:rsidRDefault="002046A4" w:rsidP="0052742A">
      <w:pPr>
        <w:numPr>
          <w:ilvl w:val="0"/>
          <w:numId w:val="8"/>
        </w:numPr>
        <w:tabs>
          <w:tab w:val="clear" w:pos="720"/>
          <w:tab w:val="num" w:pos="360"/>
        </w:tabs>
        <w:spacing w:before="100" w:beforeAutospacing="1" w:after="100" w:afterAutospacing="1"/>
        <w:ind w:left="357" w:hanging="357"/>
        <w:jc w:val="both"/>
        <w:rPr>
          <w:rFonts w:ascii="Calibri Light" w:hAnsi="Calibri Light" w:cs="Calibri Light"/>
          <w:sz w:val="21"/>
          <w:szCs w:val="21"/>
        </w:rPr>
      </w:pPr>
      <w:r w:rsidRPr="00251EEE">
        <w:rPr>
          <w:rFonts w:ascii="Calibri Light" w:hAnsi="Calibri Light" w:cs="Calibri Light"/>
          <w:sz w:val="21"/>
          <w:szCs w:val="21"/>
        </w:rPr>
        <w:t xml:space="preserve">Příkazník je povinen zachovávat mlčenlivost o všech </w:t>
      </w:r>
      <w:r>
        <w:rPr>
          <w:rFonts w:ascii="Calibri Light" w:hAnsi="Calibri Light" w:cs="Calibri Light"/>
          <w:sz w:val="21"/>
          <w:szCs w:val="21"/>
        </w:rPr>
        <w:t>skutečnostech</w:t>
      </w:r>
      <w:r w:rsidRPr="00251EEE">
        <w:rPr>
          <w:rFonts w:ascii="Calibri Light" w:hAnsi="Calibri Light" w:cs="Calibri Light"/>
          <w:sz w:val="21"/>
          <w:szCs w:val="21"/>
        </w:rPr>
        <w:t xml:space="preserve">, o nichž se dozvěděl v souvislosti s plněním dle této smlouvy. Z povinnosti mlčenlivosti příkazníka jsou vyjmuty informace poskytované osobám oprávněným ke kontrole plnění podmínek uvedených v Právním aktu, na </w:t>
      </w:r>
      <w:proofErr w:type="gramStart"/>
      <w:r w:rsidRPr="00251EEE">
        <w:rPr>
          <w:rFonts w:ascii="Calibri Light" w:hAnsi="Calibri Light" w:cs="Calibri Light"/>
          <w:sz w:val="21"/>
          <w:szCs w:val="21"/>
        </w:rPr>
        <w:t>základě</w:t>
      </w:r>
      <w:proofErr w:type="gramEnd"/>
      <w:r w:rsidRPr="00251EEE">
        <w:rPr>
          <w:rFonts w:ascii="Calibri Light" w:hAnsi="Calibri Light" w:cs="Calibri Light"/>
          <w:sz w:val="21"/>
          <w:szCs w:val="21"/>
        </w:rPr>
        <w:t xml:space="preserve"> kterého bude příkazci poskytnuta dotace.</w:t>
      </w:r>
    </w:p>
    <w:p w14:paraId="5AFE8A98" w14:textId="77777777" w:rsidR="002046A4" w:rsidRPr="00B75CB4" w:rsidRDefault="002046A4" w:rsidP="002046A4">
      <w:pPr>
        <w:spacing w:before="100" w:beforeAutospacing="1" w:after="100" w:afterAutospacing="1"/>
        <w:rPr>
          <w:rFonts w:ascii="Calibri Light" w:hAnsi="Calibri Light" w:cs="Calibri Light"/>
          <w:b/>
          <w:bCs/>
          <w:color w:val="000000"/>
          <w:sz w:val="21"/>
          <w:szCs w:val="21"/>
        </w:rPr>
      </w:pPr>
      <w:r>
        <w:rPr>
          <w:rFonts w:ascii="Calibri Light" w:hAnsi="Calibri Light" w:cs="Calibri Light"/>
          <w:b/>
          <w:bCs/>
          <w:color w:val="000000"/>
          <w:sz w:val="21"/>
          <w:szCs w:val="21"/>
        </w:rPr>
        <w:t xml:space="preserve">VII. </w:t>
      </w:r>
      <w:r w:rsidRPr="00B75CB4">
        <w:rPr>
          <w:rFonts w:ascii="Calibri Light" w:hAnsi="Calibri Light" w:cs="Calibri Light"/>
          <w:b/>
          <w:bCs/>
          <w:color w:val="000000"/>
          <w:sz w:val="21"/>
          <w:szCs w:val="21"/>
        </w:rPr>
        <w:t>Umožnění kontroly třetích osob</w:t>
      </w:r>
    </w:p>
    <w:p w14:paraId="7217D915" w14:textId="77777777" w:rsidR="002046A4" w:rsidRPr="00251EEE" w:rsidRDefault="002046A4" w:rsidP="0052742A">
      <w:pPr>
        <w:numPr>
          <w:ilvl w:val="0"/>
          <w:numId w:val="11"/>
        </w:numPr>
        <w:tabs>
          <w:tab w:val="clear" w:pos="720"/>
          <w:tab w:val="num" w:pos="360"/>
        </w:tabs>
        <w:spacing w:before="100" w:beforeAutospacing="1" w:after="100" w:afterAutospacing="1"/>
        <w:ind w:left="357" w:hanging="357"/>
        <w:jc w:val="both"/>
        <w:rPr>
          <w:rFonts w:ascii="Calibri Light" w:hAnsi="Calibri Light" w:cs="Calibri Light"/>
          <w:color w:val="000000"/>
          <w:sz w:val="21"/>
          <w:szCs w:val="21"/>
        </w:rPr>
      </w:pPr>
      <w:r>
        <w:rPr>
          <w:rFonts w:ascii="Calibri Light" w:hAnsi="Calibri Light" w:cs="Calibri Light"/>
          <w:color w:val="000000"/>
          <w:sz w:val="21"/>
          <w:szCs w:val="21"/>
        </w:rPr>
        <w:t>Plnění dle této smlouvy</w:t>
      </w:r>
      <w:r w:rsidRPr="00251EEE">
        <w:rPr>
          <w:rFonts w:ascii="Calibri Light" w:hAnsi="Calibri Light" w:cs="Calibri Light"/>
          <w:color w:val="000000"/>
          <w:sz w:val="21"/>
          <w:szCs w:val="21"/>
        </w:rPr>
        <w:t xml:space="preserve"> </w:t>
      </w:r>
      <w:r>
        <w:rPr>
          <w:rFonts w:ascii="Calibri Light" w:hAnsi="Calibri Light" w:cs="Calibri Light"/>
          <w:color w:val="000000"/>
          <w:sz w:val="21"/>
          <w:szCs w:val="21"/>
        </w:rPr>
        <w:t>je</w:t>
      </w:r>
      <w:r w:rsidRPr="00251EEE">
        <w:rPr>
          <w:rFonts w:ascii="Calibri Light" w:hAnsi="Calibri Light" w:cs="Calibri Light"/>
          <w:color w:val="000000"/>
          <w:sz w:val="21"/>
          <w:szCs w:val="21"/>
        </w:rPr>
        <w:t xml:space="preserve"> součástí projektu spolufinancovaného ze Strukturálních fondů EU.</w:t>
      </w:r>
    </w:p>
    <w:p w14:paraId="17F0021A" w14:textId="77777777" w:rsidR="002046A4" w:rsidRPr="00773FF1" w:rsidRDefault="002046A4" w:rsidP="0052742A">
      <w:pPr>
        <w:numPr>
          <w:ilvl w:val="0"/>
          <w:numId w:val="11"/>
        </w:numPr>
        <w:tabs>
          <w:tab w:val="clear" w:pos="720"/>
          <w:tab w:val="num" w:pos="360"/>
        </w:tabs>
        <w:spacing w:before="100" w:beforeAutospacing="1" w:after="100" w:afterAutospacing="1"/>
        <w:ind w:left="360"/>
        <w:jc w:val="both"/>
        <w:rPr>
          <w:rFonts w:ascii="Calibri Light" w:hAnsi="Calibri Light" w:cs="Calibri Light"/>
          <w:color w:val="000000"/>
          <w:sz w:val="21"/>
          <w:szCs w:val="21"/>
        </w:rPr>
      </w:pPr>
      <w:r w:rsidRPr="00251EEE">
        <w:rPr>
          <w:rFonts w:ascii="Calibri Light" w:hAnsi="Calibri Light" w:cs="Calibri Light"/>
          <w:sz w:val="21"/>
          <w:szCs w:val="21"/>
        </w:rPr>
        <w:t xml:space="preserve">Příkazník se zavazuje poskytnout příkazci veškeré doklady související s realizací projektu, které si vyžádají příslušné kontrolní orgány, zejména </w:t>
      </w:r>
      <w:r>
        <w:rPr>
          <w:rFonts w:ascii="Calibri Light" w:hAnsi="Calibri Light" w:cs="Calibri Light"/>
          <w:sz w:val="21"/>
          <w:szCs w:val="21"/>
        </w:rPr>
        <w:t>p</w:t>
      </w:r>
      <w:r w:rsidRPr="00251EEE">
        <w:rPr>
          <w:rFonts w:ascii="Calibri Light" w:hAnsi="Calibri Light" w:cs="Calibri Light"/>
          <w:sz w:val="21"/>
          <w:szCs w:val="21"/>
        </w:rPr>
        <w:t xml:space="preserve">oskytovatel dotace a jím pověřené subjekty. Závazek příkazníka dle tohoto ustanovení trvá po dobu, po kterou jsou příslušné kontrolní orgány oprávněny k ověřování plnění podmínek Právního aktu, na </w:t>
      </w:r>
      <w:proofErr w:type="gramStart"/>
      <w:r w:rsidRPr="00251EEE">
        <w:rPr>
          <w:rFonts w:ascii="Calibri Light" w:hAnsi="Calibri Light" w:cs="Calibri Light"/>
          <w:sz w:val="21"/>
          <w:szCs w:val="21"/>
        </w:rPr>
        <w:t>základě</w:t>
      </w:r>
      <w:proofErr w:type="gramEnd"/>
      <w:r w:rsidRPr="00251EEE">
        <w:rPr>
          <w:rFonts w:ascii="Calibri Light" w:hAnsi="Calibri Light" w:cs="Calibri Light"/>
          <w:sz w:val="21"/>
          <w:szCs w:val="21"/>
        </w:rPr>
        <w:t xml:space="preserve"> kterého byla poskytnuta dotace</w:t>
      </w:r>
      <w:r>
        <w:rPr>
          <w:rFonts w:ascii="Calibri Light" w:hAnsi="Calibri Light" w:cs="Calibri Light"/>
          <w:sz w:val="21"/>
          <w:szCs w:val="21"/>
        </w:rPr>
        <w:t>.</w:t>
      </w:r>
    </w:p>
    <w:p w14:paraId="6D8D6281" w14:textId="77777777" w:rsidR="00703E4D" w:rsidRPr="00703E4D" w:rsidRDefault="00703E4D" w:rsidP="002046A4">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VII</w:t>
      </w:r>
      <w:r w:rsidR="002046A4">
        <w:rPr>
          <w:rFonts w:asciiTheme="majorHAnsi" w:eastAsia="Times New Roman" w:hAnsiTheme="majorHAnsi" w:cstheme="majorHAnsi"/>
          <w:b/>
          <w:bCs/>
          <w:sz w:val="21"/>
          <w:szCs w:val="21"/>
          <w:lang w:eastAsia="cs-CZ"/>
        </w:rPr>
        <w:t>I</w:t>
      </w:r>
      <w:r w:rsidRPr="00703E4D">
        <w:rPr>
          <w:rFonts w:asciiTheme="majorHAnsi" w:eastAsia="Times New Roman" w:hAnsiTheme="majorHAnsi" w:cstheme="majorHAnsi"/>
          <w:b/>
          <w:bCs/>
          <w:sz w:val="21"/>
          <w:szCs w:val="21"/>
          <w:lang w:eastAsia="cs-CZ"/>
        </w:rPr>
        <w:t>. Odpovědnost</w:t>
      </w:r>
      <w:r w:rsidR="002046A4">
        <w:rPr>
          <w:rFonts w:asciiTheme="majorHAnsi" w:eastAsia="Times New Roman" w:hAnsiTheme="majorHAnsi" w:cstheme="majorHAnsi"/>
          <w:b/>
          <w:bCs/>
          <w:sz w:val="21"/>
          <w:szCs w:val="21"/>
          <w:lang w:eastAsia="cs-CZ"/>
        </w:rPr>
        <w:t xml:space="preserve"> </w:t>
      </w:r>
      <w:r w:rsidR="002046A4" w:rsidRPr="00B75CB4">
        <w:rPr>
          <w:rFonts w:ascii="Calibri Light" w:hAnsi="Calibri Light" w:cs="Calibri Light"/>
          <w:b/>
          <w:bCs/>
          <w:color w:val="000000"/>
          <w:sz w:val="21"/>
          <w:szCs w:val="21"/>
        </w:rPr>
        <w:t>za vady, smluvní pokuta</w:t>
      </w:r>
    </w:p>
    <w:p w14:paraId="6408DE81" w14:textId="77777777" w:rsidR="002046A4" w:rsidRPr="00251EEE" w:rsidRDefault="002046A4" w:rsidP="0052742A">
      <w:pPr>
        <w:pStyle w:val="-wm-msonormal"/>
        <w:numPr>
          <w:ilvl w:val="0"/>
          <w:numId w:val="9"/>
        </w:numPr>
        <w:ind w:left="425" w:hanging="425"/>
        <w:jc w:val="both"/>
        <w:rPr>
          <w:rFonts w:ascii="Calibri Light" w:hAnsi="Calibri Light" w:cs="Calibri Light"/>
          <w:sz w:val="21"/>
          <w:szCs w:val="21"/>
        </w:rPr>
      </w:pPr>
      <w:r w:rsidRPr="00251EEE">
        <w:rPr>
          <w:rFonts w:ascii="Calibri Light" w:hAnsi="Calibri Light" w:cs="Calibri Light"/>
          <w:sz w:val="21"/>
          <w:szCs w:val="21"/>
        </w:rPr>
        <w:t xml:space="preserve">Zjistí-li příkazce případné vady při </w:t>
      </w:r>
      <w:r>
        <w:rPr>
          <w:rFonts w:ascii="Calibri Light" w:hAnsi="Calibri Light" w:cs="Calibri Light"/>
          <w:sz w:val="21"/>
          <w:szCs w:val="21"/>
        </w:rPr>
        <w:t>plnění smlouvy</w:t>
      </w:r>
      <w:r w:rsidRPr="00251EEE">
        <w:rPr>
          <w:rFonts w:ascii="Calibri Light" w:hAnsi="Calibri Light" w:cs="Calibri Light"/>
          <w:sz w:val="21"/>
          <w:szCs w:val="21"/>
        </w:rPr>
        <w:t xml:space="preserve">, je povinen je neprodleně nahlásit příkazníkovi. Příkazce je oprávněn požadovat jejich bezplatné odstranění, je-li to možné. </w:t>
      </w:r>
    </w:p>
    <w:p w14:paraId="434CED94" w14:textId="77777777" w:rsidR="002046A4" w:rsidRPr="00251EEE" w:rsidRDefault="002046A4" w:rsidP="0052742A">
      <w:pPr>
        <w:pStyle w:val="-wm-msonormal"/>
        <w:numPr>
          <w:ilvl w:val="0"/>
          <w:numId w:val="9"/>
        </w:numPr>
        <w:ind w:left="425" w:hanging="425"/>
        <w:jc w:val="both"/>
        <w:rPr>
          <w:rFonts w:ascii="Calibri Light" w:hAnsi="Calibri Light" w:cs="Calibri Light"/>
          <w:sz w:val="21"/>
          <w:szCs w:val="21"/>
        </w:rPr>
      </w:pPr>
      <w:r w:rsidRPr="00251EEE">
        <w:rPr>
          <w:rFonts w:ascii="Calibri Light" w:hAnsi="Calibri Light" w:cs="Calibri Light"/>
          <w:sz w:val="21"/>
          <w:szCs w:val="21"/>
        </w:rPr>
        <w:t xml:space="preserve">V případě, že příkazník poruší povinnosti sjednané v této smlouvě, a tato skutečnost bude důvodem, pro který nebude příkazci vyplacena dotace, anebo bude dotace z tohoto důvodu zkrácena, zavazuje se příkazník uhradit příkazci smluvní pokutu ve výši dotace nebo její části, která nebyla příkazci vyplacena. Smluvní pokuta je splatná do 5 dnů ode dne doručení písemné výzvy příkazníkovi. </w:t>
      </w:r>
    </w:p>
    <w:p w14:paraId="79432420" w14:textId="77777777" w:rsidR="002046A4" w:rsidRDefault="002046A4" w:rsidP="0052742A">
      <w:pPr>
        <w:pStyle w:val="-wm-msonormal"/>
        <w:numPr>
          <w:ilvl w:val="0"/>
          <w:numId w:val="9"/>
        </w:numPr>
        <w:ind w:left="425" w:hanging="425"/>
        <w:jc w:val="both"/>
        <w:rPr>
          <w:rFonts w:ascii="Calibri Light" w:hAnsi="Calibri Light" w:cs="Calibri Light"/>
          <w:sz w:val="21"/>
          <w:szCs w:val="21"/>
        </w:rPr>
      </w:pPr>
      <w:r w:rsidRPr="00251EEE">
        <w:rPr>
          <w:rFonts w:ascii="Calibri Light" w:hAnsi="Calibri Light" w:cs="Calibri Light"/>
          <w:sz w:val="21"/>
          <w:szCs w:val="21"/>
        </w:rPr>
        <w:t xml:space="preserve">V případě, že příkazník poruší povinnosti při výkonu zadavatelských činností dle této smlouvy a tato skutečnost bude důvodem pro nevyplacení dotace či krácení dotace, zavazuje se příkazník uhradit příkazci smluvní pokutu ve výši ve výši dotace nebo její části, která nebyla příkazci vyplacena. Smluvní pokuta je splatná do 5 dnů ode dne doručení písemné výzvy příkazníkovi. </w:t>
      </w:r>
    </w:p>
    <w:p w14:paraId="1FCDC5E8" w14:textId="77777777" w:rsidR="004228DD" w:rsidRPr="00251EEE" w:rsidRDefault="004228DD" w:rsidP="0052742A">
      <w:pPr>
        <w:pStyle w:val="-wm-msonormal"/>
        <w:numPr>
          <w:ilvl w:val="0"/>
          <w:numId w:val="9"/>
        </w:numPr>
        <w:ind w:left="425" w:hanging="425"/>
        <w:jc w:val="both"/>
        <w:rPr>
          <w:rFonts w:ascii="Calibri Light" w:hAnsi="Calibri Light" w:cs="Calibri Light"/>
          <w:sz w:val="21"/>
          <w:szCs w:val="21"/>
        </w:rPr>
      </w:pPr>
      <w:r w:rsidRPr="004228DD">
        <w:rPr>
          <w:rFonts w:ascii="Calibri Light" w:hAnsi="Calibri Light" w:cs="Calibri Light"/>
          <w:sz w:val="21"/>
          <w:szCs w:val="21"/>
        </w:rPr>
        <w:t>Smluvní pokuta se uplatní pouze v případě, že krácení či nevyplacení dotace bylo výlučně a prokazatelně způsobeno porušením povinností příkazníka, a nikoliv jednáním příkazce, dodavatelů nebo změnou metodiky poskytovatele dotace</w:t>
      </w:r>
      <w:r>
        <w:rPr>
          <w:rFonts w:ascii="Calibri Light" w:hAnsi="Calibri Light" w:cs="Calibri Light"/>
          <w:sz w:val="21"/>
          <w:szCs w:val="21"/>
        </w:rPr>
        <w:t>.</w:t>
      </w:r>
    </w:p>
    <w:p w14:paraId="342E0683" w14:textId="77777777" w:rsidR="002046A4" w:rsidRPr="00251EEE" w:rsidRDefault="002046A4" w:rsidP="0052742A">
      <w:pPr>
        <w:pStyle w:val="-wm-msonormal"/>
        <w:numPr>
          <w:ilvl w:val="0"/>
          <w:numId w:val="9"/>
        </w:numPr>
        <w:ind w:left="425" w:hanging="425"/>
        <w:jc w:val="both"/>
        <w:rPr>
          <w:rFonts w:ascii="Calibri Light" w:hAnsi="Calibri Light" w:cs="Calibri Light"/>
          <w:sz w:val="21"/>
          <w:szCs w:val="21"/>
        </w:rPr>
      </w:pPr>
      <w:r w:rsidRPr="00251EEE">
        <w:rPr>
          <w:rFonts w:ascii="Calibri Light" w:hAnsi="Calibri Light" w:cs="Calibri Light"/>
          <w:sz w:val="21"/>
          <w:szCs w:val="21"/>
        </w:rPr>
        <w:lastRenderedPageBreak/>
        <w:t xml:space="preserve">Uplatněním smluvních pokut dle této smlouvy není dotčeno právo smluvních stran na náhradu vzniklých škod v rozsahu převyšujícím smluvní pokutu. </w:t>
      </w:r>
    </w:p>
    <w:p w14:paraId="64BC9007" w14:textId="77777777" w:rsidR="002046A4" w:rsidRDefault="002046A4" w:rsidP="0052742A">
      <w:pPr>
        <w:pStyle w:val="-wm-msonormal"/>
        <w:numPr>
          <w:ilvl w:val="0"/>
          <w:numId w:val="9"/>
        </w:numPr>
        <w:ind w:left="425" w:hanging="425"/>
        <w:jc w:val="both"/>
        <w:rPr>
          <w:rFonts w:ascii="Calibri Light" w:hAnsi="Calibri Light" w:cs="Calibri Light"/>
          <w:sz w:val="21"/>
          <w:szCs w:val="21"/>
        </w:rPr>
      </w:pPr>
      <w:r w:rsidRPr="00251EEE">
        <w:rPr>
          <w:rFonts w:ascii="Calibri Light" w:hAnsi="Calibri Light" w:cs="Calibri Light"/>
          <w:sz w:val="21"/>
          <w:szCs w:val="21"/>
        </w:rPr>
        <w:t xml:space="preserve">Ujednání o povinnosti uhradit smluvní pokutu příkazníkem se neuplatní v případě, že důvodem pro nevyplacení či krácení dotace bude současně i porušení povinností dle této smlouvy ze strany příkazce. </w:t>
      </w:r>
    </w:p>
    <w:p w14:paraId="30EE3E7A" w14:textId="77777777" w:rsidR="002046A4" w:rsidRPr="00E309ED" w:rsidRDefault="002046A4" w:rsidP="0052742A">
      <w:pPr>
        <w:pStyle w:val="-wm-msonormal"/>
        <w:numPr>
          <w:ilvl w:val="0"/>
          <w:numId w:val="9"/>
        </w:numPr>
        <w:ind w:left="425" w:hanging="425"/>
        <w:jc w:val="both"/>
        <w:rPr>
          <w:rFonts w:ascii="Calibri Light" w:hAnsi="Calibri Light" w:cs="Calibri Light"/>
          <w:sz w:val="21"/>
          <w:szCs w:val="21"/>
        </w:rPr>
      </w:pPr>
      <w:r w:rsidRPr="009657E7">
        <w:rPr>
          <w:rFonts w:asciiTheme="majorHAnsi" w:hAnsiTheme="majorHAnsi"/>
          <w:sz w:val="21"/>
          <w:szCs w:val="21"/>
        </w:rPr>
        <w:t xml:space="preserve">Příkazník je povinen být po celou dobu plnění předmětu </w:t>
      </w:r>
      <w:r>
        <w:rPr>
          <w:rFonts w:asciiTheme="majorHAnsi" w:hAnsiTheme="majorHAnsi"/>
          <w:sz w:val="21"/>
          <w:szCs w:val="21"/>
        </w:rPr>
        <w:t>s</w:t>
      </w:r>
      <w:r w:rsidRPr="009657E7">
        <w:rPr>
          <w:rFonts w:asciiTheme="majorHAnsi" w:hAnsiTheme="majorHAnsi"/>
          <w:sz w:val="21"/>
          <w:szCs w:val="21"/>
        </w:rPr>
        <w:t>mlouvy pojištěn pro případ škody způsobené při výkonu své činnosti třetí osobě</w:t>
      </w:r>
      <w:r>
        <w:rPr>
          <w:rFonts w:asciiTheme="majorHAnsi" w:hAnsiTheme="majorHAnsi"/>
          <w:sz w:val="21"/>
          <w:szCs w:val="21"/>
        </w:rPr>
        <w:t>.</w:t>
      </w:r>
    </w:p>
    <w:p w14:paraId="3EDF914E" w14:textId="77777777" w:rsidR="00703E4D" w:rsidRPr="00703E4D" w:rsidRDefault="002046A4" w:rsidP="00703E4D">
      <w:pPr>
        <w:spacing w:before="100" w:beforeAutospacing="1" w:after="100" w:afterAutospacing="1"/>
        <w:outlineLvl w:val="2"/>
        <w:rPr>
          <w:rFonts w:asciiTheme="majorHAnsi" w:eastAsia="Times New Roman" w:hAnsiTheme="majorHAnsi" w:cstheme="majorHAnsi"/>
          <w:b/>
          <w:bCs/>
          <w:sz w:val="21"/>
          <w:szCs w:val="21"/>
          <w:lang w:eastAsia="cs-CZ"/>
        </w:rPr>
      </w:pPr>
      <w:r>
        <w:rPr>
          <w:rFonts w:asciiTheme="majorHAnsi" w:eastAsia="Times New Roman" w:hAnsiTheme="majorHAnsi" w:cstheme="majorHAnsi"/>
          <w:b/>
          <w:bCs/>
          <w:sz w:val="21"/>
          <w:szCs w:val="21"/>
          <w:lang w:eastAsia="cs-CZ"/>
        </w:rPr>
        <w:t>IX</w:t>
      </w:r>
      <w:r w:rsidR="00703E4D" w:rsidRPr="00703E4D">
        <w:rPr>
          <w:rFonts w:asciiTheme="majorHAnsi" w:eastAsia="Times New Roman" w:hAnsiTheme="majorHAnsi" w:cstheme="majorHAnsi"/>
          <w:b/>
          <w:bCs/>
          <w:sz w:val="21"/>
          <w:szCs w:val="21"/>
          <w:lang w:eastAsia="cs-CZ"/>
        </w:rPr>
        <w:t>. Ukončení smlouvy</w:t>
      </w:r>
    </w:p>
    <w:p w14:paraId="21D64603" w14:textId="77777777" w:rsidR="002046A4" w:rsidRPr="00251EEE" w:rsidRDefault="002046A4" w:rsidP="0052742A">
      <w:pPr>
        <w:numPr>
          <w:ilvl w:val="0"/>
          <w:numId w:val="10"/>
        </w:numPr>
        <w:spacing w:before="100" w:beforeAutospacing="1" w:after="100" w:afterAutospacing="1"/>
        <w:ind w:left="425" w:hanging="425"/>
        <w:jc w:val="both"/>
        <w:rPr>
          <w:rFonts w:ascii="Calibri Light" w:hAnsi="Calibri Light" w:cs="Calibri Light"/>
          <w:color w:val="000000"/>
          <w:sz w:val="21"/>
          <w:szCs w:val="21"/>
        </w:rPr>
      </w:pPr>
      <w:r w:rsidRPr="00251EEE">
        <w:rPr>
          <w:rFonts w:ascii="Calibri Light" w:hAnsi="Calibri Light" w:cs="Calibri Light"/>
          <w:color w:val="000000"/>
          <w:sz w:val="21"/>
          <w:szCs w:val="21"/>
        </w:rPr>
        <w:t>Smluvní strany mohou ukončit tuto smlouvu písemnou dohodou, jejíž součástí bude rovněž finanční vyrovnání dosud provedených činností souvisejících s</w:t>
      </w:r>
      <w:r>
        <w:rPr>
          <w:rFonts w:ascii="Calibri Light" w:hAnsi="Calibri Light" w:cs="Calibri Light"/>
          <w:color w:val="000000"/>
          <w:sz w:val="21"/>
          <w:szCs w:val="21"/>
        </w:rPr>
        <w:t> plněním předmětu smlouvy</w:t>
      </w:r>
      <w:r w:rsidRPr="00251EEE">
        <w:rPr>
          <w:rFonts w:ascii="Calibri Light" w:hAnsi="Calibri Light" w:cs="Calibri Light"/>
          <w:color w:val="000000"/>
          <w:sz w:val="21"/>
          <w:szCs w:val="21"/>
        </w:rPr>
        <w:t xml:space="preserve">.  </w:t>
      </w:r>
    </w:p>
    <w:p w14:paraId="3448B16A" w14:textId="77777777" w:rsidR="002046A4" w:rsidRPr="00251EEE" w:rsidRDefault="002046A4" w:rsidP="0052742A">
      <w:pPr>
        <w:numPr>
          <w:ilvl w:val="0"/>
          <w:numId w:val="10"/>
        </w:numPr>
        <w:spacing w:before="100" w:beforeAutospacing="1" w:after="100" w:afterAutospacing="1"/>
        <w:ind w:left="425" w:hanging="425"/>
        <w:jc w:val="both"/>
        <w:rPr>
          <w:rFonts w:ascii="Calibri Light" w:hAnsi="Calibri Light" w:cs="Calibri Light"/>
          <w:sz w:val="21"/>
          <w:szCs w:val="21"/>
        </w:rPr>
      </w:pPr>
      <w:r w:rsidRPr="00251EEE">
        <w:rPr>
          <w:rFonts w:ascii="Calibri Light" w:hAnsi="Calibri Light" w:cs="Calibri Light"/>
          <w:color w:val="000000"/>
          <w:sz w:val="21"/>
          <w:szCs w:val="21"/>
        </w:rPr>
        <w:t>Každá ze smluvních stran je oprávněna od této smlouvy písemně odstoupit, jestliže druhá strana podstatným způsobe</w:t>
      </w:r>
      <w:r>
        <w:rPr>
          <w:rFonts w:ascii="Calibri Light" w:hAnsi="Calibri Light" w:cs="Calibri Light"/>
          <w:color w:val="000000"/>
          <w:sz w:val="21"/>
          <w:szCs w:val="21"/>
        </w:rPr>
        <w:t>m</w:t>
      </w:r>
      <w:r w:rsidRPr="00251EEE">
        <w:rPr>
          <w:rFonts w:ascii="Calibri Light" w:hAnsi="Calibri Light" w:cs="Calibri Light"/>
          <w:color w:val="000000"/>
          <w:sz w:val="21"/>
          <w:szCs w:val="21"/>
        </w:rPr>
        <w:t xml:space="preserve"> poruší tuto </w:t>
      </w:r>
      <w:r w:rsidRPr="00251EEE">
        <w:rPr>
          <w:rFonts w:ascii="Calibri Light" w:hAnsi="Calibri Light" w:cs="Calibri Light"/>
          <w:sz w:val="21"/>
          <w:szCs w:val="21"/>
        </w:rPr>
        <w:t xml:space="preserve">smlouvu a nedojde k nápravě ani v dodatečně poskytnuté přiměřené lhůtě. </w:t>
      </w:r>
    </w:p>
    <w:p w14:paraId="63CAFE8E" w14:textId="77777777" w:rsidR="002046A4" w:rsidRPr="00251EEE" w:rsidRDefault="002046A4" w:rsidP="0052742A">
      <w:pPr>
        <w:numPr>
          <w:ilvl w:val="0"/>
          <w:numId w:val="10"/>
        </w:numPr>
        <w:spacing w:before="100" w:beforeAutospacing="1" w:after="100" w:afterAutospacing="1"/>
        <w:ind w:left="425" w:hanging="425"/>
        <w:jc w:val="both"/>
        <w:rPr>
          <w:rFonts w:ascii="Calibri Light" w:hAnsi="Calibri Light" w:cs="Calibri Light"/>
          <w:color w:val="000000"/>
          <w:sz w:val="21"/>
          <w:szCs w:val="21"/>
        </w:rPr>
      </w:pPr>
      <w:r w:rsidRPr="00251EEE">
        <w:rPr>
          <w:rFonts w:ascii="Calibri Light" w:hAnsi="Calibri Light" w:cs="Calibri Light"/>
          <w:color w:val="000000"/>
          <w:sz w:val="21"/>
          <w:szCs w:val="21"/>
        </w:rPr>
        <w:t>Za podstatné porušení smlouvy ze strany příkazce se považuje zejména, pokud neposkytne nutnou součinnost či informace v rozsahu a termínech požadovaných příkazníkem, a to ani v dodatečné přiměřené lhůtě.</w:t>
      </w:r>
    </w:p>
    <w:p w14:paraId="7D947FA0" w14:textId="77777777" w:rsidR="002046A4" w:rsidRPr="00251EEE" w:rsidRDefault="002046A4" w:rsidP="0052742A">
      <w:pPr>
        <w:numPr>
          <w:ilvl w:val="0"/>
          <w:numId w:val="10"/>
        </w:numPr>
        <w:spacing w:before="100" w:beforeAutospacing="1" w:after="100" w:afterAutospacing="1"/>
        <w:ind w:left="425" w:hanging="425"/>
        <w:jc w:val="both"/>
        <w:rPr>
          <w:rFonts w:ascii="Calibri Light" w:hAnsi="Calibri Light" w:cs="Calibri Light"/>
          <w:color w:val="000000"/>
          <w:sz w:val="21"/>
          <w:szCs w:val="21"/>
        </w:rPr>
      </w:pPr>
      <w:r w:rsidRPr="00251EEE">
        <w:rPr>
          <w:rFonts w:ascii="Calibri Light" w:hAnsi="Calibri Light" w:cs="Calibri Light"/>
          <w:color w:val="000000"/>
          <w:sz w:val="21"/>
          <w:szCs w:val="21"/>
        </w:rPr>
        <w:t>Za podstatné porušení smlouvy ze strany příkazníka se považuje zejména, pokud nesplní</w:t>
      </w:r>
      <w:r w:rsidRPr="00251EEE">
        <w:rPr>
          <w:rFonts w:ascii="Calibri Light" w:hAnsi="Calibri Light" w:cs="Calibri Light"/>
          <w:sz w:val="21"/>
          <w:szCs w:val="21"/>
        </w:rPr>
        <w:t xml:space="preserve"> některou z povinností dle této Smlouvy a v důsledku tohoto nesplnění bude příkazce sankciován ze strany </w:t>
      </w:r>
      <w:r>
        <w:rPr>
          <w:rFonts w:ascii="Calibri Light" w:hAnsi="Calibri Light" w:cs="Calibri Light"/>
          <w:sz w:val="21"/>
          <w:szCs w:val="21"/>
        </w:rPr>
        <w:t>p</w:t>
      </w:r>
      <w:r w:rsidRPr="00251EEE">
        <w:rPr>
          <w:rFonts w:ascii="Calibri Light" w:hAnsi="Calibri Light" w:cs="Calibri Light"/>
          <w:sz w:val="21"/>
          <w:szCs w:val="21"/>
        </w:rPr>
        <w:t xml:space="preserve">oskytovatele dotace dle </w:t>
      </w:r>
      <w:r>
        <w:rPr>
          <w:rFonts w:ascii="Calibri Light" w:hAnsi="Calibri Light" w:cs="Calibri Light"/>
          <w:sz w:val="21"/>
          <w:szCs w:val="21"/>
        </w:rPr>
        <w:t>p</w:t>
      </w:r>
      <w:r w:rsidRPr="00251EEE">
        <w:rPr>
          <w:rFonts w:ascii="Calibri Light" w:hAnsi="Calibri Light" w:cs="Calibri Light"/>
          <w:sz w:val="21"/>
          <w:szCs w:val="21"/>
        </w:rPr>
        <w:t xml:space="preserve">rávního aktu, na </w:t>
      </w:r>
      <w:proofErr w:type="gramStart"/>
      <w:r w:rsidRPr="00251EEE">
        <w:rPr>
          <w:rFonts w:ascii="Calibri Light" w:hAnsi="Calibri Light" w:cs="Calibri Light"/>
          <w:sz w:val="21"/>
          <w:szCs w:val="21"/>
        </w:rPr>
        <w:t>základě</w:t>
      </w:r>
      <w:proofErr w:type="gramEnd"/>
      <w:r w:rsidRPr="00251EEE">
        <w:rPr>
          <w:rFonts w:ascii="Calibri Light" w:hAnsi="Calibri Light" w:cs="Calibri Light"/>
          <w:sz w:val="21"/>
          <w:szCs w:val="21"/>
        </w:rPr>
        <w:t xml:space="preserve"> kterého byla příkazci poskytnuta dotace dle této Smlouvy, nebo opakovaně prokazatelně nesplní některou z povinností dle této Smlouvy a nedojde ke sjednání nápravy ani po písemném upozornění ze strany příkazce.</w:t>
      </w:r>
    </w:p>
    <w:p w14:paraId="44F1087F" w14:textId="77777777" w:rsidR="002046A4" w:rsidRPr="00251EEE" w:rsidRDefault="002046A4" w:rsidP="0052742A">
      <w:pPr>
        <w:numPr>
          <w:ilvl w:val="0"/>
          <w:numId w:val="10"/>
        </w:numPr>
        <w:spacing w:before="100" w:beforeAutospacing="1" w:after="100" w:afterAutospacing="1"/>
        <w:ind w:left="425" w:hanging="425"/>
        <w:jc w:val="both"/>
        <w:rPr>
          <w:rFonts w:ascii="Calibri Light" w:hAnsi="Calibri Light" w:cs="Calibri Light"/>
          <w:sz w:val="21"/>
          <w:szCs w:val="21"/>
        </w:rPr>
      </w:pPr>
      <w:r w:rsidRPr="00251EEE">
        <w:rPr>
          <w:rFonts w:ascii="Calibri Light" w:hAnsi="Calibri Light" w:cs="Calibri Light"/>
          <w:sz w:val="21"/>
          <w:szCs w:val="21"/>
        </w:rPr>
        <w:t xml:space="preserve">Příkazce je oprávněn tuto smlouvu ukončit výpovědí bez udání důvodů s výpovědní dobou </w:t>
      </w:r>
      <w:r w:rsidR="00781A8D">
        <w:rPr>
          <w:rFonts w:ascii="Calibri Light" w:hAnsi="Calibri Light" w:cs="Calibri Light"/>
          <w:sz w:val="21"/>
          <w:szCs w:val="21"/>
        </w:rPr>
        <w:t>1 měsíce</w:t>
      </w:r>
      <w:r w:rsidRPr="00251EEE">
        <w:rPr>
          <w:rFonts w:ascii="Calibri Light" w:hAnsi="Calibri Light" w:cs="Calibri Light"/>
          <w:sz w:val="21"/>
          <w:szCs w:val="21"/>
        </w:rPr>
        <w:t xml:space="preserve"> od jejího doručení </w:t>
      </w:r>
      <w:r w:rsidR="00223FFF">
        <w:rPr>
          <w:rFonts w:ascii="Calibri Light" w:hAnsi="Calibri Light" w:cs="Calibri Light"/>
          <w:sz w:val="21"/>
          <w:szCs w:val="21"/>
        </w:rPr>
        <w:t>příkazníkovi</w:t>
      </w:r>
      <w:r w:rsidRPr="00251EEE">
        <w:rPr>
          <w:rFonts w:ascii="Calibri Light" w:hAnsi="Calibri Light" w:cs="Calibri Light"/>
          <w:sz w:val="21"/>
          <w:szCs w:val="21"/>
        </w:rPr>
        <w:t>. V případě ukončení smlouvy způsobem uvedeným v tomto bodě smlouvy, dohodly se smluvní strany, že příkazce uhradí příkazníkovi odměnu za práce, které příkazník pro příkazce vykonal ke dni ukončení této smlouvy.</w:t>
      </w:r>
    </w:p>
    <w:p w14:paraId="6DDFD536" w14:textId="77777777" w:rsidR="00703E4D" w:rsidRPr="00703E4D" w:rsidRDefault="00703E4D" w:rsidP="00703E4D">
      <w:pPr>
        <w:spacing w:before="100" w:beforeAutospacing="1" w:after="100" w:afterAutospacing="1"/>
        <w:outlineLvl w:val="2"/>
        <w:rPr>
          <w:rFonts w:asciiTheme="majorHAnsi" w:eastAsia="Times New Roman" w:hAnsiTheme="majorHAnsi" w:cstheme="majorHAnsi"/>
          <w:b/>
          <w:bCs/>
          <w:sz w:val="21"/>
          <w:szCs w:val="21"/>
          <w:lang w:eastAsia="cs-CZ"/>
        </w:rPr>
      </w:pPr>
      <w:r w:rsidRPr="00703E4D">
        <w:rPr>
          <w:rFonts w:asciiTheme="majorHAnsi" w:eastAsia="Times New Roman" w:hAnsiTheme="majorHAnsi" w:cstheme="majorHAnsi"/>
          <w:b/>
          <w:bCs/>
          <w:sz w:val="21"/>
          <w:szCs w:val="21"/>
          <w:lang w:eastAsia="cs-CZ"/>
        </w:rPr>
        <w:t>X. Závěrečná ustanovení</w:t>
      </w:r>
    </w:p>
    <w:p w14:paraId="3F037A18" w14:textId="77777777" w:rsidR="00703E4D" w:rsidRPr="00703E4D" w:rsidRDefault="00703E4D" w:rsidP="00703E4D">
      <w:pPr>
        <w:numPr>
          <w:ilvl w:val="0"/>
          <w:numId w:val="7"/>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Tato smlouva nabývá platnosti podpisem obou stran.</w:t>
      </w:r>
    </w:p>
    <w:p w14:paraId="036FBFC4" w14:textId="77777777" w:rsidR="00703E4D" w:rsidRPr="00703E4D" w:rsidRDefault="00703E4D" w:rsidP="00703E4D">
      <w:pPr>
        <w:numPr>
          <w:ilvl w:val="0"/>
          <w:numId w:val="7"/>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b/>
          <w:bCs/>
          <w:sz w:val="21"/>
          <w:szCs w:val="21"/>
          <w:lang w:eastAsia="cs-CZ"/>
        </w:rPr>
        <w:t>Tato smlouva nabývá účinnosti dnem jejího uveřejnění v registru smluv</w:t>
      </w:r>
      <w:r w:rsidRPr="00703E4D">
        <w:rPr>
          <w:rFonts w:asciiTheme="majorHAnsi" w:eastAsia="Times New Roman" w:hAnsiTheme="majorHAnsi" w:cstheme="majorHAnsi"/>
          <w:sz w:val="21"/>
          <w:szCs w:val="21"/>
          <w:lang w:eastAsia="cs-CZ"/>
        </w:rPr>
        <w:t xml:space="preserve"> dle zákona č. 340/2015 Sb.</w:t>
      </w:r>
    </w:p>
    <w:p w14:paraId="711C7BE5" w14:textId="77777777" w:rsidR="00703E4D" w:rsidRDefault="00703E4D" w:rsidP="00703E4D">
      <w:pPr>
        <w:numPr>
          <w:ilvl w:val="0"/>
          <w:numId w:val="7"/>
        </w:numPr>
        <w:spacing w:before="100" w:beforeAutospacing="1" w:after="100" w:afterAutospacing="1"/>
        <w:rPr>
          <w:rFonts w:asciiTheme="majorHAnsi" w:eastAsia="Times New Roman" w:hAnsiTheme="majorHAnsi" w:cstheme="majorHAnsi"/>
          <w:sz w:val="21"/>
          <w:szCs w:val="21"/>
          <w:lang w:eastAsia="cs-CZ"/>
        </w:rPr>
      </w:pPr>
      <w:r w:rsidRPr="00703E4D">
        <w:rPr>
          <w:rFonts w:asciiTheme="majorHAnsi" w:eastAsia="Times New Roman" w:hAnsiTheme="majorHAnsi" w:cstheme="majorHAnsi"/>
          <w:sz w:val="21"/>
          <w:szCs w:val="21"/>
          <w:lang w:eastAsia="cs-CZ"/>
        </w:rPr>
        <w:t>Smlouva se nevztahuje na činnosti spojené s podáním žádosti o dotaci.</w:t>
      </w:r>
    </w:p>
    <w:p w14:paraId="6CC9FB25" w14:textId="77777777" w:rsidR="002046A4" w:rsidRPr="00703E4D" w:rsidRDefault="002046A4" w:rsidP="002046A4">
      <w:pPr>
        <w:spacing w:before="100" w:beforeAutospacing="1" w:after="100" w:afterAutospacing="1"/>
        <w:ind w:left="720"/>
        <w:rPr>
          <w:rFonts w:asciiTheme="majorHAnsi" w:eastAsia="Times New Roman" w:hAnsiTheme="majorHAnsi" w:cstheme="majorHAnsi"/>
          <w:sz w:val="21"/>
          <w:szCs w:val="21"/>
          <w:lang w:eastAsia="cs-CZ"/>
        </w:rPr>
      </w:pPr>
    </w:p>
    <w:tbl>
      <w:tblPr>
        <w:tblW w:w="0" w:type="auto"/>
        <w:tblLook w:val="04A0" w:firstRow="1" w:lastRow="0" w:firstColumn="1" w:lastColumn="0" w:noHBand="0" w:noVBand="1"/>
      </w:tblPr>
      <w:tblGrid>
        <w:gridCol w:w="4536"/>
        <w:gridCol w:w="4536"/>
      </w:tblGrid>
      <w:tr w:rsidR="002046A4" w:rsidRPr="008F177B" w14:paraId="14455AA2" w14:textId="77777777" w:rsidTr="007332B2">
        <w:tc>
          <w:tcPr>
            <w:tcW w:w="4606" w:type="dxa"/>
          </w:tcPr>
          <w:p w14:paraId="1BB4BD7E" w14:textId="0E79A868" w:rsidR="002046A4" w:rsidRDefault="002046A4" w:rsidP="007332B2">
            <w:pPr>
              <w:jc w:val="both"/>
              <w:rPr>
                <w:rFonts w:ascii="Calibri Light" w:eastAsia="Batang" w:hAnsi="Calibri Light" w:cs="Calibri Light"/>
                <w:color w:val="000000"/>
                <w:sz w:val="21"/>
                <w:szCs w:val="21"/>
              </w:rPr>
            </w:pPr>
            <w:r w:rsidRPr="008F177B">
              <w:rPr>
                <w:rFonts w:ascii="Calibri Light" w:eastAsia="Batang" w:hAnsi="Calibri Light" w:cs="Calibri Light"/>
                <w:color w:val="000000"/>
                <w:sz w:val="21"/>
                <w:szCs w:val="21"/>
              </w:rPr>
              <w:t>V</w:t>
            </w:r>
            <w:r>
              <w:rPr>
                <w:rFonts w:ascii="Calibri Light" w:eastAsia="Batang" w:hAnsi="Calibri Light" w:cs="Calibri Light"/>
                <w:color w:val="000000"/>
                <w:sz w:val="21"/>
                <w:szCs w:val="21"/>
              </w:rPr>
              <w:t xml:space="preserve"> Českém Těšíně dne </w:t>
            </w:r>
            <w:r w:rsidR="00710E16">
              <w:rPr>
                <w:rFonts w:ascii="Calibri Light" w:eastAsia="Batang" w:hAnsi="Calibri Light" w:cs="Calibri Light"/>
                <w:color w:val="000000"/>
                <w:sz w:val="21"/>
                <w:szCs w:val="21"/>
              </w:rPr>
              <w:t>26.9.2025</w:t>
            </w:r>
          </w:p>
          <w:p w14:paraId="7FD658C5" w14:textId="77777777" w:rsidR="002046A4" w:rsidRDefault="002046A4" w:rsidP="007332B2">
            <w:pPr>
              <w:jc w:val="both"/>
              <w:rPr>
                <w:rFonts w:ascii="Calibri Light" w:eastAsia="Batang" w:hAnsi="Calibri Light" w:cs="Calibri Light"/>
                <w:color w:val="000000"/>
                <w:sz w:val="21"/>
                <w:szCs w:val="21"/>
              </w:rPr>
            </w:pPr>
          </w:p>
          <w:p w14:paraId="5D188124" w14:textId="77777777" w:rsidR="002046A4" w:rsidRPr="008F177B" w:rsidRDefault="002046A4" w:rsidP="007332B2">
            <w:pPr>
              <w:jc w:val="both"/>
              <w:rPr>
                <w:rFonts w:ascii="Calibri Light" w:eastAsia="Batang" w:hAnsi="Calibri Light" w:cs="Calibri Light"/>
                <w:color w:val="000000"/>
                <w:sz w:val="21"/>
                <w:szCs w:val="21"/>
              </w:rPr>
            </w:pPr>
            <w:r w:rsidRPr="008F177B">
              <w:rPr>
                <w:rFonts w:ascii="Calibri Light" w:eastAsia="Batang" w:hAnsi="Calibri Light" w:cs="Calibri Light"/>
                <w:color w:val="000000"/>
                <w:sz w:val="21"/>
                <w:szCs w:val="21"/>
              </w:rPr>
              <w:t xml:space="preserve">                       </w:t>
            </w:r>
          </w:p>
        </w:tc>
        <w:tc>
          <w:tcPr>
            <w:tcW w:w="4606" w:type="dxa"/>
          </w:tcPr>
          <w:p w14:paraId="101F1A6C" w14:textId="77777777" w:rsidR="002046A4" w:rsidRPr="00914D1E" w:rsidRDefault="002046A4" w:rsidP="007332B2">
            <w:pPr>
              <w:jc w:val="both"/>
              <w:rPr>
                <w:rFonts w:ascii="Calibri Light" w:eastAsia="Batang" w:hAnsi="Calibri Light" w:cs="Calibri Light"/>
                <w:color w:val="000000"/>
                <w:sz w:val="21"/>
                <w:szCs w:val="21"/>
              </w:rPr>
            </w:pPr>
          </w:p>
        </w:tc>
      </w:tr>
      <w:tr w:rsidR="002046A4" w:rsidRPr="008F177B" w14:paraId="4444D32C" w14:textId="77777777" w:rsidTr="007332B2">
        <w:tc>
          <w:tcPr>
            <w:tcW w:w="4606" w:type="dxa"/>
          </w:tcPr>
          <w:p w14:paraId="43B2B193" w14:textId="77777777" w:rsidR="002046A4" w:rsidRPr="008F177B" w:rsidRDefault="002046A4" w:rsidP="007332B2">
            <w:pPr>
              <w:jc w:val="both"/>
              <w:rPr>
                <w:rFonts w:ascii="Calibri Light" w:eastAsia="Batang" w:hAnsi="Calibri Light" w:cs="Calibri Light"/>
                <w:color w:val="000000"/>
                <w:sz w:val="21"/>
                <w:szCs w:val="21"/>
              </w:rPr>
            </w:pPr>
            <w:r w:rsidRPr="008F177B">
              <w:rPr>
                <w:rFonts w:ascii="Calibri Light" w:hAnsi="Calibri Light" w:cs="Calibri Light"/>
                <w:color w:val="000000"/>
                <w:sz w:val="21"/>
                <w:szCs w:val="21"/>
              </w:rPr>
              <w:t>za příkazce</w:t>
            </w:r>
          </w:p>
        </w:tc>
        <w:tc>
          <w:tcPr>
            <w:tcW w:w="4606" w:type="dxa"/>
          </w:tcPr>
          <w:p w14:paraId="39531B23" w14:textId="77777777" w:rsidR="002046A4" w:rsidRPr="00914D1E" w:rsidRDefault="002046A4" w:rsidP="007332B2">
            <w:pPr>
              <w:jc w:val="both"/>
              <w:rPr>
                <w:rFonts w:ascii="Calibri Light" w:eastAsia="Batang" w:hAnsi="Calibri Light" w:cs="Calibri Light"/>
                <w:color w:val="000000"/>
                <w:sz w:val="21"/>
                <w:szCs w:val="21"/>
              </w:rPr>
            </w:pPr>
            <w:r w:rsidRPr="00914D1E">
              <w:rPr>
                <w:rFonts w:ascii="Calibri Light" w:hAnsi="Calibri Light" w:cs="Calibri Light"/>
                <w:color w:val="000000"/>
                <w:sz w:val="21"/>
                <w:szCs w:val="21"/>
              </w:rPr>
              <w:t>za příkazníka</w:t>
            </w:r>
          </w:p>
        </w:tc>
      </w:tr>
      <w:tr w:rsidR="002046A4" w:rsidRPr="00B97159" w14:paraId="2F0F84EB" w14:textId="77777777" w:rsidTr="007332B2">
        <w:tc>
          <w:tcPr>
            <w:tcW w:w="4606" w:type="dxa"/>
          </w:tcPr>
          <w:p w14:paraId="1F662770" w14:textId="77777777" w:rsidR="002046A4" w:rsidRDefault="002046A4" w:rsidP="007332B2">
            <w:pPr>
              <w:jc w:val="both"/>
              <w:rPr>
                <w:rFonts w:ascii="Calibri Light" w:hAnsi="Calibri Light" w:cs="Calibri Light"/>
                <w:b/>
                <w:bCs/>
                <w:color w:val="000000"/>
                <w:sz w:val="21"/>
                <w:szCs w:val="21"/>
              </w:rPr>
            </w:pPr>
          </w:p>
          <w:p w14:paraId="2D03AF1B" w14:textId="77777777" w:rsidR="002046A4" w:rsidRPr="00B97159" w:rsidRDefault="002046A4" w:rsidP="007332B2">
            <w:pPr>
              <w:jc w:val="both"/>
              <w:rPr>
                <w:rFonts w:ascii="Calibri Light" w:eastAsia="Batang" w:hAnsi="Calibri Light" w:cs="Calibri Light"/>
                <w:b/>
                <w:bCs/>
                <w:color w:val="000000"/>
                <w:sz w:val="21"/>
                <w:szCs w:val="21"/>
              </w:rPr>
            </w:pPr>
            <w:r>
              <w:rPr>
                <w:rFonts w:ascii="Calibri Light" w:hAnsi="Calibri Light" w:cs="Calibri Light"/>
                <w:b/>
                <w:bCs/>
                <w:color w:val="000000"/>
                <w:sz w:val="21"/>
                <w:szCs w:val="21"/>
              </w:rPr>
              <w:t>Mgr. Richard Zajac</w:t>
            </w:r>
            <w:r w:rsidRPr="00D76E6F">
              <w:rPr>
                <w:rFonts w:ascii="Calibri Light" w:hAnsi="Calibri Light" w:cs="Calibri Light"/>
                <w:b/>
                <w:bCs/>
                <w:color w:val="000000"/>
                <w:sz w:val="21"/>
                <w:szCs w:val="21"/>
              </w:rPr>
              <w:t>, ředitel</w:t>
            </w:r>
          </w:p>
        </w:tc>
        <w:tc>
          <w:tcPr>
            <w:tcW w:w="4606" w:type="dxa"/>
          </w:tcPr>
          <w:p w14:paraId="01617A3A" w14:textId="77777777" w:rsidR="002046A4" w:rsidRDefault="002046A4" w:rsidP="007332B2">
            <w:pPr>
              <w:jc w:val="both"/>
              <w:rPr>
                <w:rFonts w:ascii="Calibri Light" w:hAnsi="Calibri Light" w:cs="Calibri Light"/>
                <w:b/>
                <w:bCs/>
                <w:color w:val="000000"/>
                <w:sz w:val="21"/>
                <w:szCs w:val="21"/>
              </w:rPr>
            </w:pPr>
          </w:p>
          <w:p w14:paraId="139AA744" w14:textId="77777777" w:rsidR="002046A4" w:rsidRPr="00B97159" w:rsidRDefault="002046A4" w:rsidP="007332B2">
            <w:pPr>
              <w:jc w:val="both"/>
              <w:rPr>
                <w:rFonts w:ascii="Calibri Light" w:hAnsi="Calibri Light" w:cs="Calibri Light"/>
                <w:b/>
                <w:bCs/>
                <w:color w:val="000000"/>
                <w:sz w:val="21"/>
                <w:szCs w:val="21"/>
              </w:rPr>
            </w:pPr>
            <w:r w:rsidRPr="00B97159">
              <w:rPr>
                <w:rFonts w:ascii="Calibri Light" w:hAnsi="Calibri Light" w:cs="Calibri Light"/>
                <w:b/>
                <w:bCs/>
                <w:color w:val="000000"/>
                <w:sz w:val="21"/>
                <w:szCs w:val="21"/>
              </w:rPr>
              <w:t>Ing. Jiří Kovačík, jednatel</w:t>
            </w:r>
          </w:p>
        </w:tc>
      </w:tr>
      <w:tr w:rsidR="002046A4" w:rsidRPr="008F177B" w14:paraId="427C4C70" w14:textId="77777777" w:rsidTr="007332B2">
        <w:tc>
          <w:tcPr>
            <w:tcW w:w="4606" w:type="dxa"/>
          </w:tcPr>
          <w:p w14:paraId="016AE69B" w14:textId="77777777" w:rsidR="002046A4" w:rsidRPr="008F177B" w:rsidRDefault="002046A4" w:rsidP="007332B2">
            <w:pPr>
              <w:jc w:val="both"/>
              <w:rPr>
                <w:rFonts w:ascii="Calibri Light" w:hAnsi="Calibri Light" w:cs="Calibri Light"/>
                <w:color w:val="000000"/>
                <w:sz w:val="21"/>
                <w:szCs w:val="21"/>
              </w:rPr>
            </w:pPr>
          </w:p>
          <w:p w14:paraId="7D1D7F1E" w14:textId="77777777" w:rsidR="002046A4" w:rsidRPr="008F177B" w:rsidRDefault="002046A4" w:rsidP="007332B2">
            <w:pPr>
              <w:jc w:val="both"/>
              <w:rPr>
                <w:rFonts w:ascii="Calibri Light" w:hAnsi="Calibri Light" w:cs="Calibri Light"/>
                <w:color w:val="000000"/>
                <w:sz w:val="21"/>
                <w:szCs w:val="21"/>
              </w:rPr>
            </w:pPr>
          </w:p>
          <w:p w14:paraId="6FA289EF" w14:textId="77777777" w:rsidR="002046A4" w:rsidRPr="008F177B" w:rsidRDefault="002046A4" w:rsidP="007332B2">
            <w:pPr>
              <w:jc w:val="both"/>
              <w:rPr>
                <w:rFonts w:ascii="Calibri Light" w:eastAsia="Batang" w:hAnsi="Calibri Light" w:cs="Calibri Light"/>
                <w:color w:val="000000"/>
                <w:sz w:val="21"/>
                <w:szCs w:val="21"/>
              </w:rPr>
            </w:pPr>
            <w:r w:rsidRPr="008F177B">
              <w:rPr>
                <w:rFonts w:ascii="Calibri Light" w:hAnsi="Calibri Light" w:cs="Calibri Light"/>
                <w:color w:val="000000"/>
                <w:sz w:val="21"/>
                <w:szCs w:val="21"/>
              </w:rPr>
              <w:t>……………………………………………</w:t>
            </w:r>
          </w:p>
        </w:tc>
        <w:tc>
          <w:tcPr>
            <w:tcW w:w="4606" w:type="dxa"/>
          </w:tcPr>
          <w:p w14:paraId="49929653" w14:textId="77777777" w:rsidR="002046A4" w:rsidRPr="00914D1E" w:rsidRDefault="002046A4" w:rsidP="007332B2">
            <w:pPr>
              <w:jc w:val="both"/>
              <w:rPr>
                <w:rFonts w:ascii="Calibri Light" w:hAnsi="Calibri Light" w:cs="Calibri Light"/>
                <w:color w:val="000000"/>
                <w:sz w:val="21"/>
                <w:szCs w:val="21"/>
              </w:rPr>
            </w:pPr>
          </w:p>
          <w:p w14:paraId="179DDBC6" w14:textId="77777777" w:rsidR="002046A4" w:rsidRPr="00914D1E" w:rsidRDefault="002046A4" w:rsidP="007332B2">
            <w:pPr>
              <w:jc w:val="both"/>
              <w:rPr>
                <w:rFonts w:ascii="Calibri Light" w:hAnsi="Calibri Light" w:cs="Calibri Light"/>
                <w:color w:val="000000"/>
                <w:sz w:val="21"/>
                <w:szCs w:val="21"/>
              </w:rPr>
            </w:pPr>
          </w:p>
          <w:p w14:paraId="1E050ACE" w14:textId="77777777" w:rsidR="002046A4" w:rsidRPr="00914D1E" w:rsidRDefault="002046A4" w:rsidP="007332B2">
            <w:pPr>
              <w:jc w:val="both"/>
              <w:rPr>
                <w:rFonts w:ascii="Calibri Light" w:eastAsia="Batang" w:hAnsi="Calibri Light" w:cs="Calibri Light"/>
                <w:color w:val="000000"/>
                <w:sz w:val="21"/>
                <w:szCs w:val="21"/>
              </w:rPr>
            </w:pPr>
            <w:r w:rsidRPr="00914D1E">
              <w:rPr>
                <w:rFonts w:ascii="Calibri Light" w:hAnsi="Calibri Light" w:cs="Calibri Light"/>
                <w:color w:val="000000"/>
                <w:sz w:val="21"/>
                <w:szCs w:val="21"/>
              </w:rPr>
              <w:t>……………………………………………</w:t>
            </w:r>
          </w:p>
        </w:tc>
      </w:tr>
    </w:tbl>
    <w:p w14:paraId="358D4918" w14:textId="77777777" w:rsidR="00F34364" w:rsidRDefault="00F34364">
      <w:pPr>
        <w:rPr>
          <w:rFonts w:asciiTheme="majorHAnsi" w:hAnsiTheme="majorHAnsi" w:cstheme="majorHAnsi"/>
          <w:sz w:val="21"/>
          <w:szCs w:val="21"/>
        </w:rPr>
        <w:sectPr w:rsidR="00F34364">
          <w:pgSz w:w="11906" w:h="16838"/>
          <w:pgMar w:top="1417" w:right="1417" w:bottom="1417" w:left="1417" w:header="708" w:footer="708" w:gutter="0"/>
          <w:cols w:space="708"/>
          <w:docGrid w:linePitch="360"/>
        </w:sectPr>
      </w:pPr>
    </w:p>
    <w:p w14:paraId="0839E07C" w14:textId="77777777" w:rsidR="00F34364" w:rsidRPr="00781A17" w:rsidRDefault="00F34364" w:rsidP="00F34364">
      <w:pPr>
        <w:pBdr>
          <w:bottom w:val="single" w:sz="4" w:space="1" w:color="auto"/>
        </w:pBdr>
        <w:rPr>
          <w:rFonts w:asciiTheme="majorHAnsi" w:hAnsiTheme="majorHAnsi"/>
          <w:b/>
          <w:sz w:val="21"/>
          <w:szCs w:val="21"/>
        </w:rPr>
      </w:pPr>
      <w:r w:rsidRPr="00781A17">
        <w:rPr>
          <w:rFonts w:asciiTheme="majorHAnsi" w:hAnsiTheme="majorHAnsi"/>
          <w:b/>
          <w:sz w:val="21"/>
          <w:szCs w:val="21"/>
        </w:rPr>
        <w:lastRenderedPageBreak/>
        <w:t>Příloha č. 1 – Souhrn úkonů, které v rámci zadavatelské činnosti bude příkazník pro příkazce činit</w:t>
      </w:r>
    </w:p>
    <w:p w14:paraId="2F65A274" w14:textId="77777777" w:rsidR="00F34364" w:rsidRPr="00781A17" w:rsidRDefault="00F34364" w:rsidP="00F34364">
      <w:pPr>
        <w:spacing w:after="120"/>
        <w:jc w:val="both"/>
        <w:rPr>
          <w:rFonts w:asciiTheme="majorHAnsi" w:hAnsiTheme="majorHAnsi"/>
          <w:sz w:val="21"/>
          <w:szCs w:val="21"/>
        </w:rPr>
      </w:pPr>
      <w:r w:rsidRPr="00781A17">
        <w:rPr>
          <w:rFonts w:asciiTheme="majorHAnsi" w:hAnsiTheme="majorHAnsi"/>
          <w:sz w:val="21"/>
          <w:szCs w:val="21"/>
        </w:rPr>
        <w:t>V rámci své činnosti, provede příkazník v každé veřejné zakázce alespoň v následujícím rozsahu:</w:t>
      </w:r>
    </w:p>
    <w:p w14:paraId="691618D3" w14:textId="77777777" w:rsidR="00F34364" w:rsidRPr="00781A17" w:rsidRDefault="00F34364" w:rsidP="00F34364">
      <w:pPr>
        <w:pStyle w:val="Odstavecseseznamem"/>
        <w:numPr>
          <w:ilvl w:val="1"/>
          <w:numId w:val="12"/>
        </w:numPr>
        <w:tabs>
          <w:tab w:val="clear" w:pos="2149"/>
        </w:tabs>
        <w:spacing w:after="120"/>
        <w:ind w:left="284" w:hanging="284"/>
        <w:jc w:val="both"/>
        <w:rPr>
          <w:rFonts w:asciiTheme="majorHAnsi" w:hAnsiTheme="majorHAnsi"/>
          <w:b/>
          <w:sz w:val="21"/>
          <w:szCs w:val="21"/>
        </w:rPr>
      </w:pPr>
      <w:proofErr w:type="gramStart"/>
      <w:r w:rsidRPr="00781A17">
        <w:rPr>
          <w:rFonts w:asciiTheme="majorHAnsi" w:hAnsiTheme="majorHAnsi"/>
          <w:b/>
          <w:sz w:val="21"/>
          <w:szCs w:val="21"/>
        </w:rPr>
        <w:t>etapa - Činnosti</w:t>
      </w:r>
      <w:proofErr w:type="gramEnd"/>
      <w:r w:rsidRPr="00781A17">
        <w:rPr>
          <w:rFonts w:asciiTheme="majorHAnsi" w:hAnsiTheme="majorHAnsi"/>
          <w:b/>
          <w:sz w:val="21"/>
          <w:szCs w:val="21"/>
        </w:rPr>
        <w:t xml:space="preserve"> spojené s přípravou textu oznámení o zahájení zadávacího postupu a její zveřejnění:</w:t>
      </w:r>
    </w:p>
    <w:p w14:paraId="0FC34AF2" w14:textId="77777777" w:rsidR="00F34364" w:rsidRPr="00781A17" w:rsidRDefault="00F34364" w:rsidP="00F34364">
      <w:pPr>
        <w:pStyle w:val="Bezmezer"/>
        <w:numPr>
          <w:ilvl w:val="0"/>
          <w:numId w:val="13"/>
        </w:numPr>
        <w:rPr>
          <w:rFonts w:asciiTheme="majorHAnsi" w:hAnsiTheme="majorHAnsi"/>
          <w:sz w:val="21"/>
          <w:szCs w:val="21"/>
        </w:rPr>
      </w:pPr>
      <w:r w:rsidRPr="00781A17">
        <w:rPr>
          <w:rFonts w:asciiTheme="majorHAnsi" w:hAnsiTheme="majorHAnsi"/>
          <w:sz w:val="21"/>
          <w:szCs w:val="21"/>
        </w:rPr>
        <w:t xml:space="preserve">zpracování návrhu zadávacích podmínek a jejich konzultace se zadavatelem, </w:t>
      </w:r>
    </w:p>
    <w:p w14:paraId="521ED5CB" w14:textId="77777777" w:rsidR="00F34364" w:rsidRPr="00781A17" w:rsidRDefault="00F34364" w:rsidP="00F34364">
      <w:pPr>
        <w:pStyle w:val="Bezmezer"/>
        <w:numPr>
          <w:ilvl w:val="0"/>
          <w:numId w:val="13"/>
        </w:numPr>
        <w:rPr>
          <w:rFonts w:asciiTheme="majorHAnsi" w:hAnsiTheme="majorHAnsi"/>
          <w:sz w:val="21"/>
          <w:szCs w:val="21"/>
        </w:rPr>
      </w:pPr>
      <w:r w:rsidRPr="00781A17">
        <w:rPr>
          <w:rFonts w:asciiTheme="majorHAnsi" w:hAnsiTheme="majorHAnsi"/>
          <w:sz w:val="21"/>
          <w:szCs w:val="21"/>
        </w:rPr>
        <w:t>odůvodnění jednotlivých zadávacích podmínek, bude-li poskytovatelem dotace požadováno,</w:t>
      </w:r>
    </w:p>
    <w:p w14:paraId="03FCA936" w14:textId="77777777" w:rsidR="00F34364" w:rsidRPr="00781A17" w:rsidRDefault="00F34364" w:rsidP="00F34364">
      <w:pPr>
        <w:pStyle w:val="Bezmezer"/>
        <w:numPr>
          <w:ilvl w:val="0"/>
          <w:numId w:val="13"/>
        </w:numPr>
        <w:spacing w:after="120"/>
        <w:ind w:left="714" w:hanging="357"/>
        <w:rPr>
          <w:rFonts w:asciiTheme="majorHAnsi" w:hAnsiTheme="majorHAnsi"/>
          <w:sz w:val="21"/>
          <w:szCs w:val="21"/>
        </w:rPr>
      </w:pPr>
      <w:r w:rsidRPr="00781A17">
        <w:rPr>
          <w:rFonts w:asciiTheme="majorHAnsi" w:hAnsiTheme="majorHAnsi"/>
          <w:sz w:val="21"/>
          <w:szCs w:val="21"/>
        </w:rPr>
        <w:t>sestavení zadávací dokumentace, kompletace.</w:t>
      </w:r>
    </w:p>
    <w:p w14:paraId="0EF435A4" w14:textId="77777777" w:rsidR="00F34364" w:rsidRPr="00781A17" w:rsidRDefault="00F34364" w:rsidP="00F34364">
      <w:pPr>
        <w:pStyle w:val="Odstavecseseznamem"/>
        <w:numPr>
          <w:ilvl w:val="1"/>
          <w:numId w:val="12"/>
        </w:numPr>
        <w:tabs>
          <w:tab w:val="clear" w:pos="2149"/>
        </w:tabs>
        <w:spacing w:after="120"/>
        <w:ind w:left="284" w:hanging="284"/>
        <w:jc w:val="both"/>
        <w:rPr>
          <w:rFonts w:asciiTheme="majorHAnsi" w:hAnsiTheme="majorHAnsi"/>
          <w:b/>
          <w:bCs/>
          <w:sz w:val="21"/>
          <w:szCs w:val="21"/>
        </w:rPr>
      </w:pPr>
      <w:proofErr w:type="gramStart"/>
      <w:r w:rsidRPr="00781A17">
        <w:rPr>
          <w:rFonts w:asciiTheme="majorHAnsi" w:hAnsiTheme="majorHAnsi"/>
          <w:b/>
          <w:bCs/>
          <w:sz w:val="21"/>
          <w:szCs w:val="21"/>
        </w:rPr>
        <w:t>etapa - Činnosti</w:t>
      </w:r>
      <w:proofErr w:type="gramEnd"/>
      <w:r w:rsidRPr="00781A17">
        <w:rPr>
          <w:rFonts w:asciiTheme="majorHAnsi" w:hAnsiTheme="majorHAnsi"/>
          <w:b/>
          <w:bCs/>
          <w:sz w:val="21"/>
          <w:szCs w:val="21"/>
        </w:rPr>
        <w:t xml:space="preserve"> spojené s průběhem lhůty pro podání nabídek: </w:t>
      </w:r>
    </w:p>
    <w:p w14:paraId="49BA90D2"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komunikace s dodavateli,</w:t>
      </w:r>
    </w:p>
    <w:p w14:paraId="1552A3A1"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vysvětlení, změny nebo doplnění zadávací dokumentace, ať už na žádost dodavatele, tak i z vlastního podnětu zadavatele, a to v přímé spolupráci se zadavatelem či jinou pověřenou a odpovědnou osobou,</w:t>
      </w:r>
    </w:p>
    <w:p w14:paraId="1E5C1B13"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seznamu doručených a přijatých nabídek,</w:t>
      </w:r>
    </w:p>
    <w:p w14:paraId="4E877B99" w14:textId="77777777" w:rsidR="00F34364" w:rsidRPr="00781A17" w:rsidRDefault="00F34364" w:rsidP="00F34364">
      <w:pPr>
        <w:pStyle w:val="Bezmezer"/>
        <w:numPr>
          <w:ilvl w:val="0"/>
          <w:numId w:val="14"/>
        </w:numPr>
        <w:spacing w:after="120"/>
        <w:ind w:left="714" w:hanging="357"/>
        <w:rPr>
          <w:rFonts w:asciiTheme="majorHAnsi" w:hAnsiTheme="majorHAnsi"/>
          <w:sz w:val="21"/>
          <w:szCs w:val="21"/>
        </w:rPr>
      </w:pPr>
      <w:r w:rsidRPr="00781A17">
        <w:rPr>
          <w:rFonts w:asciiTheme="majorHAnsi" w:hAnsiTheme="majorHAnsi"/>
          <w:sz w:val="21"/>
          <w:szCs w:val="21"/>
        </w:rPr>
        <w:t>vypracování a zajištění jmenovacích dekretů a čestných prohlášení pro členy a náhradníky komisí.</w:t>
      </w:r>
    </w:p>
    <w:p w14:paraId="3E9D724D" w14:textId="77777777" w:rsidR="00F34364" w:rsidRPr="00781A17" w:rsidRDefault="00F34364" w:rsidP="00F34364">
      <w:pPr>
        <w:pStyle w:val="Odstavecseseznamem"/>
        <w:numPr>
          <w:ilvl w:val="1"/>
          <w:numId w:val="12"/>
        </w:numPr>
        <w:tabs>
          <w:tab w:val="clear" w:pos="2149"/>
        </w:tabs>
        <w:spacing w:after="120"/>
        <w:ind w:left="284" w:hanging="284"/>
        <w:jc w:val="both"/>
        <w:rPr>
          <w:rFonts w:asciiTheme="majorHAnsi" w:hAnsiTheme="majorHAnsi"/>
          <w:b/>
          <w:bCs/>
          <w:sz w:val="21"/>
          <w:szCs w:val="21"/>
        </w:rPr>
      </w:pPr>
      <w:proofErr w:type="gramStart"/>
      <w:r w:rsidRPr="00781A17">
        <w:rPr>
          <w:rFonts w:asciiTheme="majorHAnsi" w:hAnsiTheme="majorHAnsi"/>
          <w:b/>
          <w:bCs/>
          <w:sz w:val="21"/>
          <w:szCs w:val="21"/>
        </w:rPr>
        <w:t>etapa - Činnosti</w:t>
      </w:r>
      <w:proofErr w:type="gramEnd"/>
      <w:r w:rsidRPr="00781A17">
        <w:rPr>
          <w:rFonts w:asciiTheme="majorHAnsi" w:hAnsiTheme="majorHAnsi"/>
          <w:b/>
          <w:bCs/>
          <w:sz w:val="21"/>
          <w:szCs w:val="21"/>
        </w:rPr>
        <w:t xml:space="preserve"> spojené s průběhem zadávací lhůty:</w:t>
      </w:r>
    </w:p>
    <w:p w14:paraId="3936C605"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organizační zajištění zasedání komisí,</w:t>
      </w:r>
    </w:p>
    <w:p w14:paraId="055783B0"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řízení komisí do volby předsedy a místopředsedy komise, organizační řízení hodnotící komise v průběhu jejích jednotlivých zasedání,</w:t>
      </w:r>
    </w:p>
    <w:p w14:paraId="0963B090"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organizační zajištění vlastního aktu otevírání obálek s nabídkami jednotlivých účastníků,</w:t>
      </w:r>
    </w:p>
    <w:p w14:paraId="50792B93"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protokolu o otevírání obálek s nabídkami,</w:t>
      </w:r>
    </w:p>
    <w:p w14:paraId="53898722"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zajištění rozhodnutí a oznámení vyloučení účastníkům, jejichž nabídky komise pro otevírání obálek s nabídkami vyřadila z další účasti v zadávacím postupu,</w:t>
      </w:r>
    </w:p>
    <w:p w14:paraId="5E12104C"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rozbor nabídek z hlediska splnění zadávacích podmínek,</w:t>
      </w:r>
    </w:p>
    <w:p w14:paraId="7608117E"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organizační zajištění průběhu posuzování splnění podmínek účasti v zadávacím postupu,</w:t>
      </w:r>
    </w:p>
    <w:p w14:paraId="2E93FF78"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protokolu/ů o posouzení splnění podmínek účasti v zadávacím řízení,</w:t>
      </w:r>
    </w:p>
    <w:p w14:paraId="7EBC5942"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 xml:space="preserve">rozbor hodnocení nabídek, </w:t>
      </w:r>
    </w:p>
    <w:p w14:paraId="1AB941CC"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protokolu/ů o hodnocení nabídek,</w:t>
      </w:r>
    </w:p>
    <w:p w14:paraId="501DFCA9"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vyhotovení žádosti o písemné objasnění nebo doplnění údajů nebo dokladů,</w:t>
      </w:r>
    </w:p>
    <w:p w14:paraId="2972B929"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vyhotovení žádosti o písemné zdůvodnění mimořádně nízké nabídkové ceny,</w:t>
      </w:r>
    </w:p>
    <w:p w14:paraId="31362499"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podkladů pro rozhodnutí zadavatele o vyloučení účastníků,</w:t>
      </w:r>
    </w:p>
    <w:p w14:paraId="0526DF19"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 xml:space="preserve">zajištění oznámení vyloučení účastníkům, </w:t>
      </w:r>
    </w:p>
    <w:p w14:paraId="3F496992" w14:textId="77777777" w:rsidR="00F34364" w:rsidRPr="00781A17" w:rsidRDefault="00F34364" w:rsidP="00F34364">
      <w:pPr>
        <w:pStyle w:val="Bezmezer"/>
        <w:numPr>
          <w:ilvl w:val="0"/>
          <w:numId w:val="14"/>
        </w:numPr>
        <w:spacing w:after="120"/>
        <w:ind w:left="714" w:hanging="357"/>
        <w:rPr>
          <w:rFonts w:asciiTheme="majorHAnsi" w:hAnsiTheme="majorHAnsi"/>
          <w:sz w:val="21"/>
          <w:szCs w:val="21"/>
        </w:rPr>
      </w:pPr>
      <w:r w:rsidRPr="00781A17">
        <w:rPr>
          <w:rFonts w:asciiTheme="majorHAnsi" w:hAnsiTheme="majorHAnsi"/>
          <w:sz w:val="21"/>
          <w:szCs w:val="21"/>
        </w:rPr>
        <w:t>organizační zajištění všech dalších potřebných a nutných zasedání hodnotící komise včetně zpracování protokolů o jednání hodnotící komise</w:t>
      </w:r>
      <w:r>
        <w:rPr>
          <w:rFonts w:asciiTheme="majorHAnsi" w:hAnsiTheme="majorHAnsi"/>
          <w:sz w:val="21"/>
          <w:szCs w:val="21"/>
        </w:rPr>
        <w:t>.</w:t>
      </w:r>
    </w:p>
    <w:p w14:paraId="7E63D54F" w14:textId="77777777" w:rsidR="00F34364" w:rsidRPr="00781A17" w:rsidRDefault="00F34364" w:rsidP="00F34364">
      <w:pPr>
        <w:pStyle w:val="Odstavecseseznamem"/>
        <w:numPr>
          <w:ilvl w:val="1"/>
          <w:numId w:val="12"/>
        </w:numPr>
        <w:tabs>
          <w:tab w:val="clear" w:pos="2149"/>
        </w:tabs>
        <w:spacing w:after="120"/>
        <w:ind w:left="284" w:hanging="284"/>
        <w:jc w:val="both"/>
        <w:rPr>
          <w:rFonts w:asciiTheme="majorHAnsi" w:hAnsiTheme="majorHAnsi"/>
          <w:b/>
          <w:bCs/>
          <w:sz w:val="21"/>
          <w:szCs w:val="21"/>
        </w:rPr>
      </w:pPr>
      <w:proofErr w:type="gramStart"/>
      <w:r w:rsidRPr="00781A17">
        <w:rPr>
          <w:rFonts w:asciiTheme="majorHAnsi" w:hAnsiTheme="majorHAnsi"/>
          <w:b/>
          <w:bCs/>
          <w:sz w:val="21"/>
          <w:szCs w:val="21"/>
        </w:rPr>
        <w:t>etapa - Činnosti</w:t>
      </w:r>
      <w:proofErr w:type="gramEnd"/>
      <w:r w:rsidRPr="00781A17">
        <w:rPr>
          <w:rFonts w:asciiTheme="majorHAnsi" w:hAnsiTheme="majorHAnsi"/>
          <w:b/>
          <w:bCs/>
          <w:sz w:val="21"/>
          <w:szCs w:val="21"/>
        </w:rPr>
        <w:t xml:space="preserve"> spojené s ukončením zadávacího postupu:</w:t>
      </w:r>
    </w:p>
    <w:p w14:paraId="56FB3EA5"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vypracování podkladů pro rozhodnutí zadavatele o výběru dodavatele,</w:t>
      </w:r>
    </w:p>
    <w:p w14:paraId="7F9F1F06"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zpracování oznámení o výběru dodavatele, zajištění doručení tohoto oznámení účastníkům, kteří nebyli ze zadávacího postupu vyloučení,</w:t>
      </w:r>
    </w:p>
    <w:p w14:paraId="16761647"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zajištění uvolnění jistoty účastníkům,</w:t>
      </w:r>
    </w:p>
    <w:p w14:paraId="4B416740"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 případě zrušení zadávacího postupu zajištění rozhodnutí zadavatele o zrušení výběrového postupu,</w:t>
      </w:r>
    </w:p>
    <w:p w14:paraId="2722EAB4"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 případě zrušení zadávacího postupu zpracování rozhodnutí o zrušení zadávacího postupu,</w:t>
      </w:r>
    </w:p>
    <w:p w14:paraId="0192B6D0"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v případě zrušení zadávacího postupu zajištění zpracování oznámení o zrušení zadávacího postupu a zajištění jeho zveřejnění nebo odeslání účastníkům,</w:t>
      </w:r>
    </w:p>
    <w:p w14:paraId="747BFE9C" w14:textId="77777777" w:rsidR="00F34364" w:rsidRPr="00781A17" w:rsidRDefault="00F34364" w:rsidP="00F34364">
      <w:pPr>
        <w:pStyle w:val="Bezmezer"/>
        <w:numPr>
          <w:ilvl w:val="0"/>
          <w:numId w:val="14"/>
        </w:numPr>
        <w:rPr>
          <w:rFonts w:asciiTheme="majorHAnsi" w:hAnsiTheme="majorHAnsi"/>
          <w:sz w:val="21"/>
          <w:szCs w:val="21"/>
        </w:rPr>
      </w:pPr>
      <w:r w:rsidRPr="00781A17">
        <w:rPr>
          <w:rFonts w:asciiTheme="majorHAnsi" w:hAnsiTheme="majorHAnsi"/>
          <w:sz w:val="21"/>
          <w:szCs w:val="21"/>
        </w:rPr>
        <w:t>sumarizace, uspořádání a předání veškeré dokumentace z průběhu zadávacího postupu zadavateli.</w:t>
      </w:r>
    </w:p>
    <w:p w14:paraId="53E39797" w14:textId="77777777" w:rsidR="00F34364" w:rsidRPr="00781A17" w:rsidRDefault="00F34364" w:rsidP="00F34364">
      <w:pPr>
        <w:tabs>
          <w:tab w:val="left" w:pos="709"/>
        </w:tabs>
        <w:spacing w:after="120"/>
        <w:jc w:val="both"/>
        <w:rPr>
          <w:rFonts w:asciiTheme="majorHAnsi" w:hAnsiTheme="majorHAnsi"/>
          <w:sz w:val="21"/>
          <w:szCs w:val="21"/>
        </w:rPr>
      </w:pPr>
    </w:p>
    <w:p w14:paraId="5D3B570B" w14:textId="77777777" w:rsidR="00F34364" w:rsidRPr="00781A17" w:rsidRDefault="00F34364" w:rsidP="00F34364">
      <w:pPr>
        <w:tabs>
          <w:tab w:val="left" w:pos="709"/>
        </w:tabs>
        <w:spacing w:after="120"/>
        <w:jc w:val="both"/>
        <w:rPr>
          <w:rFonts w:asciiTheme="majorHAnsi" w:hAnsiTheme="majorHAnsi"/>
          <w:sz w:val="21"/>
          <w:szCs w:val="21"/>
        </w:rPr>
      </w:pPr>
      <w:r w:rsidRPr="00781A17">
        <w:rPr>
          <w:rFonts w:asciiTheme="majorHAnsi" w:hAnsiTheme="majorHAnsi"/>
          <w:sz w:val="21"/>
          <w:szCs w:val="21"/>
        </w:rPr>
        <w:t xml:space="preserve">Uvedené činnosti zahrnují všechny činnosti nutné k provedení zadávacího řízení. Pokud nejsou některé činnosti zahrnuté ve výše uvedeném výčtu činností má se za to, že jsou jeho obsahem. </w:t>
      </w:r>
    </w:p>
    <w:p w14:paraId="48871D02" w14:textId="77777777" w:rsidR="00F34364" w:rsidRPr="00781A17" w:rsidRDefault="00F34364" w:rsidP="00F34364">
      <w:pPr>
        <w:spacing w:after="120"/>
        <w:jc w:val="both"/>
        <w:rPr>
          <w:rFonts w:asciiTheme="majorHAnsi" w:hAnsiTheme="majorHAnsi"/>
          <w:b/>
          <w:sz w:val="21"/>
          <w:szCs w:val="21"/>
        </w:rPr>
      </w:pPr>
      <w:r w:rsidRPr="00781A17">
        <w:rPr>
          <w:rFonts w:asciiTheme="majorHAnsi" w:hAnsiTheme="majorHAnsi"/>
          <w:b/>
          <w:sz w:val="21"/>
          <w:szCs w:val="21"/>
        </w:rPr>
        <w:t>Poskytování odborných konzultací:</w:t>
      </w:r>
    </w:p>
    <w:p w14:paraId="0270B1AB" w14:textId="77777777" w:rsidR="0068745B" w:rsidRPr="00F34364" w:rsidRDefault="00F34364" w:rsidP="00F34364">
      <w:pPr>
        <w:pStyle w:val="Bezmezer"/>
        <w:numPr>
          <w:ilvl w:val="0"/>
          <w:numId w:val="14"/>
        </w:numPr>
        <w:spacing w:after="120"/>
        <w:ind w:left="709" w:hanging="283"/>
        <w:jc w:val="both"/>
        <w:rPr>
          <w:rFonts w:asciiTheme="majorHAnsi" w:hAnsiTheme="majorHAnsi" w:cstheme="majorHAnsi"/>
          <w:sz w:val="21"/>
          <w:szCs w:val="21"/>
        </w:rPr>
      </w:pPr>
      <w:r w:rsidRPr="00F34364">
        <w:rPr>
          <w:rFonts w:asciiTheme="majorHAnsi" w:hAnsiTheme="majorHAnsi"/>
          <w:sz w:val="21"/>
          <w:szCs w:val="21"/>
        </w:rPr>
        <w:t xml:space="preserve">Poskytování odborných konzultací, včetně komentáře k ZZVZ, v platném a účinném znění.   </w:t>
      </w:r>
    </w:p>
    <w:sectPr w:rsidR="0068745B" w:rsidRPr="00F34364" w:rsidSect="00F34364">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04BB" w14:textId="77777777" w:rsidR="006B6145" w:rsidRDefault="006B6145" w:rsidP="00F34364">
      <w:r>
        <w:separator/>
      </w:r>
    </w:p>
  </w:endnote>
  <w:endnote w:type="continuationSeparator" w:id="0">
    <w:p w14:paraId="6C46F672" w14:textId="77777777" w:rsidR="006B6145" w:rsidRDefault="006B6145" w:rsidP="00F3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CB9E" w14:textId="77777777" w:rsidR="00F34364" w:rsidRDefault="00F34364">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2</w:t>
    </w:r>
    <w:r>
      <w:rPr>
        <w:rStyle w:val="slostrnky"/>
        <w:rFonts w:eastAsiaTheme="majorEastAsia"/>
      </w:rPr>
      <w:fldChar w:fldCharType="end"/>
    </w:r>
  </w:p>
  <w:p w14:paraId="40D532E8" w14:textId="77777777" w:rsidR="00F34364" w:rsidRDefault="00F343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03FB" w14:textId="77777777" w:rsidR="00F34364" w:rsidRPr="00957E5A" w:rsidRDefault="00F34364">
    <w:pPr>
      <w:pStyle w:val="Zpat"/>
      <w:framePr w:wrap="around" w:vAnchor="text" w:hAnchor="margin" w:xAlign="center" w:y="1"/>
      <w:rPr>
        <w:rStyle w:val="slostrnky"/>
        <w:rFonts w:ascii="Calibri Light" w:eastAsiaTheme="majorEastAsia" w:hAnsi="Calibri Light" w:cs="Calibri Light"/>
        <w:sz w:val="21"/>
        <w:szCs w:val="21"/>
      </w:rPr>
    </w:pPr>
    <w:r w:rsidRPr="00957E5A">
      <w:rPr>
        <w:rStyle w:val="slostrnky"/>
        <w:rFonts w:ascii="Calibri Light" w:eastAsiaTheme="majorEastAsia" w:hAnsi="Calibri Light" w:cs="Calibri Light"/>
        <w:sz w:val="21"/>
        <w:szCs w:val="21"/>
      </w:rPr>
      <w:fldChar w:fldCharType="begin"/>
    </w:r>
    <w:r w:rsidRPr="00957E5A">
      <w:rPr>
        <w:rStyle w:val="slostrnky"/>
        <w:rFonts w:ascii="Calibri Light" w:eastAsiaTheme="majorEastAsia" w:hAnsi="Calibri Light" w:cs="Calibri Light"/>
        <w:sz w:val="21"/>
        <w:szCs w:val="21"/>
      </w:rPr>
      <w:instrText xml:space="preserve">PAGE  </w:instrText>
    </w:r>
    <w:r w:rsidRPr="00957E5A">
      <w:rPr>
        <w:rStyle w:val="slostrnky"/>
        <w:rFonts w:ascii="Calibri Light" w:eastAsiaTheme="majorEastAsia" w:hAnsi="Calibri Light" w:cs="Calibri Light"/>
        <w:sz w:val="21"/>
        <w:szCs w:val="21"/>
      </w:rPr>
      <w:fldChar w:fldCharType="separate"/>
    </w:r>
    <w:r w:rsidRPr="00957E5A">
      <w:rPr>
        <w:rStyle w:val="slostrnky"/>
        <w:rFonts w:ascii="Calibri Light" w:eastAsiaTheme="majorEastAsia" w:hAnsi="Calibri Light" w:cs="Calibri Light"/>
        <w:noProof/>
        <w:sz w:val="21"/>
        <w:szCs w:val="21"/>
      </w:rPr>
      <w:t>2</w:t>
    </w:r>
    <w:r w:rsidRPr="00957E5A">
      <w:rPr>
        <w:rStyle w:val="slostrnky"/>
        <w:rFonts w:ascii="Calibri Light" w:eastAsiaTheme="majorEastAsia" w:hAnsi="Calibri Light" w:cs="Calibri Light"/>
        <w:sz w:val="21"/>
        <w:szCs w:val="21"/>
      </w:rPr>
      <w:fldChar w:fldCharType="end"/>
    </w:r>
  </w:p>
  <w:p w14:paraId="26956E7B" w14:textId="77777777" w:rsidR="00F34364" w:rsidRDefault="00F343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ABD3" w14:textId="77777777" w:rsidR="006B6145" w:rsidRDefault="006B6145" w:rsidP="00F34364">
      <w:r>
        <w:separator/>
      </w:r>
    </w:p>
  </w:footnote>
  <w:footnote w:type="continuationSeparator" w:id="0">
    <w:p w14:paraId="280F61E7" w14:textId="77777777" w:rsidR="006B6145" w:rsidRDefault="006B6145" w:rsidP="00F3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599E" w14:textId="77777777" w:rsidR="00F34364" w:rsidRPr="00F34364" w:rsidRDefault="00F34364" w:rsidP="00F343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0E0"/>
    <w:multiLevelType w:val="multilevel"/>
    <w:tmpl w:val="052A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C6A39"/>
    <w:multiLevelType w:val="hybridMultilevel"/>
    <w:tmpl w:val="5390561E"/>
    <w:lvl w:ilvl="0" w:tplc="A3186A2C">
      <w:start w:val="1"/>
      <w:numFmt w:val="bullet"/>
      <w:lvlText w:val="o"/>
      <w:lvlJc w:val="left"/>
      <w:pPr>
        <w:tabs>
          <w:tab w:val="num" w:pos="1069"/>
        </w:tabs>
        <w:ind w:left="1069" w:hanging="360"/>
      </w:pPr>
      <w:rPr>
        <w:rFonts w:ascii="Courier New" w:hAnsi="Courier New" w:hint="default"/>
      </w:rPr>
    </w:lvl>
    <w:lvl w:ilvl="1" w:tplc="34F4D950">
      <w:start w:val="1"/>
      <w:numFmt w:val="upperRoman"/>
      <w:lvlText w:val="%2."/>
      <w:lvlJc w:val="left"/>
      <w:pPr>
        <w:tabs>
          <w:tab w:val="num" w:pos="2149"/>
        </w:tabs>
        <w:ind w:left="2149" w:hanging="720"/>
      </w:pPr>
      <w:rPr>
        <w:rFonts w:cs="Times New Roman" w:hint="default"/>
      </w:rPr>
    </w:lvl>
    <w:lvl w:ilvl="2" w:tplc="3FEA5E1E">
      <w:start w:val="6"/>
      <w:numFmt w:val="decimal"/>
      <w:lvlText w:val="%3."/>
      <w:lvlJc w:val="left"/>
      <w:pPr>
        <w:tabs>
          <w:tab w:val="num" w:pos="2509"/>
        </w:tabs>
        <w:ind w:left="2509" w:hanging="360"/>
      </w:pPr>
      <w:rPr>
        <w:rFonts w:cs="Times New Roman"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C9D156C"/>
    <w:multiLevelType w:val="hybridMultilevel"/>
    <w:tmpl w:val="2AE60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CE5214"/>
    <w:multiLevelType w:val="multilevel"/>
    <w:tmpl w:val="17D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33B99"/>
    <w:multiLevelType w:val="hybridMultilevel"/>
    <w:tmpl w:val="254C1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777"/>
    <w:multiLevelType w:val="multilevel"/>
    <w:tmpl w:val="38DE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F2C07"/>
    <w:multiLevelType w:val="multilevel"/>
    <w:tmpl w:val="901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C098E"/>
    <w:multiLevelType w:val="hybridMultilevel"/>
    <w:tmpl w:val="87D0A6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E20CE5"/>
    <w:multiLevelType w:val="hybridMultilevel"/>
    <w:tmpl w:val="A5FE7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827D36"/>
    <w:multiLevelType w:val="multilevel"/>
    <w:tmpl w:val="85548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12B15"/>
    <w:multiLevelType w:val="multilevel"/>
    <w:tmpl w:val="2440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E77B04"/>
    <w:multiLevelType w:val="hybridMultilevel"/>
    <w:tmpl w:val="C9125C32"/>
    <w:lvl w:ilvl="0" w:tplc="882C6CF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E25B3D"/>
    <w:multiLevelType w:val="hybridMultilevel"/>
    <w:tmpl w:val="D52E0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F72025"/>
    <w:multiLevelType w:val="multilevel"/>
    <w:tmpl w:val="AC5E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35078"/>
    <w:multiLevelType w:val="multilevel"/>
    <w:tmpl w:val="C45CB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585279">
    <w:abstractNumId w:val="3"/>
  </w:num>
  <w:num w:numId="2" w16cid:durableId="1484272823">
    <w:abstractNumId w:val="6"/>
  </w:num>
  <w:num w:numId="3" w16cid:durableId="1079407495">
    <w:abstractNumId w:val="0"/>
  </w:num>
  <w:num w:numId="4" w16cid:durableId="607004107">
    <w:abstractNumId w:val="10"/>
  </w:num>
  <w:num w:numId="5" w16cid:durableId="307591782">
    <w:abstractNumId w:val="5"/>
  </w:num>
  <w:num w:numId="6" w16cid:durableId="1678385423">
    <w:abstractNumId w:val="14"/>
  </w:num>
  <w:num w:numId="7" w16cid:durableId="1161504903">
    <w:abstractNumId w:val="13"/>
  </w:num>
  <w:num w:numId="8" w16cid:durableId="2029716694">
    <w:abstractNumId w:val="11"/>
  </w:num>
  <w:num w:numId="9" w16cid:durableId="808321896">
    <w:abstractNumId w:val="12"/>
  </w:num>
  <w:num w:numId="10" w16cid:durableId="913121293">
    <w:abstractNumId w:val="2"/>
  </w:num>
  <w:num w:numId="11" w16cid:durableId="1688365357">
    <w:abstractNumId w:val="4"/>
  </w:num>
  <w:num w:numId="12" w16cid:durableId="959923459">
    <w:abstractNumId w:val="1"/>
  </w:num>
  <w:num w:numId="13" w16cid:durableId="1234048382">
    <w:abstractNumId w:val="8"/>
  </w:num>
  <w:num w:numId="14" w16cid:durableId="946079171">
    <w:abstractNumId w:val="7"/>
  </w:num>
  <w:num w:numId="15" w16cid:durableId="36899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4D"/>
    <w:rsid w:val="00074C36"/>
    <w:rsid w:val="00131A7C"/>
    <w:rsid w:val="002046A4"/>
    <w:rsid w:val="00223FFF"/>
    <w:rsid w:val="002A0324"/>
    <w:rsid w:val="002F370C"/>
    <w:rsid w:val="00372264"/>
    <w:rsid w:val="0037256D"/>
    <w:rsid w:val="004228DD"/>
    <w:rsid w:val="00443A24"/>
    <w:rsid w:val="004B35AC"/>
    <w:rsid w:val="0052742A"/>
    <w:rsid w:val="0068745B"/>
    <w:rsid w:val="006B6145"/>
    <w:rsid w:val="00703E4D"/>
    <w:rsid w:val="00710E16"/>
    <w:rsid w:val="00741515"/>
    <w:rsid w:val="00764DC5"/>
    <w:rsid w:val="00781A8D"/>
    <w:rsid w:val="00C005FE"/>
    <w:rsid w:val="00D74ED5"/>
    <w:rsid w:val="00E309ED"/>
    <w:rsid w:val="00E6529D"/>
    <w:rsid w:val="00EF59D9"/>
    <w:rsid w:val="00F22C9F"/>
    <w:rsid w:val="00F34364"/>
    <w:rsid w:val="00F9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5CF"/>
  <w15:chartTrackingRefBased/>
  <w15:docId w15:val="{E16D51CD-8AA9-DA4D-9A9A-1E583FF1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03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03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703E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03E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03E4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03E4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03E4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03E4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03E4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3E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03E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703E4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03E4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03E4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03E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03E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03E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03E4D"/>
    <w:rPr>
      <w:rFonts w:eastAsiaTheme="majorEastAsia" w:cstheme="majorBidi"/>
      <w:color w:val="272727" w:themeColor="text1" w:themeTint="D8"/>
    </w:rPr>
  </w:style>
  <w:style w:type="paragraph" w:styleId="Nzev">
    <w:name w:val="Title"/>
    <w:basedOn w:val="Normln"/>
    <w:next w:val="Normln"/>
    <w:link w:val="NzevChar"/>
    <w:uiPriority w:val="10"/>
    <w:qFormat/>
    <w:rsid w:val="00703E4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3E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3E4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03E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03E4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03E4D"/>
    <w:rPr>
      <w:i/>
      <w:iCs/>
      <w:color w:val="404040" w:themeColor="text1" w:themeTint="BF"/>
    </w:rPr>
  </w:style>
  <w:style w:type="paragraph" w:styleId="Odstavecseseznamem">
    <w:name w:val="List Paragraph"/>
    <w:basedOn w:val="Normln"/>
    <w:uiPriority w:val="34"/>
    <w:qFormat/>
    <w:rsid w:val="00703E4D"/>
    <w:pPr>
      <w:ind w:left="720"/>
      <w:contextualSpacing/>
    </w:pPr>
  </w:style>
  <w:style w:type="character" w:styleId="Zdraznnintenzivn">
    <w:name w:val="Intense Emphasis"/>
    <w:basedOn w:val="Standardnpsmoodstavce"/>
    <w:uiPriority w:val="21"/>
    <w:qFormat/>
    <w:rsid w:val="00703E4D"/>
    <w:rPr>
      <w:i/>
      <w:iCs/>
      <w:color w:val="2F5496" w:themeColor="accent1" w:themeShade="BF"/>
    </w:rPr>
  </w:style>
  <w:style w:type="paragraph" w:styleId="Vrazncitt">
    <w:name w:val="Intense Quote"/>
    <w:basedOn w:val="Normln"/>
    <w:next w:val="Normln"/>
    <w:link w:val="VrazncittChar"/>
    <w:uiPriority w:val="30"/>
    <w:qFormat/>
    <w:rsid w:val="00703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03E4D"/>
    <w:rPr>
      <w:i/>
      <w:iCs/>
      <w:color w:val="2F5496" w:themeColor="accent1" w:themeShade="BF"/>
    </w:rPr>
  </w:style>
  <w:style w:type="character" w:styleId="Odkazintenzivn">
    <w:name w:val="Intense Reference"/>
    <w:basedOn w:val="Standardnpsmoodstavce"/>
    <w:uiPriority w:val="32"/>
    <w:qFormat/>
    <w:rsid w:val="00703E4D"/>
    <w:rPr>
      <w:b/>
      <w:bCs/>
      <w:smallCaps/>
      <w:color w:val="2F5496" w:themeColor="accent1" w:themeShade="BF"/>
      <w:spacing w:val="5"/>
    </w:rPr>
  </w:style>
  <w:style w:type="paragraph" w:styleId="Normlnweb">
    <w:name w:val="Normal (Web)"/>
    <w:basedOn w:val="Normln"/>
    <w:uiPriority w:val="99"/>
    <w:semiHidden/>
    <w:unhideWhenUsed/>
    <w:rsid w:val="00703E4D"/>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703E4D"/>
    <w:rPr>
      <w:b/>
      <w:bCs/>
    </w:rPr>
  </w:style>
  <w:style w:type="character" w:styleId="Zdraznn">
    <w:name w:val="Emphasis"/>
    <w:basedOn w:val="Standardnpsmoodstavce"/>
    <w:uiPriority w:val="20"/>
    <w:qFormat/>
    <w:rsid w:val="00703E4D"/>
    <w:rPr>
      <w:i/>
      <w:iCs/>
    </w:rPr>
  </w:style>
  <w:style w:type="paragraph" w:customStyle="1" w:styleId="-wm-msonormal">
    <w:name w:val="-wm-msonormal"/>
    <w:basedOn w:val="Normln"/>
    <w:rsid w:val="002046A4"/>
    <w:pPr>
      <w:spacing w:before="100" w:beforeAutospacing="1" w:after="100" w:afterAutospacing="1"/>
    </w:pPr>
    <w:rPr>
      <w:rFonts w:ascii="Times New Roman" w:eastAsia="Calibri" w:hAnsi="Times New Roman" w:cs="Times New Roman"/>
      <w:lang w:eastAsia="cs-CZ"/>
    </w:rPr>
  </w:style>
  <w:style w:type="paragraph" w:styleId="Zpat">
    <w:name w:val="footer"/>
    <w:basedOn w:val="Normln"/>
    <w:link w:val="ZpatChar"/>
    <w:rsid w:val="00F34364"/>
    <w:pPr>
      <w:tabs>
        <w:tab w:val="center" w:pos="4536"/>
        <w:tab w:val="right" w:pos="9072"/>
      </w:tabs>
    </w:pPr>
    <w:rPr>
      <w:rFonts w:ascii="Times New Roman" w:eastAsia="Times New Roman" w:hAnsi="Times New Roman" w:cs="Times New Roman"/>
      <w:lang w:eastAsia="cs-CZ"/>
    </w:rPr>
  </w:style>
  <w:style w:type="character" w:customStyle="1" w:styleId="ZpatChar">
    <w:name w:val="Zápatí Char"/>
    <w:basedOn w:val="Standardnpsmoodstavce"/>
    <w:link w:val="Zpat"/>
    <w:rsid w:val="00F34364"/>
    <w:rPr>
      <w:rFonts w:ascii="Times New Roman" w:eastAsia="Times New Roman" w:hAnsi="Times New Roman" w:cs="Times New Roman"/>
      <w:lang w:eastAsia="cs-CZ"/>
    </w:rPr>
  </w:style>
  <w:style w:type="character" w:styleId="slostrnky">
    <w:name w:val="page number"/>
    <w:basedOn w:val="Standardnpsmoodstavce"/>
    <w:rsid w:val="00F34364"/>
  </w:style>
  <w:style w:type="paragraph" w:styleId="Zhlav">
    <w:name w:val="header"/>
    <w:basedOn w:val="Normln"/>
    <w:link w:val="ZhlavChar"/>
    <w:rsid w:val="00F34364"/>
    <w:pPr>
      <w:tabs>
        <w:tab w:val="center" w:pos="4536"/>
        <w:tab w:val="right" w:pos="9072"/>
      </w:tabs>
    </w:pPr>
    <w:rPr>
      <w:rFonts w:ascii="Times New Roman" w:eastAsia="Times New Roman" w:hAnsi="Times New Roman" w:cs="Times New Roman"/>
      <w:lang w:eastAsia="cs-CZ"/>
    </w:rPr>
  </w:style>
  <w:style w:type="character" w:customStyle="1" w:styleId="ZhlavChar">
    <w:name w:val="Záhlaví Char"/>
    <w:basedOn w:val="Standardnpsmoodstavce"/>
    <w:link w:val="Zhlav"/>
    <w:rsid w:val="00F34364"/>
    <w:rPr>
      <w:rFonts w:ascii="Times New Roman" w:eastAsia="Times New Roman" w:hAnsi="Times New Roman" w:cs="Times New Roman"/>
      <w:lang w:eastAsia="cs-CZ"/>
    </w:rPr>
  </w:style>
  <w:style w:type="paragraph" w:styleId="Bezmezer">
    <w:name w:val="No Spacing"/>
    <w:uiPriority w:val="99"/>
    <w:qFormat/>
    <w:rsid w:val="00F34364"/>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9072</Characters>
  <Application>Microsoft Office Word</Application>
  <DocSecurity>0</DocSecurity>
  <Lines>177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Renáta Demčáková</cp:lastModifiedBy>
  <cp:revision>8</cp:revision>
  <cp:lastPrinted>2026-03-24T13:21:00Z</cp:lastPrinted>
  <dcterms:created xsi:type="dcterms:W3CDTF">2026-02-06T14:14:00Z</dcterms:created>
  <dcterms:modified xsi:type="dcterms:W3CDTF">2026-03-24T13:21:00Z</dcterms:modified>
</cp:coreProperties>
</file>