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1C28B" w14:textId="77777777" w:rsidR="00BA13F2" w:rsidRPr="00661A60" w:rsidRDefault="00BA13F2" w:rsidP="005126A5">
      <w:r w:rsidRPr="00661A60">
        <w:rPr>
          <w:b/>
        </w:rPr>
        <w:t>K</w:t>
      </w:r>
      <w:bookmarkStart w:id="0" w:name="_Ref158108975"/>
      <w:bookmarkEnd w:id="0"/>
      <w:r w:rsidRPr="00661A60">
        <w:rPr>
          <w:b/>
        </w:rPr>
        <w:t>omerční banka, a.s.,</w:t>
      </w:r>
      <w:r w:rsidR="00FF0EB5" w:rsidRPr="00661A60">
        <w:t xml:space="preserve"> se sídlem </w:t>
      </w:r>
      <w:r w:rsidRPr="00661A60">
        <w:t>Pra</w:t>
      </w:r>
      <w:r w:rsidR="00FF0EB5" w:rsidRPr="00661A60">
        <w:t>ha</w:t>
      </w:r>
      <w:r w:rsidRPr="00661A60">
        <w:t xml:space="preserve"> 1, Na Příkopě 33 čp. 969, PSČ 114 07, IČ</w:t>
      </w:r>
      <w:r w:rsidR="00B810B3" w:rsidRPr="00661A60">
        <w:t>O</w:t>
      </w:r>
      <w:r w:rsidRPr="00661A60">
        <w:t>: 45317054, zapsaná v obchodním rejstříku vedeném Městským soudem v Praze, oddíl B, vložka 1360, (dále jen „</w:t>
      </w:r>
      <w:r w:rsidRPr="00661A60">
        <w:rPr>
          <w:b/>
          <w:bCs/>
        </w:rPr>
        <w:t>Banka</w:t>
      </w:r>
      <w:r w:rsidRPr="00661A60">
        <w:t>“)</w:t>
      </w:r>
    </w:p>
    <w:p w14:paraId="5E712F87" w14:textId="77777777" w:rsidR="00A42A3E" w:rsidRPr="00661A60" w:rsidRDefault="00A42A3E" w:rsidP="005126A5"/>
    <w:p w14:paraId="37393080" w14:textId="77777777" w:rsidR="00BA13F2" w:rsidRPr="00661A60" w:rsidRDefault="00A42A3E" w:rsidP="005126A5">
      <w:pPr>
        <w:rPr>
          <w:szCs w:val="18"/>
        </w:rPr>
      </w:pPr>
      <w:r w:rsidRPr="00661A60">
        <w:rPr>
          <w:szCs w:val="18"/>
        </w:rPr>
        <w:t>a</w:t>
      </w:r>
    </w:p>
    <w:p w14:paraId="28066BE7" w14:textId="77777777" w:rsidR="00A42A3E" w:rsidRDefault="00A42A3E" w:rsidP="005126A5"/>
    <w:p w14:paraId="338B40F6" w14:textId="77777777" w:rsidR="00B32B21" w:rsidRDefault="00B32B21" w:rsidP="00B32B21">
      <w:bookmarkStart w:id="1" w:name="hlava_1"/>
      <w:bookmarkEnd w:id="1"/>
      <w:r>
        <w:rPr>
          <w:b/>
        </w:rPr>
        <w:t>právnická osoba</w:t>
      </w:r>
      <w:r>
        <w:t xml:space="preserve"> (dále jen „</w:t>
      </w:r>
      <w:bookmarkStart w:id="2" w:name="hlava_osoba"/>
      <w:r w:rsidRPr="0040150E">
        <w:rPr>
          <w:b/>
        </w:rPr>
        <w:t>Klient</w:t>
      </w:r>
      <w:bookmarkEnd w:id="2"/>
      <w:r>
        <w:t>“)</w:t>
      </w:r>
    </w:p>
    <w:tbl>
      <w:tblPr>
        <w:tblStyle w:val="Mkatabulky"/>
        <w:tblW w:w="0" w:type="auto"/>
        <w:tblBorders>
          <w:insideH w:val="single" w:sz="4" w:space="0" w:color="808080"/>
          <w:insideV w:val="single" w:sz="4" w:space="0" w:color="808080"/>
        </w:tblBorders>
        <w:tblLook w:val="01E0" w:firstRow="1" w:lastRow="1" w:firstColumn="1" w:lastColumn="1" w:noHBand="0" w:noVBand="0"/>
      </w:tblPr>
      <w:tblGrid>
        <w:gridCol w:w="2766"/>
        <w:gridCol w:w="6863"/>
      </w:tblGrid>
      <w:tr w:rsidR="00B32B21" w14:paraId="475F80BB" w14:textId="77777777" w:rsidTr="0087202E">
        <w:tc>
          <w:tcPr>
            <w:tcW w:w="2802" w:type="dxa"/>
            <w:vAlign w:val="center"/>
          </w:tcPr>
          <w:p w14:paraId="0047E53A" w14:textId="77777777" w:rsidR="00B32B21" w:rsidRDefault="00B32B21" w:rsidP="0087202E">
            <w:pPr>
              <w:spacing w:before="40" w:after="40"/>
            </w:pPr>
            <w:r>
              <w:rPr>
                <w:sz w:val="16"/>
              </w:rPr>
              <w:t>Obchodní firma* / název**:</w:t>
            </w:r>
          </w:p>
        </w:tc>
        <w:tc>
          <w:tcPr>
            <w:tcW w:w="6977" w:type="dxa"/>
            <w:vAlign w:val="center"/>
          </w:tcPr>
          <w:p w14:paraId="61319CF6" w14:textId="77777777" w:rsidR="00B32B21" w:rsidRPr="0095284A" w:rsidRDefault="00B32B21" w:rsidP="0087202E">
            <w:pPr>
              <w:spacing w:before="40" w:after="40"/>
              <w:rPr>
                <w:b/>
              </w:rPr>
            </w:pPr>
            <w:bookmarkStart w:id="3" w:name="jmpo"/>
            <w:bookmarkEnd w:id="3"/>
            <w:r>
              <w:rPr>
                <w:b/>
              </w:rPr>
              <w:t>Ústav přístrojové techniky AV ČR, v. v. i.</w:t>
            </w:r>
          </w:p>
        </w:tc>
      </w:tr>
      <w:tr w:rsidR="00B32B21" w14:paraId="497D6E88" w14:textId="77777777" w:rsidTr="0087202E">
        <w:tc>
          <w:tcPr>
            <w:tcW w:w="2802" w:type="dxa"/>
            <w:vAlign w:val="center"/>
          </w:tcPr>
          <w:p w14:paraId="35DA555C" w14:textId="77777777" w:rsidR="00B32B21" w:rsidRDefault="00B32B21" w:rsidP="0087202E">
            <w:pPr>
              <w:spacing w:before="40" w:after="40"/>
            </w:pPr>
            <w:r>
              <w:rPr>
                <w:sz w:val="16"/>
              </w:rPr>
              <w:t>Sídlo:</w:t>
            </w:r>
          </w:p>
        </w:tc>
        <w:tc>
          <w:tcPr>
            <w:tcW w:w="6977" w:type="dxa"/>
            <w:vAlign w:val="center"/>
          </w:tcPr>
          <w:p w14:paraId="14097295" w14:textId="77777777" w:rsidR="00B32B21" w:rsidRPr="0095284A" w:rsidRDefault="00B32B21" w:rsidP="0087202E">
            <w:pPr>
              <w:spacing w:before="40" w:after="40"/>
              <w:rPr>
                <w:b/>
              </w:rPr>
            </w:pPr>
            <w:bookmarkStart w:id="4" w:name="sidlopo1"/>
            <w:bookmarkEnd w:id="4"/>
            <w:r>
              <w:rPr>
                <w:b/>
              </w:rPr>
              <w:t>Královopolská 62/147, 612 00 Brno - Královo Pole</w:t>
            </w:r>
          </w:p>
        </w:tc>
      </w:tr>
      <w:tr w:rsidR="00B32B21" w14:paraId="25E9B351" w14:textId="77777777" w:rsidTr="0087202E">
        <w:tc>
          <w:tcPr>
            <w:tcW w:w="2802" w:type="dxa"/>
            <w:vAlign w:val="center"/>
          </w:tcPr>
          <w:p w14:paraId="6C063E48" w14:textId="77777777" w:rsidR="00B32B21" w:rsidRDefault="00B32B21" w:rsidP="0087202E">
            <w:pPr>
              <w:spacing w:before="40" w:after="40"/>
            </w:pPr>
            <w:r>
              <w:rPr>
                <w:sz w:val="16"/>
              </w:rPr>
              <w:t>IČO:</w:t>
            </w:r>
          </w:p>
        </w:tc>
        <w:tc>
          <w:tcPr>
            <w:tcW w:w="6977" w:type="dxa"/>
            <w:vAlign w:val="center"/>
          </w:tcPr>
          <w:p w14:paraId="4690390E" w14:textId="77777777" w:rsidR="00B32B21" w:rsidRPr="0095284A" w:rsidRDefault="00B32B21" w:rsidP="0087202E">
            <w:pPr>
              <w:spacing w:before="40" w:after="40"/>
              <w:rPr>
                <w:b/>
              </w:rPr>
            </w:pPr>
            <w:bookmarkStart w:id="5" w:name="icopo"/>
            <w:bookmarkEnd w:id="5"/>
            <w:r>
              <w:rPr>
                <w:b/>
              </w:rPr>
              <w:t>68081731</w:t>
            </w:r>
          </w:p>
        </w:tc>
      </w:tr>
      <w:tr w:rsidR="00B32B21" w14:paraId="18954A0D" w14:textId="77777777" w:rsidTr="0087202E">
        <w:tc>
          <w:tcPr>
            <w:tcW w:w="2802" w:type="dxa"/>
            <w:vAlign w:val="center"/>
          </w:tcPr>
          <w:p w14:paraId="1190ED1D" w14:textId="77777777" w:rsidR="00B32B21" w:rsidRDefault="00B32B21" w:rsidP="0087202E">
            <w:pPr>
              <w:spacing w:before="40" w:after="40"/>
            </w:pPr>
            <w:r>
              <w:rPr>
                <w:sz w:val="16"/>
              </w:rPr>
              <w:t>Zápis v obchodním rejstříku či jiné evidenci, včetně spisové značky:</w:t>
            </w:r>
          </w:p>
        </w:tc>
        <w:tc>
          <w:tcPr>
            <w:tcW w:w="6977" w:type="dxa"/>
            <w:vAlign w:val="center"/>
          </w:tcPr>
          <w:p w14:paraId="7FE53E55" w14:textId="77777777" w:rsidR="00B32B21" w:rsidRPr="0095284A" w:rsidRDefault="00B32B21" w:rsidP="0087202E">
            <w:pPr>
              <w:spacing w:before="40" w:after="40"/>
              <w:rPr>
                <w:b/>
              </w:rPr>
            </w:pPr>
            <w:bookmarkStart w:id="6" w:name="spis"/>
            <w:bookmarkEnd w:id="6"/>
            <w:r>
              <w:rPr>
                <w:b/>
              </w:rPr>
              <w:t>Společenská sml./zakladatelská list., číslo: ÚZL ÚPT ze dne 22.4.2024, Česká republika, Akademie věd české republiky</w:t>
            </w:r>
          </w:p>
        </w:tc>
      </w:tr>
    </w:tbl>
    <w:p w14:paraId="3246A246" w14:textId="77777777" w:rsidR="00B32B21" w:rsidRDefault="00B32B21" w:rsidP="00B32B21">
      <w:pPr>
        <w:rPr>
          <w:sz w:val="16"/>
        </w:rPr>
      </w:pPr>
      <w:r>
        <w:rPr>
          <w:sz w:val="16"/>
        </w:rPr>
        <w:t>*je-li Klient zapsán v obchodním rejstříku; **není-li Klient zapsán v obchodním rejstříku</w:t>
      </w:r>
    </w:p>
    <w:p w14:paraId="5ACC3131" w14:textId="77777777" w:rsidR="00B32B21" w:rsidRDefault="00B32B21" w:rsidP="00B32B21"/>
    <w:p w14:paraId="196648C0" w14:textId="77777777" w:rsidR="00BA13F2" w:rsidRPr="00661A60" w:rsidRDefault="00BA13F2" w:rsidP="005126A5">
      <w:r w:rsidRPr="00661A60">
        <w:t xml:space="preserve">uzavírají </w:t>
      </w:r>
      <w:r w:rsidR="00474AD2" w:rsidRPr="0038447A">
        <w:rPr>
          <w:rFonts w:cs="Arial"/>
          <w:szCs w:val="18"/>
        </w:rPr>
        <w:t xml:space="preserve">podle ustanovení </w:t>
      </w:r>
      <w:r w:rsidR="002552EA">
        <w:rPr>
          <w:rFonts w:cs="Arial"/>
          <w:bCs/>
          <w:szCs w:val="18"/>
        </w:rPr>
        <w:t xml:space="preserve">zákona </w:t>
      </w:r>
      <w:r w:rsidR="00474AD2" w:rsidRPr="0038447A">
        <w:rPr>
          <w:rFonts w:cs="Arial"/>
          <w:bCs/>
          <w:szCs w:val="18"/>
        </w:rPr>
        <w:t xml:space="preserve">č. 89/2012 Sb., občanského zákoníku, ve znění pozdějších předpisů upravujících komisionářskou smlouvu </w:t>
      </w:r>
      <w:r w:rsidR="00474AD2" w:rsidRPr="0038447A">
        <w:rPr>
          <w:rFonts w:cs="Arial"/>
          <w:szCs w:val="18"/>
        </w:rPr>
        <w:t xml:space="preserve">tuto Smlouvu o obstarávání koupě nebo prodeje </w:t>
      </w:r>
      <w:r w:rsidR="00474AD2">
        <w:rPr>
          <w:rFonts w:cs="Arial"/>
          <w:szCs w:val="18"/>
        </w:rPr>
        <w:t xml:space="preserve">investičních nástrojů </w:t>
      </w:r>
      <w:r w:rsidR="00474AD2" w:rsidRPr="0038447A">
        <w:rPr>
          <w:rFonts w:cs="Arial"/>
          <w:szCs w:val="18"/>
        </w:rPr>
        <w:t>(dále jen „</w:t>
      </w:r>
      <w:r w:rsidR="00474AD2" w:rsidRPr="0038447A">
        <w:rPr>
          <w:rFonts w:cs="Arial"/>
          <w:b/>
          <w:szCs w:val="18"/>
        </w:rPr>
        <w:t>Smlouva</w:t>
      </w:r>
      <w:r w:rsidR="00474AD2" w:rsidRPr="0038447A">
        <w:rPr>
          <w:rFonts w:cs="Arial"/>
          <w:szCs w:val="18"/>
        </w:rPr>
        <w:t>“).</w:t>
      </w:r>
    </w:p>
    <w:p w14:paraId="04019A56" w14:textId="77777777" w:rsidR="00BA13F2" w:rsidRPr="00661A60" w:rsidRDefault="00BA13F2" w:rsidP="005126A5"/>
    <w:p w14:paraId="4C8A8BA4" w14:textId="77777777" w:rsidR="00410ECA" w:rsidRPr="00661A60" w:rsidRDefault="00410ECA" w:rsidP="005126A5">
      <w:pPr>
        <w:pStyle w:val="Nadpis1"/>
      </w:pPr>
      <w:r w:rsidRPr="00661A60">
        <w:t>Úvodní ustanovení</w:t>
      </w:r>
    </w:p>
    <w:p w14:paraId="7A1BE778" w14:textId="77777777" w:rsidR="00410ECA" w:rsidRPr="00661A60" w:rsidRDefault="00474AD2" w:rsidP="005126A5">
      <w:pPr>
        <w:pStyle w:val="Nadpis2"/>
      </w:pPr>
      <w:r w:rsidRPr="000F69B8">
        <w:rPr>
          <w:rFonts w:cs="Arial"/>
          <w:szCs w:val="18"/>
          <w:lang w:val="cs-CZ"/>
        </w:rPr>
        <w:t>Banka se zavazuje vlastním jménem a na účet Klienta podle Pokynů obstarávat koupi nebo prodej Nástrojů (dále jen „</w:t>
      </w:r>
      <w:r w:rsidRPr="00474AD2">
        <w:rPr>
          <w:rFonts w:cs="Arial"/>
          <w:b/>
          <w:bCs/>
          <w:szCs w:val="18"/>
          <w:lang w:val="cs-CZ"/>
        </w:rPr>
        <w:t>Obchod</w:t>
      </w:r>
      <w:r w:rsidRPr="000F69B8">
        <w:rPr>
          <w:rFonts w:cs="Arial"/>
          <w:szCs w:val="18"/>
          <w:lang w:val="cs-CZ"/>
        </w:rPr>
        <w:t>“), včetně Vypořádání obchodu, zajišťovat Správu nebo jiné záležitosti dle této Smlouvy</w:t>
      </w:r>
      <w:r w:rsidR="00410ECA" w:rsidRPr="00661A60">
        <w:t>.</w:t>
      </w:r>
    </w:p>
    <w:p w14:paraId="1B8BDF15" w14:textId="77777777" w:rsidR="00410ECA" w:rsidRPr="00661A60" w:rsidRDefault="002552EA" w:rsidP="005126A5">
      <w:pPr>
        <w:pStyle w:val="Nadpis2"/>
      </w:pPr>
      <w:r w:rsidRPr="00E14BF0">
        <w:t>Pojmy s velkým počátečním písmenem mají v této Smlouvě význam stanovený v tomto dokumentu nebo v Podmínkách nebo ve Všeobecných podmínkách.</w:t>
      </w:r>
    </w:p>
    <w:p w14:paraId="5FF9DF1A" w14:textId="77777777" w:rsidR="00410ECA" w:rsidRPr="00661A60" w:rsidRDefault="00474AD2" w:rsidP="005126A5">
      <w:pPr>
        <w:pStyle w:val="Nadpis2"/>
      </w:pPr>
      <w:r w:rsidRPr="000F69B8">
        <w:rPr>
          <w:rFonts w:cs="Arial"/>
          <w:szCs w:val="18"/>
          <w:lang w:val="cs-CZ"/>
        </w:rPr>
        <w:t>Klient se zavazuje platit Bance za její služby poskytnuté dle této Smlouvy Odměnu</w:t>
      </w:r>
      <w:r w:rsidR="00410ECA" w:rsidRPr="00661A60">
        <w:t>.</w:t>
      </w:r>
    </w:p>
    <w:p w14:paraId="0FF0C450" w14:textId="163F35E9" w:rsidR="00474AD2" w:rsidRPr="00661A60" w:rsidRDefault="00474AD2" w:rsidP="005126A5">
      <w:pPr>
        <w:pStyle w:val="Nadpis2"/>
      </w:pPr>
      <w:r w:rsidRPr="000F69B8">
        <w:rPr>
          <w:rFonts w:cs="Arial"/>
          <w:szCs w:val="18"/>
          <w:lang w:val="cs-CZ"/>
        </w:rPr>
        <w:t xml:space="preserve">Klient si při sjednání Smlouvy nebo kdykoliv poté prostřednictvím změny Přílohy č. </w:t>
      </w:r>
      <w:r w:rsidRPr="000F69B8">
        <w:rPr>
          <w:b/>
          <w:szCs w:val="18"/>
          <w:lang w:val="cs-CZ"/>
        </w:rPr>
        <w:fldChar w:fldCharType="begin"/>
      </w:r>
      <w:r w:rsidRPr="000F69B8">
        <w:rPr>
          <w:szCs w:val="18"/>
          <w:lang w:val="cs-CZ"/>
        </w:rPr>
        <w:instrText xml:space="preserve"> REF _Ref400960159 \r \h  \* MERGEFORMAT </w:instrText>
      </w:r>
      <w:r w:rsidRPr="000F69B8">
        <w:rPr>
          <w:b/>
          <w:szCs w:val="18"/>
          <w:lang w:val="cs-CZ"/>
        </w:rPr>
      </w:r>
      <w:r w:rsidRPr="000F69B8">
        <w:rPr>
          <w:b/>
          <w:szCs w:val="18"/>
          <w:lang w:val="cs-CZ"/>
        </w:rPr>
        <w:fldChar w:fldCharType="separate"/>
      </w:r>
      <w:r w:rsidR="00D93B71">
        <w:rPr>
          <w:szCs w:val="18"/>
          <w:lang w:val="cs-CZ"/>
        </w:rPr>
        <w:t>1</w:t>
      </w:r>
      <w:r w:rsidRPr="000F69B8">
        <w:rPr>
          <w:b/>
          <w:szCs w:val="18"/>
          <w:lang w:val="cs-CZ"/>
        </w:rPr>
        <w:fldChar w:fldCharType="end"/>
      </w:r>
      <w:r w:rsidRPr="000F69B8">
        <w:rPr>
          <w:rFonts w:cs="Arial"/>
          <w:szCs w:val="18"/>
          <w:lang w:val="cs-CZ"/>
        </w:rPr>
        <w:t xml:space="preserve"> zvolí Služby, které hodlá využívat</w:t>
      </w:r>
      <w:r w:rsidRPr="00661A60">
        <w:t>.</w:t>
      </w:r>
    </w:p>
    <w:p w14:paraId="22A7D8B4" w14:textId="77777777" w:rsidR="00410ECA" w:rsidRPr="00661A60" w:rsidRDefault="00474AD2" w:rsidP="005126A5">
      <w:pPr>
        <w:pStyle w:val="Nadpis1"/>
      </w:pPr>
      <w:r w:rsidRPr="000F69B8">
        <w:rPr>
          <w:rFonts w:cs="Arial"/>
          <w:lang w:val="cs-CZ"/>
        </w:rPr>
        <w:t>Trvání a zánik smlouvy</w:t>
      </w:r>
    </w:p>
    <w:p w14:paraId="1C31283E" w14:textId="77777777" w:rsidR="00410ECA" w:rsidRPr="00661A60" w:rsidRDefault="00474AD2" w:rsidP="005126A5">
      <w:pPr>
        <w:pStyle w:val="Nadpis2"/>
      </w:pPr>
      <w:r w:rsidRPr="000F69B8">
        <w:rPr>
          <w:rFonts w:cs="Arial"/>
          <w:szCs w:val="18"/>
          <w:lang w:val="cs-CZ"/>
        </w:rPr>
        <w:t>Tato Smlouva se uzavírá na dobu neurčitou</w:t>
      </w:r>
      <w:r>
        <w:rPr>
          <w:rFonts w:cs="Arial"/>
          <w:szCs w:val="18"/>
          <w:lang w:val="cs-CZ"/>
        </w:rPr>
        <w:t>.</w:t>
      </w:r>
    </w:p>
    <w:p w14:paraId="24E18481" w14:textId="77777777" w:rsidR="002552EA" w:rsidRPr="00661A60" w:rsidRDefault="002552EA" w:rsidP="002552EA">
      <w:pPr>
        <w:pStyle w:val="Nadpis2"/>
      </w:pPr>
      <w:r w:rsidRPr="00E14BF0">
        <w:t>Každá ze smluvních stran je oprávněna tuto Smlouvu vypovědět či jinak ukončit v případech a způsobem stanoveným v příslušných ustanoveních Podmínek</w:t>
      </w:r>
      <w:r>
        <w:rPr>
          <w:rFonts w:cs="Arial"/>
          <w:szCs w:val="18"/>
          <w:lang w:val="cs-CZ"/>
        </w:rPr>
        <w:t>.</w:t>
      </w:r>
    </w:p>
    <w:p w14:paraId="7AA50241" w14:textId="77777777" w:rsidR="00410ECA" w:rsidRPr="00661A60" w:rsidRDefault="00410ECA" w:rsidP="005126A5">
      <w:pPr>
        <w:pStyle w:val="Nadpis1"/>
      </w:pPr>
      <w:r w:rsidRPr="00661A60">
        <w:t>Přílohy</w:t>
      </w:r>
      <w:r w:rsidR="002552EA">
        <w:rPr>
          <w:lang w:val="cs-CZ"/>
        </w:rPr>
        <w:t>, součásti a ostatní dokumenty</w:t>
      </w:r>
    </w:p>
    <w:p w14:paraId="27547D10" w14:textId="77777777" w:rsidR="00410ECA" w:rsidRPr="00661A60" w:rsidRDefault="00410ECA" w:rsidP="005126A5">
      <w:pPr>
        <w:pStyle w:val="Nadpis2"/>
        <w:spacing w:after="60"/>
      </w:pPr>
      <w:bookmarkStart w:id="7" w:name="_Ref177896785"/>
      <w:r w:rsidRPr="00661A60">
        <w:t>Přílohy této Smlouvy tvoří:</w:t>
      </w:r>
      <w:bookmarkEnd w:id="7"/>
    </w:p>
    <w:p w14:paraId="6F4E959E" w14:textId="77777777" w:rsidR="00410ECA" w:rsidRPr="00661A60" w:rsidRDefault="00474AD2" w:rsidP="00F464FC">
      <w:pPr>
        <w:widowControl w:val="0"/>
        <w:numPr>
          <w:ilvl w:val="0"/>
          <w:numId w:val="2"/>
        </w:numPr>
        <w:tabs>
          <w:tab w:val="clear" w:pos="928"/>
          <w:tab w:val="num" w:pos="851"/>
        </w:tabs>
        <w:spacing w:after="60"/>
        <w:ind w:left="850" w:hanging="425"/>
      </w:pPr>
      <w:bookmarkStart w:id="8" w:name="_Ref400960159"/>
      <w:bookmarkStart w:id="9" w:name="_Ref180728558"/>
      <w:r w:rsidRPr="000F69B8">
        <w:rPr>
          <w:rFonts w:cs="Arial"/>
          <w:szCs w:val="18"/>
        </w:rPr>
        <w:t>Služby sjednané mezi Bankou a Klientem</w:t>
      </w:r>
      <w:bookmarkEnd w:id="8"/>
      <w:r w:rsidR="00410ECA" w:rsidRPr="00661A60">
        <w:t>;</w:t>
      </w:r>
      <w:bookmarkEnd w:id="9"/>
    </w:p>
    <w:p w14:paraId="34CEC131" w14:textId="77777777" w:rsidR="00410ECA" w:rsidRPr="00661A60" w:rsidRDefault="00474AD2" w:rsidP="00F464FC">
      <w:pPr>
        <w:numPr>
          <w:ilvl w:val="0"/>
          <w:numId w:val="2"/>
        </w:numPr>
        <w:tabs>
          <w:tab w:val="clear" w:pos="928"/>
          <w:tab w:val="num" w:pos="851"/>
        </w:tabs>
        <w:spacing w:after="60"/>
        <w:ind w:left="851" w:hanging="425"/>
      </w:pPr>
      <w:bookmarkStart w:id="10" w:name="_Ref181065350"/>
      <w:r w:rsidRPr="000F69B8">
        <w:rPr>
          <w:rFonts w:cs="Arial"/>
          <w:szCs w:val="18"/>
        </w:rPr>
        <w:t>Kontaktní údaje Banky</w:t>
      </w:r>
      <w:r w:rsidR="00410ECA" w:rsidRPr="00661A60">
        <w:t>;</w:t>
      </w:r>
      <w:bookmarkEnd w:id="10"/>
    </w:p>
    <w:p w14:paraId="7AD632C3" w14:textId="77777777" w:rsidR="00410ECA" w:rsidRPr="00661A60" w:rsidRDefault="00474AD2" w:rsidP="00F464FC">
      <w:pPr>
        <w:numPr>
          <w:ilvl w:val="0"/>
          <w:numId w:val="2"/>
        </w:numPr>
        <w:tabs>
          <w:tab w:val="clear" w:pos="928"/>
          <w:tab w:val="num" w:pos="851"/>
        </w:tabs>
        <w:spacing w:after="60"/>
        <w:ind w:left="851" w:hanging="425"/>
      </w:pPr>
      <w:bookmarkStart w:id="11" w:name="_Ref180727507"/>
      <w:r w:rsidRPr="000F69B8">
        <w:rPr>
          <w:rFonts w:cs="Arial"/>
          <w:szCs w:val="18"/>
        </w:rPr>
        <w:t>Kontaktní údaje Klienta</w:t>
      </w:r>
      <w:r w:rsidR="00410ECA" w:rsidRPr="00661A60">
        <w:t>;</w:t>
      </w:r>
      <w:bookmarkEnd w:id="11"/>
    </w:p>
    <w:p w14:paraId="22318077" w14:textId="23919255" w:rsidR="00410ECA" w:rsidRPr="00661A60" w:rsidRDefault="00474AD2" w:rsidP="00B32B21">
      <w:pPr>
        <w:numPr>
          <w:ilvl w:val="0"/>
          <w:numId w:val="2"/>
        </w:numPr>
        <w:tabs>
          <w:tab w:val="clear" w:pos="928"/>
          <w:tab w:val="num" w:pos="851"/>
        </w:tabs>
        <w:spacing w:after="60"/>
        <w:ind w:left="851" w:hanging="425"/>
      </w:pPr>
      <w:bookmarkStart w:id="12" w:name="_Ref181065422"/>
      <w:bookmarkStart w:id="13" w:name="_Ref180728980"/>
      <w:bookmarkStart w:id="14" w:name="_Ref179740792"/>
      <w:r w:rsidRPr="000F69B8">
        <w:rPr>
          <w:rFonts w:cs="Arial"/>
          <w:szCs w:val="18"/>
        </w:rPr>
        <w:t>Podpisový vzor</w:t>
      </w:r>
      <w:bookmarkStart w:id="15" w:name="moneco_1"/>
      <w:bookmarkEnd w:id="12"/>
      <w:bookmarkEnd w:id="13"/>
      <w:bookmarkEnd w:id="14"/>
      <w:r w:rsidR="00B32B21">
        <w:t>.</w:t>
      </w:r>
    </w:p>
    <w:p w14:paraId="601A191D" w14:textId="77777777" w:rsidR="00410ECA" w:rsidRPr="00474AD2" w:rsidRDefault="00474AD2" w:rsidP="005126A5">
      <w:pPr>
        <w:pStyle w:val="Nadpis2"/>
        <w:spacing w:after="60"/>
      </w:pPr>
      <w:bookmarkStart w:id="16" w:name="_Ref125715559"/>
      <w:bookmarkEnd w:id="15"/>
      <w:r w:rsidRPr="00474AD2">
        <w:rPr>
          <w:rFonts w:cs="Arial"/>
          <w:szCs w:val="18"/>
          <w:lang w:val="cs-CZ"/>
        </w:rPr>
        <w:t>V souladu s § 1751 občanského zákoníku jsou nedílnou součástí této Smlouvy též:</w:t>
      </w:r>
      <w:bookmarkEnd w:id="16"/>
    </w:p>
    <w:p w14:paraId="64425D1A" w14:textId="77777777" w:rsidR="00474AD2" w:rsidRPr="00474AD2" w:rsidRDefault="00474AD2" w:rsidP="006D6C7C">
      <w:pPr>
        <w:pStyle w:val="Nadpis2"/>
        <w:numPr>
          <w:ilvl w:val="0"/>
          <w:numId w:val="7"/>
        </w:numPr>
        <w:tabs>
          <w:tab w:val="num" w:pos="360"/>
        </w:tabs>
        <w:spacing w:after="60"/>
        <w:ind w:left="851" w:hanging="425"/>
        <w:rPr>
          <w:rFonts w:cs="Arial"/>
          <w:szCs w:val="18"/>
          <w:lang w:val="cs-CZ"/>
        </w:rPr>
      </w:pPr>
      <w:r w:rsidRPr="00474AD2">
        <w:rPr>
          <w:rFonts w:cs="Arial"/>
          <w:szCs w:val="18"/>
          <w:lang w:val="cs-CZ"/>
        </w:rPr>
        <w:t>Všeobecné podmínky;</w:t>
      </w:r>
    </w:p>
    <w:p w14:paraId="60FA9A0A" w14:textId="77777777" w:rsidR="00474AD2" w:rsidRPr="00474AD2" w:rsidRDefault="00474AD2" w:rsidP="006D6C7C">
      <w:pPr>
        <w:pStyle w:val="Nadpis2"/>
        <w:numPr>
          <w:ilvl w:val="0"/>
          <w:numId w:val="7"/>
        </w:numPr>
        <w:tabs>
          <w:tab w:val="num" w:pos="360"/>
        </w:tabs>
        <w:spacing w:after="60"/>
        <w:ind w:left="851" w:hanging="425"/>
        <w:rPr>
          <w:rFonts w:cs="Arial"/>
          <w:szCs w:val="18"/>
          <w:lang w:val="cs-CZ"/>
        </w:rPr>
      </w:pPr>
      <w:r w:rsidRPr="00474AD2">
        <w:rPr>
          <w:rFonts w:cs="Arial"/>
          <w:szCs w:val="18"/>
          <w:lang w:val="cs-CZ"/>
        </w:rPr>
        <w:t>Podmínky;</w:t>
      </w:r>
    </w:p>
    <w:p w14:paraId="08F46B8B" w14:textId="77777777" w:rsidR="00474AD2" w:rsidRPr="00474AD2" w:rsidRDefault="00474AD2" w:rsidP="006D6C7C">
      <w:pPr>
        <w:pStyle w:val="Nadpis2"/>
        <w:numPr>
          <w:ilvl w:val="0"/>
          <w:numId w:val="7"/>
        </w:numPr>
        <w:tabs>
          <w:tab w:val="num" w:pos="360"/>
        </w:tabs>
        <w:spacing w:after="60"/>
        <w:ind w:left="851" w:hanging="425"/>
        <w:rPr>
          <w:rFonts w:cs="Arial"/>
          <w:szCs w:val="18"/>
          <w:lang w:val="cs-CZ"/>
        </w:rPr>
      </w:pPr>
      <w:r w:rsidRPr="00474AD2">
        <w:rPr>
          <w:rFonts w:cs="Arial"/>
          <w:szCs w:val="18"/>
          <w:lang w:val="cs-CZ"/>
        </w:rPr>
        <w:t>Sazebník (v rozsahu relevantním k této Smlouvě);</w:t>
      </w:r>
    </w:p>
    <w:p w14:paraId="23CE7B48" w14:textId="77777777" w:rsidR="00474AD2" w:rsidRPr="00474AD2" w:rsidRDefault="00474AD2" w:rsidP="006D6C7C">
      <w:pPr>
        <w:pStyle w:val="Nadpis2"/>
        <w:numPr>
          <w:ilvl w:val="0"/>
          <w:numId w:val="7"/>
        </w:numPr>
        <w:tabs>
          <w:tab w:val="num" w:pos="360"/>
        </w:tabs>
        <w:spacing w:after="60"/>
        <w:ind w:left="851" w:hanging="425"/>
        <w:rPr>
          <w:rFonts w:cs="Arial"/>
          <w:szCs w:val="18"/>
          <w:lang w:val="cs-CZ"/>
        </w:rPr>
      </w:pPr>
      <w:r w:rsidRPr="00474AD2">
        <w:rPr>
          <w:rFonts w:cs="Arial"/>
          <w:szCs w:val="18"/>
          <w:lang w:val="cs-CZ"/>
        </w:rPr>
        <w:t>Informace o investičních službách a nástrojích;</w:t>
      </w:r>
    </w:p>
    <w:p w14:paraId="435C2D15" w14:textId="77777777" w:rsidR="00474AD2" w:rsidRPr="00474AD2" w:rsidRDefault="002552EA" w:rsidP="006D6C7C">
      <w:pPr>
        <w:pStyle w:val="Nadpis2"/>
        <w:numPr>
          <w:ilvl w:val="0"/>
          <w:numId w:val="7"/>
        </w:numPr>
        <w:tabs>
          <w:tab w:val="num" w:pos="360"/>
        </w:tabs>
        <w:spacing w:after="60"/>
        <w:ind w:left="851" w:hanging="425"/>
        <w:rPr>
          <w:rFonts w:cs="Arial"/>
          <w:szCs w:val="18"/>
          <w:lang w:val="cs-CZ"/>
        </w:rPr>
      </w:pPr>
      <w:r w:rsidRPr="00E14BF0">
        <w:t>Oznámení o provádění platebního styku (v rozsahu relevantním k této Smlouvě).</w:t>
      </w:r>
    </w:p>
    <w:p w14:paraId="423A53BF" w14:textId="12FE76EF" w:rsidR="00474AD2" w:rsidRDefault="002552EA" w:rsidP="002552EA">
      <w:pPr>
        <w:pStyle w:val="Nadpis2"/>
        <w:spacing w:after="60"/>
        <w:rPr>
          <w:rFonts w:cs="Arial"/>
          <w:szCs w:val="18"/>
          <w:lang w:val="cs-CZ"/>
        </w:rPr>
      </w:pPr>
      <w:r w:rsidRPr="00E14BF0">
        <w:t xml:space="preserve">Podpisem této Smlouvy Klient potvrzuje, že se v dostatečném předstihu před podpisem této Smlouvy seznámil s obsahem a významem všech dokumentů uvedených v odst. </w:t>
      </w:r>
      <w:r w:rsidRPr="00E14BF0">
        <w:fldChar w:fldCharType="begin"/>
      </w:r>
      <w:r w:rsidRPr="00E14BF0">
        <w:instrText xml:space="preserve"> REF _Ref177896785 \r \h  \* MERGEFORMAT </w:instrText>
      </w:r>
      <w:r w:rsidRPr="00E14BF0">
        <w:fldChar w:fldCharType="separate"/>
      </w:r>
      <w:r w:rsidR="00D93B71">
        <w:t>3.1</w:t>
      </w:r>
      <w:r w:rsidRPr="00E14BF0">
        <w:fldChar w:fldCharType="end"/>
      </w:r>
      <w:bookmarkStart w:id="17" w:name="_Hlk118301621"/>
      <w:r w:rsidRPr="00E14BF0">
        <w:t xml:space="preserve"> a odst.</w:t>
      </w:r>
      <w:r w:rsidR="00916BB1">
        <w:rPr>
          <w:lang w:val="cs-CZ"/>
        </w:rPr>
        <w:t xml:space="preserve"> </w:t>
      </w:r>
      <w:r w:rsidR="00916BB1">
        <w:rPr>
          <w:lang w:val="cs-CZ"/>
        </w:rPr>
        <w:fldChar w:fldCharType="begin"/>
      </w:r>
      <w:r w:rsidR="00916BB1">
        <w:rPr>
          <w:lang w:val="cs-CZ"/>
        </w:rPr>
        <w:instrText xml:space="preserve"> REF _Ref125715559 \r \h </w:instrText>
      </w:r>
      <w:r w:rsidR="00916BB1">
        <w:rPr>
          <w:lang w:val="cs-CZ"/>
        </w:rPr>
      </w:r>
      <w:r w:rsidR="00916BB1">
        <w:rPr>
          <w:lang w:val="cs-CZ"/>
        </w:rPr>
        <w:fldChar w:fldCharType="separate"/>
      </w:r>
      <w:r w:rsidR="00D93B71">
        <w:rPr>
          <w:lang w:val="cs-CZ"/>
        </w:rPr>
        <w:t>3.2</w:t>
      </w:r>
      <w:r w:rsidR="00916BB1">
        <w:rPr>
          <w:lang w:val="cs-CZ"/>
        </w:rPr>
        <w:fldChar w:fldCharType="end"/>
      </w:r>
      <w:r w:rsidRPr="00E14BF0">
        <w:t xml:space="preserve">, </w:t>
      </w:r>
      <w:bookmarkEnd w:id="17"/>
      <w:r w:rsidRPr="00E14BF0">
        <w:t>jakož i dalších dokumentů, na které se ve Všeobecných podmínkách odkazuje, a výslovně s jejich zněním souhlasí</w:t>
      </w:r>
      <w:r w:rsidR="00474AD2" w:rsidRPr="00474AD2">
        <w:rPr>
          <w:rFonts w:cs="Arial"/>
          <w:szCs w:val="18"/>
          <w:lang w:val="cs-CZ"/>
        </w:rPr>
        <w:t>.</w:t>
      </w:r>
    </w:p>
    <w:p w14:paraId="52ABAD6A" w14:textId="6F486114" w:rsidR="002552EA" w:rsidRDefault="002552EA" w:rsidP="002552EA">
      <w:pPr>
        <w:pStyle w:val="Nadpis2"/>
        <w:spacing w:after="60"/>
      </w:pPr>
      <w:r w:rsidRPr="00E14BF0">
        <w:t>Všechny dokumenty uvedené v odst. </w:t>
      </w:r>
      <w:r w:rsidRPr="00E14BF0">
        <w:fldChar w:fldCharType="begin"/>
      </w:r>
      <w:r w:rsidRPr="00E14BF0">
        <w:instrText xml:space="preserve"> REF _Ref177896785 \r \h  \* MERGEFORMAT </w:instrText>
      </w:r>
      <w:r w:rsidRPr="00E14BF0">
        <w:fldChar w:fldCharType="separate"/>
      </w:r>
      <w:r w:rsidR="00D93B71">
        <w:t>3.1</w:t>
      </w:r>
      <w:r w:rsidRPr="00E14BF0">
        <w:fldChar w:fldCharType="end"/>
      </w:r>
      <w:r w:rsidRPr="00E14BF0">
        <w:t xml:space="preserve"> a odst. </w:t>
      </w:r>
      <w:r w:rsidR="00916BB1">
        <w:fldChar w:fldCharType="begin"/>
      </w:r>
      <w:r w:rsidR="00916BB1">
        <w:instrText xml:space="preserve"> REF _Ref125715559 \r \h </w:instrText>
      </w:r>
      <w:r w:rsidR="00916BB1">
        <w:fldChar w:fldCharType="separate"/>
      </w:r>
      <w:r w:rsidR="00D93B71">
        <w:t>3.2</w:t>
      </w:r>
      <w:r w:rsidR="00916BB1">
        <w:fldChar w:fldCharType="end"/>
      </w:r>
      <w:r w:rsidRPr="00E14BF0">
        <w:t xml:space="preserve"> spolu se zněním této Smlouvy jsou</w:t>
      </w:r>
      <w:r>
        <w:t>:</w:t>
      </w:r>
    </w:p>
    <w:p w14:paraId="1F288BFC" w14:textId="77777777" w:rsidR="002552EA" w:rsidRPr="002552EA" w:rsidRDefault="002552EA" w:rsidP="002552EA">
      <w:pPr>
        <w:pStyle w:val="Nadpis3"/>
        <w:spacing w:after="60"/>
      </w:pPr>
      <w:r w:rsidRPr="002552EA">
        <w:t xml:space="preserve">Elektronickému klientovi v dostatečném předstihu před podpisem Smlouvy zaslány v elektronické podobě na Kontaktní e-mailovou adresu; </w:t>
      </w:r>
    </w:p>
    <w:p w14:paraId="718EF92B" w14:textId="77777777" w:rsidR="002552EA" w:rsidRPr="002552EA" w:rsidRDefault="002552EA" w:rsidP="002552EA">
      <w:pPr>
        <w:pStyle w:val="Nadpis3"/>
      </w:pPr>
      <w:r w:rsidRPr="002552EA">
        <w:t>Klientovi, který není Elektronickým klientem, v dostatečném předstihu před podpisem Smlouvy předány v listinné podobě</w:t>
      </w:r>
      <w:bookmarkStart w:id="18" w:name="_Hlk120121803"/>
      <w:r w:rsidRPr="002552EA">
        <w:t>.</w:t>
      </w:r>
      <w:bookmarkEnd w:id="18"/>
    </w:p>
    <w:p w14:paraId="14F9D06C" w14:textId="77777777" w:rsidR="002552EA" w:rsidRDefault="002552EA" w:rsidP="002552EA">
      <w:pPr>
        <w:pStyle w:val="Nadpis2"/>
      </w:pPr>
      <w:r w:rsidRPr="00E14BF0">
        <w:t xml:space="preserve">Klient, který byl zařazen do kategorie neprofesionálních zákazníků, </w:t>
      </w:r>
      <w:r>
        <w:t xml:space="preserve">tímto prohlašuje, že </w:t>
      </w:r>
      <w:r w:rsidRPr="00E14BF0">
        <w:t xml:space="preserve">byl Bankou v dostatečném předstihu před uzavřením této Smlouvy informován o možnosti poskytování všech písemností, předsmluvních </w:t>
      </w:r>
      <w:r w:rsidRPr="00E14BF0">
        <w:lastRenderedPageBreak/>
        <w:t>a</w:t>
      </w:r>
      <w:r>
        <w:rPr>
          <w:lang w:val="cs-CZ"/>
        </w:rPr>
        <w:t> </w:t>
      </w:r>
      <w:r w:rsidRPr="00E14BF0">
        <w:t>jiných informací vztahujících se k této Smlouvě, jejím přílohám a součástem a ostatním relevantním dokumentům v listinné podobě</w:t>
      </w:r>
      <w:r>
        <w:t>.</w:t>
      </w:r>
    </w:p>
    <w:p w14:paraId="4EBD84FE" w14:textId="5F9EFB75" w:rsidR="002552EA" w:rsidRPr="00E14BF0" w:rsidRDefault="002552EA" w:rsidP="002552EA">
      <w:pPr>
        <w:pStyle w:val="Nadpis2"/>
      </w:pPr>
      <w:r w:rsidRPr="00E14BF0">
        <w:t xml:space="preserve">Klient potvrzuje, že je mu známo, že je oprávněn si jakékoliv dokumenty </w:t>
      </w:r>
      <w:r>
        <w:t>uvedené v </w:t>
      </w:r>
      <w:r w:rsidRPr="00E14BF0">
        <w:t>odst. </w:t>
      </w:r>
      <w:r w:rsidRPr="00E14BF0">
        <w:fldChar w:fldCharType="begin"/>
      </w:r>
      <w:r w:rsidRPr="00E14BF0">
        <w:instrText xml:space="preserve"> REF _Ref177896785 \r \h  \* MERGEFORMAT </w:instrText>
      </w:r>
      <w:r w:rsidRPr="00E14BF0">
        <w:fldChar w:fldCharType="separate"/>
      </w:r>
      <w:r w:rsidR="00D93B71">
        <w:t>3.1</w:t>
      </w:r>
      <w:r w:rsidRPr="00E14BF0">
        <w:fldChar w:fldCharType="end"/>
      </w:r>
      <w:r w:rsidRPr="00E14BF0">
        <w:t xml:space="preserve"> a odst. </w:t>
      </w:r>
      <w:r w:rsidR="00916BB1">
        <w:fldChar w:fldCharType="begin"/>
      </w:r>
      <w:r w:rsidR="00916BB1">
        <w:instrText xml:space="preserve"> REF _Ref125715559 \r \h </w:instrText>
      </w:r>
      <w:r w:rsidR="00916BB1">
        <w:fldChar w:fldCharType="separate"/>
      </w:r>
      <w:r w:rsidR="00D93B71">
        <w:t>3.2</w:t>
      </w:r>
      <w:r w:rsidR="00916BB1">
        <w:fldChar w:fldCharType="end"/>
      </w:r>
      <w:r>
        <w:t xml:space="preserve"> </w:t>
      </w:r>
      <w:r w:rsidRPr="00E14BF0">
        <w:t>bezúplatně vyžádat na kterémkoliv obchodním místě kdykoliv v listinné podobě a Banka mu je poskytne; při opakovaných žádostech a kopiích listin je Banka oprávněna požadovat po Klientovi přiměřené náklady.</w:t>
      </w:r>
    </w:p>
    <w:p w14:paraId="57A3E23B" w14:textId="77777777" w:rsidR="002552EA" w:rsidRDefault="002552EA" w:rsidP="002552EA">
      <w:pPr>
        <w:pStyle w:val="Nadpis2"/>
      </w:pPr>
      <w:r w:rsidRPr="00E14BF0">
        <w:t>Klient tímto prohlašuje, že ho Banka upozornila na ustanovení, která odkazují na shora uvedené dokumenty stojící mimo vlastní text Smlouvy a jejich význam mu byl dostatečně vysvětlen. Klient bere na vědomí, že je vázán nejen Smlouvou, ale i těmito dokumenty a bere na vědomí, že nesplnění povinností či podmínek uvedených v těchto dokumentech může mít stejné právní následky jako nesplnění povinností a podmínek vyplývajících ze Smlouvy.</w:t>
      </w:r>
    </w:p>
    <w:p w14:paraId="452AE918" w14:textId="77777777" w:rsidR="002552EA" w:rsidRDefault="002552EA" w:rsidP="002552EA">
      <w:pPr>
        <w:pStyle w:val="Nadpis2"/>
      </w:pPr>
      <w:r w:rsidRPr="00E14BF0">
        <w:t>Klient bere na vědomí, že Banka je oprávněna nakládat s údaji podléhajícími bankovnímu tajemství způsobem dle článku 28 Všeobecných podmínek. Je-li Klient právnickou osobou, uděluje souhlas dle článku 28.3 Všeobecných podmínek.</w:t>
      </w:r>
      <w:r w:rsidRPr="00E14BF0">
        <w:rPr>
          <w:color w:val="FF0000"/>
        </w:rPr>
        <w:t xml:space="preserve"> </w:t>
      </w:r>
      <w:r w:rsidRPr="00E14BF0">
        <w:t>Klient souhlasí s tím, že Banka je oprávněna započítávat své pohledávky za Klientem v rozsahu a</w:t>
      </w:r>
      <w:r>
        <w:rPr>
          <w:lang w:val="cs-CZ"/>
        </w:rPr>
        <w:t> </w:t>
      </w:r>
      <w:r w:rsidRPr="00E14BF0">
        <w:t>způsobem stanoveným ve Všeobecných podmínkách.</w:t>
      </w:r>
    </w:p>
    <w:p w14:paraId="1A3D1AA2" w14:textId="77777777" w:rsidR="002552EA" w:rsidRDefault="002552EA" w:rsidP="002552EA">
      <w:pPr>
        <w:pStyle w:val="Nadpis2"/>
        <w:rPr>
          <w:lang w:val="cs-CZ"/>
        </w:rPr>
      </w:pPr>
      <w:r w:rsidRPr="00E14BF0">
        <w:t>Pro Klienta, který je podnikatelem, se na smluvní vztah založený na základě Smlouvy vylučuje uplatnění ustanovení § 1799 a § 1800 občanského zákoníku o adhezních smlouvách</w:t>
      </w:r>
      <w:r>
        <w:rPr>
          <w:lang w:val="cs-CZ"/>
        </w:rPr>
        <w:t>.</w:t>
      </w:r>
    </w:p>
    <w:p w14:paraId="35337552" w14:textId="1199B0A8" w:rsidR="002552EA" w:rsidRDefault="002552EA" w:rsidP="002552EA">
      <w:pPr>
        <w:pStyle w:val="Nadpis2"/>
      </w:pPr>
      <w:r w:rsidRPr="00E14BF0">
        <w:t xml:space="preserve">Klient je povinen aktualizovat údaje v Příloze č. </w:t>
      </w:r>
      <w:r w:rsidRPr="00E14BF0">
        <w:rPr>
          <w:b/>
        </w:rPr>
        <w:fldChar w:fldCharType="begin"/>
      </w:r>
      <w:r w:rsidRPr="00E14BF0">
        <w:instrText xml:space="preserve"> REF _Ref181065350 \r \h  \* MERGEFORMAT </w:instrText>
      </w:r>
      <w:r w:rsidRPr="00E14BF0">
        <w:rPr>
          <w:b/>
        </w:rPr>
      </w:r>
      <w:r w:rsidRPr="00E14BF0">
        <w:rPr>
          <w:b/>
        </w:rPr>
        <w:fldChar w:fldCharType="separate"/>
      </w:r>
      <w:r w:rsidR="00D93B71">
        <w:t>2</w:t>
      </w:r>
      <w:r w:rsidRPr="00E14BF0">
        <w:rPr>
          <w:b/>
        </w:rPr>
        <w:fldChar w:fldCharType="end"/>
      </w:r>
      <w:r w:rsidRPr="00E14BF0">
        <w:t xml:space="preserve"> a Příloze č.</w:t>
      </w:r>
      <w:r w:rsidR="00C5007F">
        <w:rPr>
          <w:lang w:val="cs-CZ"/>
        </w:rPr>
        <w:t xml:space="preserve"> </w:t>
      </w:r>
      <w:r w:rsidR="00C5007F">
        <w:rPr>
          <w:lang w:val="cs-CZ"/>
        </w:rPr>
        <w:fldChar w:fldCharType="begin"/>
      </w:r>
      <w:r w:rsidR="00C5007F">
        <w:rPr>
          <w:lang w:val="cs-CZ"/>
        </w:rPr>
        <w:instrText xml:space="preserve"> REF _Ref181065422 \r \h </w:instrText>
      </w:r>
      <w:r w:rsidR="00C5007F">
        <w:rPr>
          <w:lang w:val="cs-CZ"/>
        </w:rPr>
      </w:r>
      <w:r w:rsidR="00C5007F">
        <w:rPr>
          <w:lang w:val="cs-CZ"/>
        </w:rPr>
        <w:fldChar w:fldCharType="separate"/>
      </w:r>
      <w:r w:rsidR="00D93B71">
        <w:rPr>
          <w:lang w:val="cs-CZ"/>
        </w:rPr>
        <w:t>4</w:t>
      </w:r>
      <w:r w:rsidR="00C5007F">
        <w:rPr>
          <w:lang w:val="cs-CZ"/>
        </w:rPr>
        <w:fldChar w:fldCharType="end"/>
      </w:r>
      <w:r w:rsidRPr="00E14BF0">
        <w:t xml:space="preserve">. Změna Přílohy č. </w:t>
      </w:r>
      <w:r w:rsidRPr="00E14BF0">
        <w:rPr>
          <w:b/>
        </w:rPr>
        <w:fldChar w:fldCharType="begin"/>
      </w:r>
      <w:r w:rsidRPr="00E14BF0">
        <w:instrText xml:space="preserve"> REF _Ref181065350 \r \h  \* MERGEFORMAT </w:instrText>
      </w:r>
      <w:r w:rsidRPr="00E14BF0">
        <w:rPr>
          <w:b/>
        </w:rPr>
      </w:r>
      <w:r w:rsidRPr="00E14BF0">
        <w:rPr>
          <w:b/>
        </w:rPr>
        <w:fldChar w:fldCharType="separate"/>
      </w:r>
      <w:r w:rsidR="00D93B71">
        <w:t>2</w:t>
      </w:r>
      <w:r w:rsidRPr="00E14BF0">
        <w:rPr>
          <w:b/>
        </w:rPr>
        <w:fldChar w:fldCharType="end"/>
      </w:r>
      <w:r w:rsidRPr="00E14BF0">
        <w:t xml:space="preserve"> je vůči Bance účinná doručením aktualizované Přílohy č. </w:t>
      </w:r>
      <w:r w:rsidRPr="00E14BF0">
        <w:rPr>
          <w:b/>
        </w:rPr>
        <w:fldChar w:fldCharType="begin"/>
      </w:r>
      <w:r w:rsidRPr="00E14BF0">
        <w:instrText xml:space="preserve"> REF _Ref181065350 \r \h  \* MERGEFORMAT </w:instrText>
      </w:r>
      <w:r w:rsidRPr="00E14BF0">
        <w:rPr>
          <w:b/>
        </w:rPr>
      </w:r>
      <w:r w:rsidRPr="00E14BF0">
        <w:rPr>
          <w:b/>
        </w:rPr>
        <w:fldChar w:fldCharType="separate"/>
      </w:r>
      <w:r w:rsidR="00D93B71">
        <w:t>2</w:t>
      </w:r>
      <w:r w:rsidRPr="00E14BF0">
        <w:rPr>
          <w:b/>
        </w:rPr>
        <w:fldChar w:fldCharType="end"/>
      </w:r>
      <w:r w:rsidRPr="00E14BF0">
        <w:t xml:space="preserve"> Bance. Změna Přílohy č. </w:t>
      </w:r>
      <w:r w:rsidR="00C5007F">
        <w:fldChar w:fldCharType="begin"/>
      </w:r>
      <w:r w:rsidR="00C5007F">
        <w:instrText xml:space="preserve"> REF _Ref181065422 \r \h </w:instrText>
      </w:r>
      <w:r w:rsidR="00C5007F">
        <w:fldChar w:fldCharType="separate"/>
      </w:r>
      <w:r w:rsidR="00D93B71">
        <w:t>4</w:t>
      </w:r>
      <w:r w:rsidR="00C5007F">
        <w:fldChar w:fldCharType="end"/>
      </w:r>
      <w:r w:rsidR="00C5007F">
        <w:rPr>
          <w:lang w:val="cs-CZ"/>
        </w:rPr>
        <w:t xml:space="preserve"> </w:t>
      </w:r>
      <w:r w:rsidRPr="00E14BF0">
        <w:t>je vůči Bance účinná první Obchodní den následující po Obchodním dni, kdy jí byl Klientem doručen nový Popisový vzor formou doporučeného dopisu, osobně nebo kurýrní službou.</w:t>
      </w:r>
    </w:p>
    <w:p w14:paraId="122894AC" w14:textId="77777777" w:rsidR="002552EA" w:rsidRPr="00E14BF0" w:rsidRDefault="002552EA" w:rsidP="002552EA">
      <w:pPr>
        <w:pStyle w:val="Nadpis2"/>
        <w:rPr>
          <w:b/>
        </w:rPr>
      </w:pPr>
      <w:r w:rsidRPr="00E14BF0">
        <w:t>Klient souhlasí s tím, že Banka je oprávněna změnit údaje v Podmínkách, v Sazebníku, v Informacích o</w:t>
      </w:r>
      <w:r>
        <w:rPr>
          <w:lang w:val="cs-CZ"/>
        </w:rPr>
        <w:t> </w:t>
      </w:r>
      <w:r w:rsidRPr="00E14BF0">
        <w:t xml:space="preserve">investičních službách a </w:t>
      </w:r>
      <w:r>
        <w:t>n</w:t>
      </w:r>
      <w:r w:rsidRPr="00E14BF0">
        <w:t>ástrojích a Všeobecných podmínkách způsobem uvedeným ve Všeobecných podmínkách, případně v Podmínkách.</w:t>
      </w:r>
    </w:p>
    <w:p w14:paraId="39DC41B5" w14:textId="3165B349" w:rsidR="002552EA" w:rsidRPr="00E14BF0" w:rsidRDefault="002552EA" w:rsidP="002552EA">
      <w:pPr>
        <w:pStyle w:val="Nadpis2"/>
        <w:spacing w:after="60"/>
        <w:rPr>
          <w:b/>
        </w:rPr>
      </w:pPr>
      <w:r w:rsidRPr="00E14BF0">
        <w:t>Klient souhlasí s tím, že Banka je oprávněna změnit údaje v Příloze č.</w:t>
      </w:r>
      <w:r w:rsidR="00C5007F">
        <w:rPr>
          <w:lang w:val="cs-CZ"/>
        </w:rPr>
        <w:t xml:space="preserve"> </w:t>
      </w:r>
      <w:r w:rsidR="00C5007F">
        <w:rPr>
          <w:lang w:val="cs-CZ"/>
        </w:rPr>
        <w:fldChar w:fldCharType="begin"/>
      </w:r>
      <w:r w:rsidR="00C5007F">
        <w:rPr>
          <w:lang w:val="cs-CZ"/>
        </w:rPr>
        <w:instrText xml:space="preserve"> REF _Ref181065350 \r \h </w:instrText>
      </w:r>
      <w:r w:rsidR="00C5007F">
        <w:rPr>
          <w:lang w:val="cs-CZ"/>
        </w:rPr>
      </w:r>
      <w:r w:rsidR="00C5007F">
        <w:rPr>
          <w:lang w:val="cs-CZ"/>
        </w:rPr>
        <w:fldChar w:fldCharType="separate"/>
      </w:r>
      <w:r w:rsidR="00D93B71">
        <w:rPr>
          <w:lang w:val="cs-CZ"/>
        </w:rPr>
        <w:t>2</w:t>
      </w:r>
      <w:r w:rsidR="00C5007F">
        <w:rPr>
          <w:lang w:val="cs-CZ"/>
        </w:rPr>
        <w:fldChar w:fldCharType="end"/>
      </w:r>
      <w:r w:rsidR="00C5007F">
        <w:rPr>
          <w:lang w:val="cs-CZ"/>
        </w:rPr>
        <w:t>.</w:t>
      </w:r>
      <w:r w:rsidRPr="00E14BF0">
        <w:rPr>
          <w:b/>
        </w:rPr>
        <w:t xml:space="preserve"> </w:t>
      </w:r>
      <w:r w:rsidRPr="00E14BF0">
        <w:t xml:space="preserve">Změna Přílohy č. </w:t>
      </w:r>
      <w:r w:rsidR="00C5007F">
        <w:fldChar w:fldCharType="begin"/>
      </w:r>
      <w:r w:rsidR="00C5007F">
        <w:instrText xml:space="preserve"> REF _Ref181065350 \r \h </w:instrText>
      </w:r>
      <w:r w:rsidR="00C5007F">
        <w:fldChar w:fldCharType="separate"/>
      </w:r>
      <w:r w:rsidR="00D93B71">
        <w:t>2</w:t>
      </w:r>
      <w:r w:rsidR="00C5007F">
        <w:fldChar w:fldCharType="end"/>
      </w:r>
      <w:r w:rsidR="00C5007F">
        <w:rPr>
          <w:lang w:val="cs-CZ"/>
        </w:rPr>
        <w:t xml:space="preserve"> </w:t>
      </w:r>
      <w:r w:rsidRPr="00E14BF0">
        <w:t>je vůči Klientovi účinná od třetího nebo později Bankou stanoveného Obchodního dne po dni doručení informace o změně příslušné části Smlouvy Bankou Klientovi:</w:t>
      </w:r>
    </w:p>
    <w:p w14:paraId="51D19192" w14:textId="77777777" w:rsidR="002552EA" w:rsidRPr="00E14BF0" w:rsidRDefault="002552EA" w:rsidP="002552EA">
      <w:pPr>
        <w:pStyle w:val="Nadpis3"/>
        <w:spacing w:after="60"/>
        <w:rPr>
          <w:rFonts w:cs="Arial"/>
          <w:b/>
          <w:bCs/>
        </w:rPr>
      </w:pPr>
      <w:r w:rsidRPr="00E14BF0">
        <w:rPr>
          <w:rFonts w:cs="Arial"/>
        </w:rPr>
        <w:t>elektronicky na jeho Kontaktní e-mailovou adresu, a to v případě Elektronického klienta; nebo</w:t>
      </w:r>
    </w:p>
    <w:p w14:paraId="6FCA7F8E" w14:textId="77777777" w:rsidR="002552EA" w:rsidRPr="00F9728F" w:rsidRDefault="002552EA" w:rsidP="002552EA">
      <w:pPr>
        <w:pStyle w:val="Nadpis3"/>
        <w:rPr>
          <w:rFonts w:cs="Arial"/>
          <w:b/>
          <w:bCs/>
        </w:rPr>
      </w:pPr>
      <w:r w:rsidRPr="00E14BF0">
        <w:rPr>
          <w:rFonts w:cs="Arial"/>
        </w:rPr>
        <w:t>písemně na jeho Kontaktní adresu, a to v případě, že Klient není Elektronickým klientem</w:t>
      </w:r>
      <w:r w:rsidRPr="00F9728F">
        <w:rPr>
          <w:rFonts w:cs="Arial"/>
        </w:rPr>
        <w:t>.</w:t>
      </w:r>
    </w:p>
    <w:p w14:paraId="468C4B8B" w14:textId="77777777" w:rsidR="002552EA" w:rsidRDefault="002552EA" w:rsidP="002552EA">
      <w:pPr>
        <w:pStyle w:val="Nadpis2"/>
      </w:pPr>
      <w:r w:rsidRPr="00E14BF0">
        <w:t>V případě, že Banka sníží výši poplatků uvedených v Sazebníku, byť jen v konkrétním případě nebo na omezenou dobu, Klient souhlasí s tím, že Banka není povinna o této změně informovat Klienta způsobem uvedeným v tomto článku s tím, že změna je účinná dnem, kdy Banka realizuje Pokyn za takto sníženou výši poplatků.</w:t>
      </w:r>
    </w:p>
    <w:p w14:paraId="641550C5" w14:textId="77777777" w:rsidR="00916BB1" w:rsidRPr="00E14BF0" w:rsidRDefault="00916BB1" w:rsidP="00916BB1">
      <w:pPr>
        <w:pStyle w:val="Nadpis1"/>
        <w:rPr>
          <w:rFonts w:cs="Arial"/>
          <w:lang w:val="cs-CZ"/>
        </w:rPr>
      </w:pPr>
      <w:r w:rsidRPr="00E14BF0">
        <w:rPr>
          <w:rFonts w:cs="Arial"/>
          <w:lang w:val="cs-CZ"/>
        </w:rPr>
        <w:t>Prohlášení a souhlasy klienta</w:t>
      </w:r>
    </w:p>
    <w:p w14:paraId="20C89326" w14:textId="77777777" w:rsidR="00916BB1" w:rsidRPr="00E14BF0" w:rsidRDefault="00916BB1" w:rsidP="00916BB1">
      <w:pPr>
        <w:pStyle w:val="Nadpis2"/>
      </w:pPr>
      <w:r w:rsidRPr="00E14BF0">
        <w:t>Klient zmocňuje Banku, aby za Klienta činila všechna právní jednání nezbytná k plnění této Smlouvy. Klient se zavazuje, že vystaví Bance na její žádost bez zbytečného odkladu další písemnou plnou moc, vyžaduje-li to plnění Smlouvy a nepostačuje-li plná moc podle předchozí věty.</w:t>
      </w:r>
    </w:p>
    <w:p w14:paraId="49C1DCC4" w14:textId="77777777" w:rsidR="00916BB1" w:rsidRPr="00E14BF0" w:rsidRDefault="00916BB1" w:rsidP="00916BB1">
      <w:pPr>
        <w:pStyle w:val="Nadpis2"/>
      </w:pPr>
      <w:r w:rsidRPr="00E14BF0">
        <w:t>Klient prohlašuje, že: si je vědom své odpovědnosti pro případ nepravdivosti, neúplnosti či nepřesnosti svých prohlášení uvedených v příslušných ustanoveních Smlouvy a Podmínek a zavazuje se Banku bezodkladně písemně vyrozumět, pokud by kterékoliv z těchto prohlášení nebylo nadále ve všech ohledech pravdivé, úplné a přesné.</w:t>
      </w:r>
    </w:p>
    <w:p w14:paraId="2D3F1B61" w14:textId="77777777" w:rsidR="00916BB1" w:rsidRPr="00E14BF0" w:rsidRDefault="00916BB1" w:rsidP="00916BB1">
      <w:pPr>
        <w:pStyle w:val="Nadpis2"/>
      </w:pPr>
      <w:r w:rsidRPr="00E14BF0">
        <w:t>Klient prohlašuje, že informace, které poskytnul Bance při uzavírání Smlouvy, jsou ve všech ohledech pravdivé, úplné a přesné a zavazuje se Banku bezodkladně písemně vyrozumět o jejich změně.</w:t>
      </w:r>
    </w:p>
    <w:p w14:paraId="690A1959" w14:textId="77777777" w:rsidR="00916BB1" w:rsidRPr="00E14BF0" w:rsidRDefault="00916BB1" w:rsidP="00916BB1">
      <w:pPr>
        <w:pStyle w:val="Nadpis2"/>
      </w:pPr>
      <w:r w:rsidRPr="00E14BF0">
        <w:t>Elektronický klient potvrzuje, že má pravidelný přístup na internet.</w:t>
      </w:r>
    </w:p>
    <w:p w14:paraId="437B659D" w14:textId="77777777" w:rsidR="00916BB1" w:rsidRPr="00E14BF0" w:rsidRDefault="00916BB1" w:rsidP="00916BB1">
      <w:pPr>
        <w:pStyle w:val="Nadpis2"/>
        <w:spacing w:after="60"/>
        <w:rPr>
          <w:b/>
        </w:rPr>
      </w:pPr>
      <w:r w:rsidRPr="00E14BF0">
        <w:t>Klient potvrzuje, že před uzavřením Smlouvy:</w:t>
      </w:r>
    </w:p>
    <w:p w14:paraId="6FF622A8" w14:textId="77777777" w:rsidR="00916BB1" w:rsidRPr="00E14BF0" w:rsidRDefault="00916BB1" w:rsidP="00916BB1">
      <w:pPr>
        <w:pStyle w:val="Nadpis3"/>
        <w:spacing w:after="60"/>
        <w:rPr>
          <w:rFonts w:cs="Arial"/>
          <w:b/>
        </w:rPr>
      </w:pPr>
      <w:r w:rsidRPr="00E14BF0">
        <w:rPr>
          <w:rFonts w:cs="Arial"/>
        </w:rPr>
        <w:t xml:space="preserve">se s dostatečným předstihem seznámil s Podmínkami a pravidly pro provádění Pokynů, které Podmínky obsahují, a Informacemi o investičních službách a </w:t>
      </w:r>
      <w:r>
        <w:rPr>
          <w:rFonts w:cs="Arial"/>
        </w:rPr>
        <w:t>n</w:t>
      </w:r>
      <w:r w:rsidRPr="00E14BF0">
        <w:rPr>
          <w:rFonts w:cs="Arial"/>
        </w:rPr>
        <w:t>ástrojích, se kterými souhlasí, a tyto informace, zejména informace o rizicích spojených s poskytovanými Službami, považuje za dostatečné pro učinění svého rozhodnutí tuto Smlouvu uzavřít;</w:t>
      </w:r>
    </w:p>
    <w:p w14:paraId="509C7314" w14:textId="77777777" w:rsidR="00916BB1" w:rsidRPr="00E14BF0" w:rsidRDefault="00916BB1" w:rsidP="00916BB1">
      <w:pPr>
        <w:pStyle w:val="Nadpis3"/>
        <w:spacing w:after="60"/>
        <w:rPr>
          <w:rFonts w:cs="Arial"/>
          <w:b/>
        </w:rPr>
      </w:pPr>
      <w:r w:rsidRPr="00E14BF0">
        <w:rPr>
          <w:rFonts w:cs="Arial"/>
        </w:rPr>
        <w:t>se seznámil s jejím obsahem včetně všech jejích součástí a příloh, pečlivě si tuto Smlouvu včetně všech jejích součástí a příloh prostudoval, rozumí jejím podmínkám a nemá vůči ní žádné výhrady;</w:t>
      </w:r>
    </w:p>
    <w:p w14:paraId="1CF79D69" w14:textId="77777777" w:rsidR="00916BB1" w:rsidRPr="00E14BF0" w:rsidRDefault="00916BB1" w:rsidP="00916BB1">
      <w:pPr>
        <w:pStyle w:val="Nadpis3"/>
        <w:rPr>
          <w:rFonts w:cs="Arial"/>
          <w:b/>
        </w:rPr>
      </w:pPr>
      <w:r w:rsidRPr="00E14BF0">
        <w:rPr>
          <w:rFonts w:cs="Arial"/>
        </w:rPr>
        <w:t>se seznámil se Sazebníkem</w:t>
      </w:r>
      <w:r>
        <w:rPr>
          <w:rFonts w:cs="Arial"/>
        </w:rPr>
        <w:t>.</w:t>
      </w:r>
    </w:p>
    <w:p w14:paraId="625E8222" w14:textId="77777777" w:rsidR="00410ECA" w:rsidRPr="00661A60" w:rsidRDefault="00410ECA" w:rsidP="005126A5">
      <w:pPr>
        <w:pStyle w:val="Nadpis1"/>
      </w:pPr>
      <w:r w:rsidRPr="00661A60">
        <w:t>Závěrečná ustanovení</w:t>
      </w:r>
    </w:p>
    <w:p w14:paraId="5EB34D02" w14:textId="77777777" w:rsidR="00C475D2" w:rsidRPr="00661A60" w:rsidRDefault="00410ECA" w:rsidP="005126A5">
      <w:pPr>
        <w:pStyle w:val="Nadpis2"/>
      </w:pPr>
      <w:r w:rsidRPr="00661A60">
        <w:t>Smlouva se řídí právním řádem České republiky.</w:t>
      </w:r>
    </w:p>
    <w:p w14:paraId="1F9E2CD5" w14:textId="77777777" w:rsidR="00410ECA" w:rsidRPr="00661A60" w:rsidRDefault="00410ECA" w:rsidP="005126A5">
      <w:pPr>
        <w:pStyle w:val="Nadpis2"/>
      </w:pPr>
      <w:r w:rsidRPr="00661A60">
        <w:t>Smlouva je vyhotovena ve dvou vyhotoveních, z nichž každá ze stran obdrží jedno vyhotovení.</w:t>
      </w:r>
    </w:p>
    <w:p w14:paraId="749B9AC8" w14:textId="569671E2" w:rsidR="00303F56" w:rsidRPr="00FF4724" w:rsidRDefault="00303F56" w:rsidP="00303F56">
      <w:pPr>
        <w:pStyle w:val="Nadpis2"/>
        <w:rPr>
          <w:color w:val="000000" w:themeColor="text1"/>
          <w:highlight w:val="black"/>
          <w:lang w:val="cs-CZ"/>
        </w:rPr>
      </w:pPr>
      <w:r>
        <w:rPr>
          <w:lang w:val="cs-CZ"/>
        </w:rPr>
        <w:lastRenderedPageBreak/>
        <w:t>Klient se zavazuje odeslat tuto smlouvu (včetně všech dokumentů, které tvoří její součást) k uveřejnění v registru smluv bez prodlení po jejím uzavření. Za tím účelem zašle Banka Klientovi znění této smlouvy (včetně všech dokumentů, které tvoří její součást) na e-mailovou adresu</w:t>
      </w:r>
      <w:r>
        <w:t xml:space="preserve"> </w:t>
      </w:r>
      <w:hyperlink r:id="rId8" w:history="1">
        <w:r w:rsidRPr="00FF4724">
          <w:rPr>
            <w:rStyle w:val="Hypertextovodkaz"/>
            <w:color w:val="000000" w:themeColor="text1"/>
            <w:highlight w:val="black"/>
            <w:lang w:val="cs-CZ"/>
          </w:rPr>
          <w:t>secretary@isibrno.cz</w:t>
        </w:r>
      </w:hyperlink>
      <w:r w:rsidRPr="00FF4724">
        <w:rPr>
          <w:color w:val="000000" w:themeColor="text1"/>
          <w:highlight w:val="black"/>
        </w:rPr>
        <w:t>.</w:t>
      </w:r>
    </w:p>
    <w:p w14:paraId="0727995F" w14:textId="77777777" w:rsidR="00916BB1" w:rsidRPr="00661A60" w:rsidRDefault="00916BB1" w:rsidP="00916BB1">
      <w:pPr>
        <w:pStyle w:val="Nadpis2"/>
      </w:pPr>
      <w:r w:rsidRPr="00E14BF0">
        <w:t>Měnit obsah Smlouvy je možné pouze písemnou formou</w:t>
      </w:r>
      <w:r w:rsidRPr="00661A60">
        <w:t>.</w:t>
      </w:r>
    </w:p>
    <w:p w14:paraId="15339553" w14:textId="77777777" w:rsidR="00410ECA" w:rsidRPr="00661A60" w:rsidRDefault="00916BB1" w:rsidP="005126A5">
      <w:pPr>
        <w:pStyle w:val="Nadpis2"/>
      </w:pPr>
      <w:r w:rsidRPr="00E14BF0">
        <w:t xml:space="preserve">Banka zařazuje Klienta do kategorie neprofesionálních zákazníků a informuje ho, že možnosti přestupu do jiných kategorií a stupně ochrany při zařazení do těchto kategorií jsou mu k dispozici v Informacích o investičních službách a </w:t>
      </w:r>
      <w:r>
        <w:t>n</w:t>
      </w:r>
      <w:r w:rsidRPr="00E14BF0">
        <w:t>ástrojích</w:t>
      </w:r>
      <w:r w:rsidR="00410ECA" w:rsidRPr="00661A60">
        <w:t>.</w:t>
      </w:r>
    </w:p>
    <w:p w14:paraId="76F45363" w14:textId="77777777" w:rsidR="00BA13F2" w:rsidRPr="00661A60" w:rsidRDefault="00BA13F2" w:rsidP="005126A5">
      <w:pPr>
        <w:rPr>
          <w:szCs w:val="18"/>
        </w:rPr>
      </w:pPr>
    </w:p>
    <w:tbl>
      <w:tblPr>
        <w:tblW w:w="0" w:type="auto"/>
        <w:tblLayout w:type="fixed"/>
        <w:tblCellMar>
          <w:left w:w="70" w:type="dxa"/>
          <w:right w:w="70" w:type="dxa"/>
        </w:tblCellMar>
        <w:tblLook w:val="0000" w:firstRow="0" w:lastRow="0" w:firstColumn="0" w:lastColumn="0" w:noHBand="0" w:noVBand="0"/>
      </w:tblPr>
      <w:tblGrid>
        <w:gridCol w:w="4820"/>
        <w:gridCol w:w="4820"/>
      </w:tblGrid>
      <w:tr w:rsidR="00B32B21" w14:paraId="00AD419B" w14:textId="77777777" w:rsidTr="0087202E">
        <w:trPr>
          <w:cantSplit/>
        </w:trPr>
        <w:tc>
          <w:tcPr>
            <w:tcW w:w="4820" w:type="dxa"/>
          </w:tcPr>
          <w:p w14:paraId="3D86E209" w14:textId="77777777" w:rsidR="00B32B21" w:rsidRDefault="00B32B21" w:rsidP="0087202E">
            <w:pPr>
              <w:rPr>
                <w:sz w:val="8"/>
              </w:rPr>
            </w:pPr>
            <w:bookmarkStart w:id="19" w:name="podpisy_1"/>
            <w:bookmarkEnd w:id="19"/>
          </w:p>
          <w:p w14:paraId="7A9A3607" w14:textId="673F070E" w:rsidR="00B32B21" w:rsidRDefault="00B32B21" w:rsidP="0087202E">
            <w:r>
              <w:t xml:space="preserve">V </w:t>
            </w:r>
            <w:bookmarkStart w:id="20" w:name="v"/>
            <w:bookmarkEnd w:id="20"/>
            <w:r>
              <w:t xml:space="preserve">Brně dne </w:t>
            </w:r>
            <w:bookmarkStart w:id="21" w:name="dne"/>
            <w:bookmarkEnd w:id="21"/>
            <w:r w:rsidR="00427C89">
              <w:t>11.3.2026</w:t>
            </w:r>
          </w:p>
          <w:p w14:paraId="0917A4AE" w14:textId="77777777" w:rsidR="00B32B21" w:rsidRDefault="00B32B21" w:rsidP="0087202E"/>
          <w:p w14:paraId="6B155DAE" w14:textId="77777777" w:rsidR="00B32B21" w:rsidRDefault="00B32B21" w:rsidP="0087202E">
            <w:pPr>
              <w:rPr>
                <w:b/>
              </w:rPr>
            </w:pPr>
            <w:bookmarkStart w:id="22" w:name="zaklienta"/>
            <w:bookmarkEnd w:id="22"/>
            <w:r>
              <w:rPr>
                <w:b/>
              </w:rPr>
              <w:t>Ústav přístrojové techniky AV ČR, v. v. i.</w:t>
            </w:r>
          </w:p>
          <w:p w14:paraId="2DB7DE70" w14:textId="77777777" w:rsidR="00B32B21" w:rsidRDefault="00B32B21" w:rsidP="0087202E">
            <w:pPr>
              <w:rPr>
                <w:b/>
              </w:rPr>
            </w:pPr>
            <w:bookmarkStart w:id="23" w:name="obchjm"/>
            <w:bookmarkEnd w:id="23"/>
          </w:p>
          <w:p w14:paraId="01DD3CD8" w14:textId="77777777" w:rsidR="00B32B21" w:rsidRDefault="00B32B21" w:rsidP="0087202E"/>
          <w:p w14:paraId="1F73C8E4" w14:textId="77777777" w:rsidR="00B32B21" w:rsidRDefault="00B32B21" w:rsidP="0087202E">
            <w:pPr>
              <w:tabs>
                <w:tab w:val="left" w:pos="4536"/>
                <w:tab w:val="left" w:pos="4962"/>
                <w:tab w:val="left" w:pos="8931"/>
              </w:tabs>
            </w:pPr>
            <w:r>
              <w:tab/>
            </w:r>
          </w:p>
          <w:p w14:paraId="37EEA2EE" w14:textId="77777777" w:rsidR="00B32B21" w:rsidRDefault="00B32B21" w:rsidP="0087202E">
            <w:pPr>
              <w:tabs>
                <w:tab w:val="left" w:leader="underscore" w:pos="4536"/>
                <w:tab w:val="left" w:pos="4962"/>
                <w:tab w:val="left" w:leader="dot" w:pos="8931"/>
              </w:tabs>
              <w:rPr>
                <w:position w:val="10"/>
                <w:sz w:val="12"/>
              </w:rPr>
            </w:pPr>
            <w:r>
              <w:rPr>
                <w:position w:val="10"/>
                <w:sz w:val="12"/>
              </w:rPr>
              <w:tab/>
            </w:r>
          </w:p>
          <w:p w14:paraId="58ED559B" w14:textId="77777777" w:rsidR="00B32B21" w:rsidRPr="00A726DD" w:rsidRDefault="00B32B21" w:rsidP="0087202E">
            <w:pPr>
              <w:spacing w:after="120"/>
              <w:rPr>
                <w:sz w:val="16"/>
                <w:szCs w:val="16"/>
              </w:rPr>
            </w:pPr>
            <w:r w:rsidRPr="00A726DD">
              <w:rPr>
                <w:sz w:val="16"/>
                <w:szCs w:val="16"/>
              </w:rPr>
              <w:t>vlastnoruční podpis</w:t>
            </w:r>
          </w:p>
          <w:p w14:paraId="23FA10A6" w14:textId="77777777" w:rsidR="00B32B21" w:rsidRPr="005B636C" w:rsidRDefault="00B32B21" w:rsidP="0087202E">
            <w:pPr>
              <w:tabs>
                <w:tab w:val="left" w:pos="851"/>
              </w:tabs>
              <w:rPr>
                <w:b/>
                <w:szCs w:val="18"/>
              </w:rPr>
            </w:pPr>
            <w:r w:rsidRPr="005B636C">
              <w:rPr>
                <w:b/>
                <w:szCs w:val="18"/>
              </w:rPr>
              <w:t>Jméno:</w:t>
            </w:r>
            <w:r w:rsidRPr="005B636C">
              <w:rPr>
                <w:b/>
                <w:szCs w:val="18"/>
              </w:rPr>
              <w:tab/>
            </w:r>
            <w:bookmarkStart w:id="24" w:name="zmocos"/>
            <w:bookmarkEnd w:id="24"/>
            <w:r w:rsidRPr="00FF4724">
              <w:rPr>
                <w:b/>
                <w:szCs w:val="18"/>
                <w:highlight w:val="black"/>
              </w:rPr>
              <w:t>prof. Ing. Josef Lazar, Dr.</w:t>
            </w:r>
          </w:p>
          <w:p w14:paraId="4B5D7503" w14:textId="77777777" w:rsidR="00B32B21" w:rsidRPr="005B636C" w:rsidRDefault="00B32B21" w:rsidP="0087202E">
            <w:pPr>
              <w:ind w:left="851" w:hanging="851"/>
              <w:rPr>
                <w:b/>
                <w:szCs w:val="18"/>
              </w:rPr>
            </w:pPr>
            <w:r w:rsidRPr="005B636C">
              <w:rPr>
                <w:b/>
                <w:szCs w:val="18"/>
              </w:rPr>
              <w:t>Funkce:</w:t>
            </w:r>
            <w:r w:rsidRPr="005B636C">
              <w:rPr>
                <w:b/>
                <w:szCs w:val="18"/>
              </w:rPr>
              <w:tab/>
            </w:r>
            <w:bookmarkStart w:id="25" w:name="funkcezo"/>
            <w:bookmarkEnd w:id="25"/>
            <w:r>
              <w:rPr>
                <w:b/>
                <w:szCs w:val="18"/>
              </w:rPr>
              <w:t>ředitel ústavu</w:t>
            </w:r>
          </w:p>
          <w:p w14:paraId="5B5EE395" w14:textId="77777777" w:rsidR="00B32B21" w:rsidRDefault="00B32B21" w:rsidP="0087202E">
            <w:pPr>
              <w:tabs>
                <w:tab w:val="left" w:pos="1276"/>
              </w:tabs>
            </w:pPr>
          </w:p>
        </w:tc>
        <w:tc>
          <w:tcPr>
            <w:tcW w:w="4820" w:type="dxa"/>
          </w:tcPr>
          <w:p w14:paraId="624DAFC1" w14:textId="77777777" w:rsidR="00B32B21" w:rsidRDefault="00B32B21" w:rsidP="0087202E">
            <w:pPr>
              <w:ind w:right="22"/>
              <w:rPr>
                <w:sz w:val="8"/>
              </w:rPr>
            </w:pPr>
            <w:bookmarkStart w:id="26" w:name="banka_podpis"/>
          </w:p>
          <w:p w14:paraId="595C7D24" w14:textId="3E74867F" w:rsidR="00B32B21" w:rsidRDefault="00B32B21" w:rsidP="0087202E">
            <w:pPr>
              <w:ind w:right="22"/>
            </w:pPr>
            <w:r>
              <w:t xml:space="preserve">V </w:t>
            </w:r>
            <w:bookmarkStart w:id="27" w:name="v1"/>
            <w:bookmarkEnd w:id="27"/>
            <w:r>
              <w:t xml:space="preserve">Brně dne </w:t>
            </w:r>
            <w:bookmarkStart w:id="28" w:name="dne1"/>
            <w:bookmarkEnd w:id="28"/>
            <w:r w:rsidR="00427C89">
              <w:t>11.3.2026</w:t>
            </w:r>
          </w:p>
          <w:p w14:paraId="4C39BBD9" w14:textId="77777777" w:rsidR="00B32B21" w:rsidRDefault="00B32B21" w:rsidP="0087202E">
            <w:pPr>
              <w:ind w:right="22"/>
              <w:rPr>
                <w:b/>
              </w:rPr>
            </w:pPr>
          </w:p>
          <w:p w14:paraId="5DE851A4" w14:textId="77777777" w:rsidR="00B32B21" w:rsidRDefault="00B32B21" w:rsidP="0087202E">
            <w:pPr>
              <w:ind w:right="22"/>
              <w:rPr>
                <w:b/>
              </w:rPr>
            </w:pPr>
            <w:r>
              <w:rPr>
                <w:b/>
              </w:rPr>
              <w:t>Komerční banka, a.s.</w:t>
            </w:r>
          </w:p>
          <w:p w14:paraId="3490EA4E" w14:textId="77777777" w:rsidR="00B32B21" w:rsidRDefault="00B32B21" w:rsidP="0087202E">
            <w:pPr>
              <w:ind w:right="22"/>
            </w:pPr>
          </w:p>
          <w:p w14:paraId="36797120" w14:textId="77777777" w:rsidR="00B32B21" w:rsidRDefault="00B32B21" w:rsidP="0087202E">
            <w:pPr>
              <w:ind w:right="22"/>
            </w:pPr>
          </w:p>
          <w:p w14:paraId="6BF5BAB4" w14:textId="77777777" w:rsidR="00B32B21" w:rsidRDefault="00B32B21" w:rsidP="0087202E">
            <w:pPr>
              <w:tabs>
                <w:tab w:val="left" w:pos="4536"/>
                <w:tab w:val="left" w:pos="4962"/>
                <w:tab w:val="left" w:pos="8931"/>
              </w:tabs>
            </w:pPr>
            <w:r>
              <w:tab/>
            </w:r>
          </w:p>
          <w:p w14:paraId="4D0882AD" w14:textId="77777777" w:rsidR="00B32B21" w:rsidRDefault="00B32B21" w:rsidP="0087202E">
            <w:pPr>
              <w:tabs>
                <w:tab w:val="left" w:leader="underscore" w:pos="4536"/>
                <w:tab w:val="left" w:pos="4962"/>
                <w:tab w:val="left" w:leader="dot" w:pos="8931"/>
              </w:tabs>
              <w:rPr>
                <w:position w:val="10"/>
                <w:sz w:val="12"/>
              </w:rPr>
            </w:pPr>
            <w:r>
              <w:rPr>
                <w:position w:val="10"/>
                <w:sz w:val="12"/>
              </w:rPr>
              <w:tab/>
            </w:r>
          </w:p>
          <w:p w14:paraId="5A8A0747" w14:textId="77777777" w:rsidR="00B32B21" w:rsidRPr="00F51A46" w:rsidRDefault="00B32B21" w:rsidP="0087202E">
            <w:pPr>
              <w:spacing w:after="120"/>
              <w:rPr>
                <w:sz w:val="16"/>
                <w:szCs w:val="16"/>
              </w:rPr>
            </w:pPr>
            <w:r w:rsidRPr="00F51A46">
              <w:rPr>
                <w:sz w:val="16"/>
                <w:szCs w:val="16"/>
              </w:rPr>
              <w:t>vlastnoruční podpis</w:t>
            </w:r>
          </w:p>
          <w:p w14:paraId="7C46263A" w14:textId="5AEE9597" w:rsidR="00B32B21" w:rsidRPr="00463675" w:rsidRDefault="00B32B21" w:rsidP="0087202E">
            <w:pPr>
              <w:tabs>
                <w:tab w:val="left" w:pos="851"/>
              </w:tabs>
              <w:rPr>
                <w:b/>
                <w:szCs w:val="18"/>
              </w:rPr>
            </w:pPr>
            <w:r w:rsidRPr="00463675">
              <w:rPr>
                <w:b/>
                <w:szCs w:val="18"/>
              </w:rPr>
              <w:t>Jméno:</w:t>
            </w:r>
            <w:r w:rsidRPr="00463675">
              <w:rPr>
                <w:b/>
                <w:szCs w:val="18"/>
              </w:rPr>
              <w:tab/>
            </w:r>
            <w:bookmarkStart w:id="29" w:name="prac1"/>
            <w:bookmarkEnd w:id="29"/>
            <w:r w:rsidR="00460985" w:rsidRPr="00460985">
              <w:rPr>
                <w:b/>
                <w:szCs w:val="18"/>
                <w:highlight w:val="black"/>
              </w:rPr>
              <w:t>Veronika Doláková</w:t>
            </w:r>
          </w:p>
          <w:p w14:paraId="2A356D71" w14:textId="606718D8" w:rsidR="00B32B21" w:rsidRPr="00463675" w:rsidRDefault="00B32B21" w:rsidP="0087202E">
            <w:pPr>
              <w:ind w:left="851" w:hanging="851"/>
              <w:rPr>
                <w:b/>
                <w:szCs w:val="18"/>
              </w:rPr>
            </w:pPr>
            <w:r w:rsidRPr="00463675">
              <w:rPr>
                <w:b/>
                <w:szCs w:val="18"/>
              </w:rPr>
              <w:t>Funkce:</w:t>
            </w:r>
            <w:r w:rsidRPr="00463675">
              <w:rPr>
                <w:b/>
                <w:szCs w:val="18"/>
              </w:rPr>
              <w:tab/>
            </w:r>
            <w:bookmarkStart w:id="30" w:name="funkb1"/>
            <w:bookmarkEnd w:id="30"/>
            <w:r w:rsidR="00460985">
              <w:rPr>
                <w:b/>
                <w:szCs w:val="18"/>
              </w:rPr>
              <w:t>bankovní poradce - Corporate</w:t>
            </w:r>
          </w:p>
          <w:p w14:paraId="5EB450F4" w14:textId="77777777" w:rsidR="00B32B21" w:rsidRPr="00E4620A" w:rsidRDefault="00B32B21" w:rsidP="0087202E">
            <w:pPr>
              <w:rPr>
                <w:szCs w:val="18"/>
              </w:rPr>
            </w:pPr>
            <w:bookmarkStart w:id="31" w:name="vlozpod"/>
            <w:bookmarkStart w:id="32" w:name="vloz"/>
            <w:bookmarkEnd w:id="31"/>
            <w:bookmarkEnd w:id="32"/>
          </w:p>
          <w:bookmarkEnd w:id="26"/>
          <w:p w14:paraId="469296BA" w14:textId="77777777" w:rsidR="00B32B21" w:rsidRDefault="00B32B21" w:rsidP="0087202E">
            <w:pPr>
              <w:rPr>
                <w:sz w:val="8"/>
              </w:rPr>
            </w:pPr>
          </w:p>
        </w:tc>
        <w:bookmarkStart w:id="33" w:name="banka"/>
        <w:bookmarkEnd w:id="33"/>
      </w:tr>
      <w:tr w:rsidR="00B32B21" w14:paraId="35545982" w14:textId="77777777" w:rsidTr="0087202E">
        <w:trPr>
          <w:cantSplit/>
        </w:trPr>
        <w:tc>
          <w:tcPr>
            <w:tcW w:w="4820" w:type="dxa"/>
          </w:tcPr>
          <w:p w14:paraId="11BA773B" w14:textId="77777777" w:rsidR="00B32B21" w:rsidRDefault="00B32B21" w:rsidP="0087202E">
            <w:pPr>
              <w:ind w:left="284" w:hanging="284"/>
            </w:pPr>
            <w:bookmarkStart w:id="34" w:name="p1"/>
            <w:bookmarkStart w:id="35" w:name="p2"/>
            <w:bookmarkStart w:id="36" w:name="odstran"/>
            <w:bookmarkEnd w:id="34"/>
            <w:bookmarkEnd w:id="35"/>
            <w:bookmarkEnd w:id="36"/>
          </w:p>
          <w:p w14:paraId="397CD473" w14:textId="236D362F" w:rsidR="00B32B21" w:rsidRDefault="00B32B21" w:rsidP="0087202E">
            <w:pPr>
              <w:spacing w:after="120"/>
              <w:ind w:left="284" w:hanging="284"/>
            </w:pPr>
            <w:r>
              <w:t xml:space="preserve">Osobní údaje zkontroloval(a) dne </w:t>
            </w:r>
            <w:bookmarkStart w:id="37" w:name="kontden"/>
            <w:bookmarkEnd w:id="37"/>
            <w:r w:rsidR="00427C89">
              <w:t>11.3.2026</w:t>
            </w:r>
          </w:p>
          <w:p w14:paraId="04EEFFBC" w14:textId="77777777" w:rsidR="00B32B21" w:rsidRPr="00087192" w:rsidRDefault="00B32B21" w:rsidP="0087202E">
            <w:pPr>
              <w:rPr>
                <w:b/>
                <w:szCs w:val="18"/>
              </w:rPr>
            </w:pPr>
            <w:bookmarkStart w:id="38" w:name="prackon"/>
            <w:bookmarkEnd w:id="38"/>
          </w:p>
          <w:p w14:paraId="1A51F6C6" w14:textId="77777777" w:rsidR="00B32B21" w:rsidRPr="00087192" w:rsidRDefault="00B32B21" w:rsidP="0087202E">
            <w:pPr>
              <w:ind w:left="284" w:hanging="284"/>
              <w:rPr>
                <w:b/>
                <w:szCs w:val="18"/>
              </w:rPr>
            </w:pPr>
            <w:bookmarkStart w:id="39" w:name="funkon"/>
            <w:bookmarkEnd w:id="39"/>
          </w:p>
          <w:p w14:paraId="5574B8AF" w14:textId="77777777" w:rsidR="00B32B21" w:rsidRPr="00087192" w:rsidRDefault="00B32B21" w:rsidP="0087202E">
            <w:pPr>
              <w:ind w:left="284" w:hanging="284"/>
              <w:rPr>
                <w:b/>
                <w:szCs w:val="18"/>
              </w:rPr>
            </w:pPr>
          </w:p>
          <w:p w14:paraId="79DDF899" w14:textId="77777777" w:rsidR="00B32B21" w:rsidRDefault="00B32B21" w:rsidP="0087202E">
            <w:pPr>
              <w:tabs>
                <w:tab w:val="left" w:pos="4536"/>
              </w:tabs>
            </w:pPr>
            <w:r>
              <w:tab/>
            </w:r>
          </w:p>
          <w:p w14:paraId="5396FC6B" w14:textId="77777777" w:rsidR="00B32B21" w:rsidRDefault="00B32B21" w:rsidP="0087202E">
            <w:pPr>
              <w:tabs>
                <w:tab w:val="left" w:leader="underscore" w:pos="4536"/>
                <w:tab w:val="left" w:pos="4962"/>
                <w:tab w:val="left" w:leader="dot" w:pos="8931"/>
              </w:tabs>
              <w:rPr>
                <w:position w:val="10"/>
                <w:sz w:val="12"/>
              </w:rPr>
            </w:pPr>
            <w:r>
              <w:rPr>
                <w:position w:val="10"/>
                <w:sz w:val="12"/>
              </w:rPr>
              <w:tab/>
            </w:r>
          </w:p>
          <w:p w14:paraId="625E7201" w14:textId="77777777" w:rsidR="00B32B21" w:rsidRPr="007C6646" w:rsidRDefault="00B32B21" w:rsidP="0087202E">
            <w:pPr>
              <w:rPr>
                <w:sz w:val="16"/>
                <w:szCs w:val="16"/>
              </w:rPr>
            </w:pPr>
            <w:r w:rsidRPr="007C6646">
              <w:rPr>
                <w:sz w:val="16"/>
                <w:szCs w:val="16"/>
              </w:rPr>
              <w:t xml:space="preserve">vlastnoruční podpis zaměstnance </w:t>
            </w:r>
            <w:r>
              <w:rPr>
                <w:sz w:val="16"/>
                <w:szCs w:val="16"/>
              </w:rPr>
              <w:t>Komerční banky, a.s.</w:t>
            </w:r>
          </w:p>
          <w:p w14:paraId="5C488819" w14:textId="77777777" w:rsidR="00B32B21" w:rsidRDefault="00B32B21" w:rsidP="0087202E">
            <w:pPr>
              <w:tabs>
                <w:tab w:val="center" w:pos="2269"/>
              </w:tabs>
            </w:pPr>
          </w:p>
        </w:tc>
        <w:tc>
          <w:tcPr>
            <w:tcW w:w="4820" w:type="dxa"/>
          </w:tcPr>
          <w:p w14:paraId="659A0AF6" w14:textId="77777777" w:rsidR="00B32B21" w:rsidRDefault="00B32B21" w:rsidP="0087202E">
            <w:pPr>
              <w:ind w:right="22"/>
            </w:pPr>
          </w:p>
          <w:p w14:paraId="61A35E13" w14:textId="77777777" w:rsidR="00B32B21" w:rsidRDefault="00B32B21" w:rsidP="0087202E">
            <w:pPr>
              <w:ind w:right="22"/>
            </w:pPr>
          </w:p>
          <w:p w14:paraId="535CEF85" w14:textId="77777777" w:rsidR="00B32B21" w:rsidRDefault="00B32B21" w:rsidP="0087202E">
            <w:pPr>
              <w:tabs>
                <w:tab w:val="left" w:pos="4536"/>
                <w:tab w:val="left" w:pos="4962"/>
                <w:tab w:val="left" w:pos="8931"/>
              </w:tabs>
            </w:pPr>
            <w:r>
              <w:tab/>
            </w:r>
          </w:p>
          <w:p w14:paraId="2F5D9B62" w14:textId="77777777" w:rsidR="00B32B21" w:rsidRDefault="00B32B21" w:rsidP="0087202E">
            <w:pPr>
              <w:tabs>
                <w:tab w:val="left" w:leader="underscore" w:pos="4536"/>
                <w:tab w:val="left" w:pos="4962"/>
                <w:tab w:val="left" w:leader="dot" w:pos="8931"/>
              </w:tabs>
              <w:rPr>
                <w:position w:val="10"/>
                <w:sz w:val="12"/>
              </w:rPr>
            </w:pPr>
            <w:r>
              <w:rPr>
                <w:position w:val="10"/>
                <w:sz w:val="12"/>
              </w:rPr>
              <w:tab/>
            </w:r>
          </w:p>
          <w:p w14:paraId="351EBED1" w14:textId="77777777" w:rsidR="00B32B21" w:rsidRPr="00F51A46" w:rsidRDefault="00B32B21" w:rsidP="0087202E">
            <w:pPr>
              <w:spacing w:after="120"/>
              <w:rPr>
                <w:sz w:val="16"/>
                <w:szCs w:val="16"/>
              </w:rPr>
            </w:pPr>
            <w:r w:rsidRPr="00F51A46">
              <w:rPr>
                <w:sz w:val="16"/>
                <w:szCs w:val="16"/>
              </w:rPr>
              <w:t>vlastnoruční podpis</w:t>
            </w:r>
          </w:p>
          <w:p w14:paraId="778B24F3" w14:textId="4E33B00C" w:rsidR="00B32B21" w:rsidRPr="00463675" w:rsidRDefault="00B32B21" w:rsidP="0087202E">
            <w:pPr>
              <w:tabs>
                <w:tab w:val="left" w:pos="851"/>
              </w:tabs>
              <w:rPr>
                <w:b/>
                <w:szCs w:val="18"/>
              </w:rPr>
            </w:pPr>
            <w:r w:rsidRPr="00463675">
              <w:rPr>
                <w:b/>
                <w:szCs w:val="18"/>
              </w:rPr>
              <w:t>Jméno:</w:t>
            </w:r>
            <w:r w:rsidRPr="00463675">
              <w:rPr>
                <w:b/>
                <w:szCs w:val="18"/>
              </w:rPr>
              <w:tab/>
            </w:r>
            <w:r w:rsidR="00460985" w:rsidRPr="00460985">
              <w:rPr>
                <w:b/>
                <w:szCs w:val="18"/>
                <w:highlight w:val="black"/>
              </w:rPr>
              <w:t>Tomáš Kebíšek</w:t>
            </w:r>
          </w:p>
          <w:p w14:paraId="301573FE" w14:textId="63AA29F0" w:rsidR="00B32B21" w:rsidRPr="00463675" w:rsidRDefault="00B32B21" w:rsidP="0087202E">
            <w:pPr>
              <w:ind w:left="851" w:hanging="851"/>
              <w:rPr>
                <w:b/>
                <w:szCs w:val="18"/>
              </w:rPr>
            </w:pPr>
            <w:r w:rsidRPr="00463675">
              <w:rPr>
                <w:b/>
                <w:szCs w:val="18"/>
              </w:rPr>
              <w:t>Funkce:</w:t>
            </w:r>
            <w:r w:rsidRPr="00463675">
              <w:rPr>
                <w:b/>
                <w:szCs w:val="18"/>
              </w:rPr>
              <w:tab/>
            </w:r>
          </w:p>
          <w:p w14:paraId="420F9889" w14:textId="77777777" w:rsidR="00B32B21" w:rsidRPr="00E4620A" w:rsidRDefault="00B32B21" w:rsidP="0087202E">
            <w:pPr>
              <w:rPr>
                <w:szCs w:val="18"/>
              </w:rPr>
            </w:pPr>
          </w:p>
          <w:p w14:paraId="6B5BA1A0" w14:textId="77777777" w:rsidR="00B32B21" w:rsidRDefault="00B32B21" w:rsidP="0087202E">
            <w:pPr>
              <w:ind w:left="284" w:hanging="284"/>
            </w:pPr>
          </w:p>
        </w:tc>
      </w:tr>
    </w:tbl>
    <w:p w14:paraId="7FFA96BB" w14:textId="6C75221A" w:rsidR="00B32B21" w:rsidRDefault="00460985" w:rsidP="00B32B21">
      <w:r w:rsidRPr="00460985">
        <w:rPr>
          <w:highlight w:val="black"/>
        </w:rPr>
        <w:t>Veronika Doláková</w:t>
      </w:r>
    </w:p>
    <w:p w14:paraId="5285A0C3" w14:textId="77777777" w:rsidR="00460985" w:rsidRDefault="00460985" w:rsidP="00B32B21"/>
    <w:p w14:paraId="60744F1F" w14:textId="7050C4AB" w:rsidR="00460985" w:rsidRDefault="00460985" w:rsidP="00B32B21">
      <w:r>
        <w:t>bankovní poradce - Corporate</w:t>
      </w:r>
    </w:p>
    <w:p w14:paraId="4B758137" w14:textId="77777777" w:rsidR="00B32B21" w:rsidRPr="00A352CF" w:rsidRDefault="00B32B21" w:rsidP="00B32B21">
      <w:pPr>
        <w:rPr>
          <w:rFonts w:cs="Arial"/>
          <w:szCs w:val="18"/>
        </w:rPr>
      </w:pPr>
    </w:p>
    <w:p w14:paraId="162FECB0" w14:textId="77777777" w:rsidR="00BA13F2" w:rsidRPr="00661A60" w:rsidRDefault="00BA13F2" w:rsidP="005126A5">
      <w:pPr>
        <w:rPr>
          <w:szCs w:val="18"/>
        </w:rPr>
      </w:pPr>
    </w:p>
    <w:p w14:paraId="4797C8D2" w14:textId="77777777" w:rsidR="002B735D" w:rsidRPr="00661A60" w:rsidRDefault="002B735D" w:rsidP="005126A5">
      <w:pPr>
        <w:jc w:val="right"/>
        <w:rPr>
          <w:szCs w:val="18"/>
        </w:rPr>
      </w:pPr>
    </w:p>
    <w:p w14:paraId="24FFF290" w14:textId="77777777" w:rsidR="00BA13F2" w:rsidRPr="00661A60" w:rsidRDefault="00BA13F2" w:rsidP="005126A5">
      <w:pPr>
        <w:spacing w:after="80"/>
        <w:rPr>
          <w:szCs w:val="18"/>
        </w:rPr>
        <w:sectPr w:rsidR="00BA13F2" w:rsidRPr="00661A60" w:rsidSect="00B01D36">
          <w:headerReference w:type="even" r:id="rId9"/>
          <w:headerReference w:type="default" r:id="rId10"/>
          <w:footerReference w:type="even" r:id="rId11"/>
          <w:footerReference w:type="default" r:id="rId12"/>
          <w:headerReference w:type="first" r:id="rId13"/>
          <w:footerReference w:type="first" r:id="rId14"/>
          <w:pgSz w:w="11907" w:h="16840" w:code="9"/>
          <w:pgMar w:top="2552" w:right="1134" w:bottom="1134" w:left="1134" w:header="454" w:footer="397" w:gutter="0"/>
          <w:pgNumType w:start="1"/>
          <w:cols w:space="708"/>
          <w:formProt w:val="0"/>
        </w:sectPr>
      </w:pPr>
    </w:p>
    <w:p w14:paraId="0A0942BA" w14:textId="7E4CCD72" w:rsidR="00BA13F2" w:rsidRPr="00661A60" w:rsidRDefault="00A66D34" w:rsidP="005126A5">
      <w:pPr>
        <w:spacing w:after="120"/>
        <w:jc w:val="right"/>
        <w:rPr>
          <w:b/>
          <w:caps/>
          <w:szCs w:val="18"/>
        </w:rPr>
      </w:pPr>
      <w:r>
        <w:rPr>
          <w:b/>
          <w:caps/>
          <w:szCs w:val="18"/>
        </w:rPr>
        <w:lastRenderedPageBreak/>
        <w:t xml:space="preserve">Č. PORTFOLIA </w:t>
      </w:r>
      <w:r w:rsidR="00B32B21">
        <w:rPr>
          <w:b/>
          <w:caps/>
          <w:szCs w:val="18"/>
        </w:rPr>
        <w:t>1000107</w:t>
      </w:r>
    </w:p>
    <w:p w14:paraId="205186D4" w14:textId="77777777" w:rsidR="00BA13F2" w:rsidRPr="00661A60" w:rsidRDefault="00A66D34" w:rsidP="005126A5">
      <w:pPr>
        <w:spacing w:after="120"/>
        <w:jc w:val="center"/>
        <w:rPr>
          <w:b/>
          <w:caps/>
          <w:szCs w:val="18"/>
        </w:rPr>
      </w:pPr>
      <w:r>
        <w:rPr>
          <w:b/>
          <w:caps/>
          <w:szCs w:val="18"/>
        </w:rPr>
        <w:t>SLUŽBY SJEDNANÉ MEZI BANKOU A KLIENTEM</w:t>
      </w:r>
    </w:p>
    <w:p w14:paraId="72AE41C3" w14:textId="77777777" w:rsidR="007A50FF" w:rsidRDefault="007A50FF" w:rsidP="005126A5"/>
    <w:p w14:paraId="691A2091" w14:textId="77777777" w:rsidR="00B32B21" w:rsidRDefault="00B32B21" w:rsidP="00B32B21">
      <w:bookmarkStart w:id="41" w:name="hlava_2"/>
      <w:bookmarkEnd w:id="41"/>
      <w:r>
        <w:rPr>
          <w:b/>
        </w:rPr>
        <w:t>právnická osoba</w:t>
      </w:r>
      <w:r>
        <w:t xml:space="preserve"> (dále jen „</w:t>
      </w:r>
      <w:r w:rsidRPr="0040150E">
        <w:rPr>
          <w:b/>
        </w:rPr>
        <w:t>Klient</w:t>
      </w:r>
      <w:r>
        <w:t>“)</w:t>
      </w:r>
    </w:p>
    <w:tbl>
      <w:tblPr>
        <w:tblStyle w:val="Mkatabulky"/>
        <w:tblW w:w="0" w:type="auto"/>
        <w:tblBorders>
          <w:insideH w:val="single" w:sz="4" w:space="0" w:color="808080"/>
          <w:insideV w:val="single" w:sz="4" w:space="0" w:color="808080"/>
        </w:tblBorders>
        <w:tblLook w:val="01E0" w:firstRow="1" w:lastRow="1" w:firstColumn="1" w:lastColumn="1" w:noHBand="0" w:noVBand="0"/>
      </w:tblPr>
      <w:tblGrid>
        <w:gridCol w:w="2766"/>
        <w:gridCol w:w="6863"/>
      </w:tblGrid>
      <w:tr w:rsidR="00B32B21" w14:paraId="7BB0277E" w14:textId="77777777" w:rsidTr="0087202E">
        <w:tc>
          <w:tcPr>
            <w:tcW w:w="2802" w:type="dxa"/>
            <w:vAlign w:val="center"/>
          </w:tcPr>
          <w:p w14:paraId="2A604B25" w14:textId="77777777" w:rsidR="00B32B21" w:rsidRDefault="00B32B21" w:rsidP="0087202E">
            <w:pPr>
              <w:spacing w:before="40" w:after="40"/>
            </w:pPr>
            <w:r>
              <w:rPr>
                <w:sz w:val="16"/>
              </w:rPr>
              <w:t>Obchodní firma* / název**:</w:t>
            </w:r>
          </w:p>
        </w:tc>
        <w:tc>
          <w:tcPr>
            <w:tcW w:w="6977" w:type="dxa"/>
            <w:vAlign w:val="center"/>
          </w:tcPr>
          <w:p w14:paraId="4B2F9691" w14:textId="77777777" w:rsidR="00B32B21" w:rsidRPr="0095284A" w:rsidRDefault="00B32B21" w:rsidP="0087202E">
            <w:pPr>
              <w:spacing w:before="40" w:after="40"/>
              <w:rPr>
                <w:b/>
              </w:rPr>
            </w:pPr>
            <w:r>
              <w:rPr>
                <w:b/>
              </w:rPr>
              <w:t>Ústav přístrojové techniky AV ČR, v. v. i.</w:t>
            </w:r>
          </w:p>
        </w:tc>
      </w:tr>
      <w:tr w:rsidR="00B32B21" w14:paraId="5D5E30B1" w14:textId="77777777" w:rsidTr="0087202E">
        <w:tc>
          <w:tcPr>
            <w:tcW w:w="2802" w:type="dxa"/>
            <w:vAlign w:val="center"/>
          </w:tcPr>
          <w:p w14:paraId="2FE7FF6A" w14:textId="77777777" w:rsidR="00B32B21" w:rsidRDefault="00B32B21" w:rsidP="0087202E">
            <w:pPr>
              <w:spacing w:before="40" w:after="40"/>
            </w:pPr>
            <w:r>
              <w:rPr>
                <w:sz w:val="16"/>
              </w:rPr>
              <w:t>Sídlo:</w:t>
            </w:r>
          </w:p>
        </w:tc>
        <w:tc>
          <w:tcPr>
            <w:tcW w:w="6977" w:type="dxa"/>
            <w:vAlign w:val="center"/>
          </w:tcPr>
          <w:p w14:paraId="723E5C0C" w14:textId="77777777" w:rsidR="00B32B21" w:rsidRPr="0095284A" w:rsidRDefault="00B32B21" w:rsidP="0087202E">
            <w:pPr>
              <w:spacing w:before="40" w:after="40"/>
              <w:rPr>
                <w:b/>
              </w:rPr>
            </w:pPr>
            <w:r>
              <w:rPr>
                <w:b/>
              </w:rPr>
              <w:t>Královopolská 62/147, 612 00 Brno - Královo Pole</w:t>
            </w:r>
          </w:p>
        </w:tc>
      </w:tr>
      <w:tr w:rsidR="00B32B21" w14:paraId="2624C4E8" w14:textId="77777777" w:rsidTr="0087202E">
        <w:tc>
          <w:tcPr>
            <w:tcW w:w="2802" w:type="dxa"/>
            <w:vAlign w:val="center"/>
          </w:tcPr>
          <w:p w14:paraId="017EEBB8" w14:textId="77777777" w:rsidR="00B32B21" w:rsidRDefault="00B32B21" w:rsidP="0087202E">
            <w:pPr>
              <w:spacing w:before="40" w:after="40"/>
            </w:pPr>
            <w:r>
              <w:rPr>
                <w:sz w:val="16"/>
              </w:rPr>
              <w:t>IČO:</w:t>
            </w:r>
          </w:p>
        </w:tc>
        <w:tc>
          <w:tcPr>
            <w:tcW w:w="6977" w:type="dxa"/>
            <w:vAlign w:val="center"/>
          </w:tcPr>
          <w:p w14:paraId="7D259728" w14:textId="77777777" w:rsidR="00B32B21" w:rsidRPr="0095284A" w:rsidRDefault="00B32B21" w:rsidP="0087202E">
            <w:pPr>
              <w:spacing w:before="40" w:after="40"/>
              <w:rPr>
                <w:b/>
              </w:rPr>
            </w:pPr>
            <w:r>
              <w:rPr>
                <w:b/>
              </w:rPr>
              <w:t>68081731</w:t>
            </w:r>
          </w:p>
        </w:tc>
      </w:tr>
      <w:tr w:rsidR="00B32B21" w14:paraId="54B7611B" w14:textId="77777777" w:rsidTr="0087202E">
        <w:tc>
          <w:tcPr>
            <w:tcW w:w="2802" w:type="dxa"/>
            <w:vAlign w:val="center"/>
          </w:tcPr>
          <w:p w14:paraId="6BA2C288" w14:textId="77777777" w:rsidR="00B32B21" w:rsidRDefault="00B32B21" w:rsidP="0087202E">
            <w:pPr>
              <w:spacing w:before="40" w:after="40"/>
            </w:pPr>
            <w:r>
              <w:rPr>
                <w:sz w:val="16"/>
              </w:rPr>
              <w:t>Zápis v obchodním rejstříku či jiné evidenci, včetně spisové značky:</w:t>
            </w:r>
          </w:p>
        </w:tc>
        <w:tc>
          <w:tcPr>
            <w:tcW w:w="6977" w:type="dxa"/>
            <w:vAlign w:val="center"/>
          </w:tcPr>
          <w:p w14:paraId="5E0DDBD5" w14:textId="77777777" w:rsidR="00B32B21" w:rsidRPr="0095284A" w:rsidRDefault="00B32B21" w:rsidP="0087202E">
            <w:pPr>
              <w:spacing w:before="40" w:after="40"/>
              <w:rPr>
                <w:b/>
              </w:rPr>
            </w:pPr>
            <w:r>
              <w:rPr>
                <w:b/>
              </w:rPr>
              <w:t>Společenská sml./zakladatelská list., číslo: ÚZL ÚPT ze dne 22.4.2024, Česká republika, Akademie věd české republiky</w:t>
            </w:r>
          </w:p>
        </w:tc>
      </w:tr>
    </w:tbl>
    <w:p w14:paraId="1A1523C6" w14:textId="77777777" w:rsidR="00B32B21" w:rsidRDefault="00B32B21" w:rsidP="00B32B21">
      <w:pPr>
        <w:rPr>
          <w:sz w:val="16"/>
        </w:rPr>
      </w:pPr>
      <w:r>
        <w:rPr>
          <w:sz w:val="16"/>
        </w:rPr>
        <w:t>*je-li Klient zapsán v obchodním rejstříku; **není-li Klient zapsán v obchodním rejstříku</w:t>
      </w:r>
    </w:p>
    <w:p w14:paraId="380A2A0A" w14:textId="77777777" w:rsidR="00B32B21" w:rsidRDefault="00B32B21" w:rsidP="00B32B21"/>
    <w:p w14:paraId="221DD25F" w14:textId="77777777" w:rsidR="006219AF" w:rsidRDefault="006219AF" w:rsidP="005126A5"/>
    <w:p w14:paraId="6D1C5C27" w14:textId="77777777" w:rsidR="006219AF" w:rsidRDefault="006219AF" w:rsidP="005126A5"/>
    <w:tbl>
      <w:tblPr>
        <w:tblW w:w="4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14"/>
        <w:gridCol w:w="3544"/>
      </w:tblGrid>
      <w:tr w:rsidR="00A66D34" w:rsidRPr="00A66D34" w14:paraId="0C83A1D3" w14:textId="77777777" w:rsidTr="00055078">
        <w:trPr>
          <w:trHeight w:val="327"/>
        </w:trPr>
        <w:tc>
          <w:tcPr>
            <w:tcW w:w="714" w:type="dxa"/>
            <w:vAlign w:val="center"/>
          </w:tcPr>
          <w:p w14:paraId="7408359B" w14:textId="319AD431" w:rsidR="00A66D34" w:rsidRPr="00A66D34" w:rsidRDefault="00B32B21" w:rsidP="005126A5">
            <w:pPr>
              <w:jc w:val="center"/>
              <w:rPr>
                <w:rFonts w:cs="Arial"/>
                <w:b/>
                <w:bCs/>
                <w:szCs w:val="18"/>
              </w:rPr>
            </w:pPr>
            <w:bookmarkStart w:id="42" w:name="sluzba_1"/>
            <w:bookmarkEnd w:id="42"/>
            <w:r>
              <w:rPr>
                <w:rFonts w:cs="Arial"/>
                <w:b/>
                <w:bCs/>
                <w:szCs w:val="18"/>
              </w:rPr>
              <w:t>Ne</w:t>
            </w:r>
          </w:p>
        </w:tc>
        <w:tc>
          <w:tcPr>
            <w:tcW w:w="3544" w:type="dxa"/>
            <w:tcMar>
              <w:left w:w="113" w:type="dxa"/>
            </w:tcMar>
            <w:vAlign w:val="center"/>
          </w:tcPr>
          <w:p w14:paraId="79FD7BCF" w14:textId="77777777" w:rsidR="00A66D34" w:rsidRPr="00A66D34" w:rsidRDefault="00A66D34" w:rsidP="005126A5">
            <w:pPr>
              <w:rPr>
                <w:rFonts w:cs="Arial"/>
                <w:b/>
                <w:bCs/>
                <w:szCs w:val="18"/>
              </w:rPr>
            </w:pPr>
            <w:bookmarkStart w:id="43" w:name="OLE_LINK1"/>
            <w:bookmarkStart w:id="44" w:name="OLE_LINK2"/>
            <w:r w:rsidRPr="00A66D34">
              <w:rPr>
                <w:rFonts w:cs="Arial"/>
                <w:b/>
                <w:bCs/>
                <w:szCs w:val="18"/>
              </w:rPr>
              <w:t>Zlato CZK (Zlato)</w:t>
            </w:r>
            <w:bookmarkEnd w:id="43"/>
            <w:bookmarkEnd w:id="44"/>
          </w:p>
        </w:tc>
      </w:tr>
      <w:tr w:rsidR="00A66D34" w:rsidRPr="00A66D34" w14:paraId="3AEDF138" w14:textId="77777777" w:rsidTr="00055078">
        <w:trPr>
          <w:trHeight w:val="327"/>
        </w:trPr>
        <w:tc>
          <w:tcPr>
            <w:tcW w:w="714" w:type="dxa"/>
            <w:vAlign w:val="center"/>
          </w:tcPr>
          <w:p w14:paraId="30E3C53D" w14:textId="58E263EA" w:rsidR="00A66D34" w:rsidRPr="00A66D34" w:rsidRDefault="00B32B21" w:rsidP="005126A5">
            <w:pPr>
              <w:jc w:val="center"/>
              <w:rPr>
                <w:rFonts w:cs="Arial"/>
                <w:b/>
                <w:bCs/>
                <w:szCs w:val="18"/>
              </w:rPr>
            </w:pPr>
            <w:bookmarkStart w:id="45" w:name="sluzba_2"/>
            <w:bookmarkEnd w:id="45"/>
            <w:r>
              <w:rPr>
                <w:rFonts w:cs="Arial"/>
                <w:b/>
                <w:bCs/>
                <w:szCs w:val="18"/>
              </w:rPr>
              <w:t>Ne</w:t>
            </w:r>
          </w:p>
        </w:tc>
        <w:tc>
          <w:tcPr>
            <w:tcW w:w="3544" w:type="dxa"/>
            <w:tcMar>
              <w:left w:w="113" w:type="dxa"/>
            </w:tcMar>
            <w:vAlign w:val="center"/>
          </w:tcPr>
          <w:p w14:paraId="2D1287BC" w14:textId="77777777" w:rsidR="00A66D34" w:rsidRPr="00A66D34" w:rsidRDefault="00A66D34" w:rsidP="005126A5">
            <w:pPr>
              <w:rPr>
                <w:rFonts w:cs="Arial"/>
                <w:b/>
                <w:bCs/>
                <w:szCs w:val="18"/>
              </w:rPr>
            </w:pPr>
            <w:r w:rsidRPr="00A66D34">
              <w:rPr>
                <w:rFonts w:cs="Arial"/>
                <w:b/>
                <w:bCs/>
                <w:szCs w:val="18"/>
              </w:rPr>
              <w:t>Zlato EUR (Zlato)</w:t>
            </w:r>
          </w:p>
        </w:tc>
      </w:tr>
      <w:tr w:rsidR="00A66D34" w:rsidRPr="00A66D34" w14:paraId="411272E8" w14:textId="77777777" w:rsidTr="00055078">
        <w:trPr>
          <w:trHeight w:val="327"/>
        </w:trPr>
        <w:tc>
          <w:tcPr>
            <w:tcW w:w="714" w:type="dxa"/>
            <w:vAlign w:val="center"/>
          </w:tcPr>
          <w:p w14:paraId="554BB47B" w14:textId="3E3BC29E" w:rsidR="00A66D34" w:rsidRPr="00A66D34" w:rsidRDefault="00B32B21" w:rsidP="005126A5">
            <w:pPr>
              <w:jc w:val="center"/>
              <w:rPr>
                <w:rFonts w:cs="Arial"/>
                <w:b/>
                <w:bCs/>
                <w:szCs w:val="18"/>
              </w:rPr>
            </w:pPr>
            <w:bookmarkStart w:id="46" w:name="sluzba_3"/>
            <w:bookmarkEnd w:id="46"/>
            <w:r>
              <w:rPr>
                <w:rFonts w:cs="Arial"/>
                <w:b/>
                <w:bCs/>
                <w:szCs w:val="18"/>
              </w:rPr>
              <w:t>Ano</w:t>
            </w:r>
          </w:p>
        </w:tc>
        <w:tc>
          <w:tcPr>
            <w:tcW w:w="3544" w:type="dxa"/>
            <w:tcMar>
              <w:left w:w="113" w:type="dxa"/>
            </w:tcMar>
            <w:vAlign w:val="center"/>
          </w:tcPr>
          <w:p w14:paraId="5457A2EE" w14:textId="77777777" w:rsidR="00A66D34" w:rsidRPr="00A66D34" w:rsidRDefault="00A66D34" w:rsidP="005126A5">
            <w:pPr>
              <w:rPr>
                <w:rFonts w:cs="Arial"/>
                <w:b/>
                <w:bCs/>
                <w:szCs w:val="18"/>
              </w:rPr>
            </w:pPr>
            <w:r w:rsidRPr="00A66D34">
              <w:rPr>
                <w:rFonts w:cs="Arial"/>
                <w:b/>
                <w:bCs/>
                <w:szCs w:val="18"/>
              </w:rPr>
              <w:t>Akcie (Cenný papír)</w:t>
            </w:r>
          </w:p>
        </w:tc>
      </w:tr>
      <w:tr w:rsidR="00A66D34" w:rsidRPr="00A66D34" w14:paraId="55A662DD" w14:textId="77777777" w:rsidTr="00055078">
        <w:trPr>
          <w:trHeight w:val="327"/>
        </w:trPr>
        <w:tc>
          <w:tcPr>
            <w:tcW w:w="714" w:type="dxa"/>
            <w:vAlign w:val="center"/>
          </w:tcPr>
          <w:p w14:paraId="7BCEFE14" w14:textId="0B977785" w:rsidR="00A66D34" w:rsidRPr="00A66D34" w:rsidRDefault="00B32B21" w:rsidP="005126A5">
            <w:pPr>
              <w:jc w:val="center"/>
              <w:rPr>
                <w:rFonts w:cs="Arial"/>
                <w:b/>
                <w:bCs/>
                <w:szCs w:val="18"/>
              </w:rPr>
            </w:pPr>
            <w:bookmarkStart w:id="47" w:name="sluzba_4"/>
            <w:bookmarkEnd w:id="47"/>
            <w:r>
              <w:rPr>
                <w:rFonts w:cs="Arial"/>
                <w:b/>
                <w:bCs/>
                <w:szCs w:val="18"/>
              </w:rPr>
              <w:t>Ne</w:t>
            </w:r>
          </w:p>
        </w:tc>
        <w:tc>
          <w:tcPr>
            <w:tcW w:w="3544" w:type="dxa"/>
            <w:tcMar>
              <w:left w:w="113" w:type="dxa"/>
            </w:tcMar>
            <w:vAlign w:val="center"/>
          </w:tcPr>
          <w:p w14:paraId="4EF63043" w14:textId="77777777" w:rsidR="00A66D34" w:rsidRPr="00A66D34" w:rsidRDefault="00A66D34" w:rsidP="005126A5">
            <w:pPr>
              <w:rPr>
                <w:rFonts w:cs="Arial"/>
                <w:b/>
                <w:bCs/>
                <w:szCs w:val="18"/>
              </w:rPr>
            </w:pPr>
            <w:r w:rsidRPr="00A66D34">
              <w:rPr>
                <w:rFonts w:cs="Arial"/>
                <w:b/>
                <w:bCs/>
                <w:szCs w:val="18"/>
              </w:rPr>
              <w:t>Dluhopisy (Cenný papír)</w:t>
            </w:r>
          </w:p>
        </w:tc>
      </w:tr>
      <w:tr w:rsidR="00A66D34" w:rsidRPr="00A66D34" w14:paraId="04883852" w14:textId="77777777" w:rsidTr="00055078">
        <w:trPr>
          <w:trHeight w:val="327"/>
        </w:trPr>
        <w:tc>
          <w:tcPr>
            <w:tcW w:w="714" w:type="dxa"/>
            <w:vAlign w:val="center"/>
          </w:tcPr>
          <w:p w14:paraId="6B2BA108" w14:textId="0574FDF7" w:rsidR="00A66D34" w:rsidRPr="00A66D34" w:rsidRDefault="00B32B21" w:rsidP="005126A5">
            <w:pPr>
              <w:jc w:val="center"/>
              <w:rPr>
                <w:rFonts w:cs="Arial"/>
                <w:b/>
                <w:bCs/>
                <w:szCs w:val="18"/>
              </w:rPr>
            </w:pPr>
            <w:bookmarkStart w:id="48" w:name="sluzba_5"/>
            <w:bookmarkEnd w:id="48"/>
            <w:r>
              <w:rPr>
                <w:rFonts w:cs="Arial"/>
                <w:b/>
                <w:bCs/>
                <w:szCs w:val="18"/>
              </w:rPr>
              <w:t>Ne</w:t>
            </w:r>
          </w:p>
        </w:tc>
        <w:tc>
          <w:tcPr>
            <w:tcW w:w="3544" w:type="dxa"/>
            <w:tcMar>
              <w:left w:w="113" w:type="dxa"/>
            </w:tcMar>
            <w:vAlign w:val="center"/>
          </w:tcPr>
          <w:p w14:paraId="03CDAD91" w14:textId="77777777" w:rsidR="00A66D34" w:rsidRPr="00A66D34" w:rsidRDefault="00A66D34" w:rsidP="005126A5">
            <w:pPr>
              <w:rPr>
                <w:rFonts w:cs="Arial"/>
                <w:b/>
                <w:bCs/>
                <w:szCs w:val="18"/>
              </w:rPr>
            </w:pPr>
            <w:r w:rsidRPr="00A66D34">
              <w:rPr>
                <w:rFonts w:cs="Arial"/>
                <w:b/>
                <w:bCs/>
                <w:szCs w:val="18"/>
              </w:rPr>
              <w:t>Investiční certifikáty (Cenný papír)</w:t>
            </w:r>
          </w:p>
        </w:tc>
      </w:tr>
      <w:tr w:rsidR="00A66D34" w:rsidRPr="00A66D34" w14:paraId="508C0F4A" w14:textId="77777777" w:rsidTr="00055078">
        <w:trPr>
          <w:trHeight w:val="327"/>
        </w:trPr>
        <w:tc>
          <w:tcPr>
            <w:tcW w:w="714" w:type="dxa"/>
            <w:vAlign w:val="center"/>
          </w:tcPr>
          <w:p w14:paraId="78E54E71" w14:textId="541C5052" w:rsidR="00A66D34" w:rsidRPr="00A66D34" w:rsidRDefault="00B32B21" w:rsidP="005126A5">
            <w:pPr>
              <w:jc w:val="center"/>
              <w:rPr>
                <w:rFonts w:cs="Arial"/>
                <w:b/>
                <w:bCs/>
                <w:szCs w:val="18"/>
              </w:rPr>
            </w:pPr>
            <w:bookmarkStart w:id="49" w:name="sluzba_6"/>
            <w:bookmarkEnd w:id="49"/>
            <w:r>
              <w:rPr>
                <w:rFonts w:cs="Arial"/>
                <w:b/>
                <w:bCs/>
                <w:szCs w:val="18"/>
              </w:rPr>
              <w:t>Ne</w:t>
            </w:r>
          </w:p>
        </w:tc>
        <w:tc>
          <w:tcPr>
            <w:tcW w:w="3544" w:type="dxa"/>
            <w:tcMar>
              <w:left w:w="113" w:type="dxa"/>
            </w:tcMar>
            <w:vAlign w:val="center"/>
          </w:tcPr>
          <w:p w14:paraId="0FFF4F26" w14:textId="77777777" w:rsidR="00A66D34" w:rsidRPr="00A66D34" w:rsidRDefault="00A66D34" w:rsidP="005126A5">
            <w:pPr>
              <w:rPr>
                <w:rFonts w:cs="Arial"/>
                <w:b/>
                <w:bCs/>
                <w:szCs w:val="18"/>
                <w:highlight w:val="cyan"/>
              </w:rPr>
            </w:pPr>
            <w:r>
              <w:rPr>
                <w:rFonts w:cs="Arial"/>
                <w:b/>
                <w:bCs/>
                <w:szCs w:val="18"/>
              </w:rPr>
              <w:t>Kolektivní investování</w:t>
            </w:r>
            <w:r w:rsidRPr="00A66D34">
              <w:rPr>
                <w:rFonts w:cs="Arial"/>
                <w:b/>
                <w:bCs/>
                <w:szCs w:val="18"/>
              </w:rPr>
              <w:t xml:space="preserve"> (Cenný papír)</w:t>
            </w:r>
          </w:p>
        </w:tc>
      </w:tr>
    </w:tbl>
    <w:p w14:paraId="28336359" w14:textId="77777777" w:rsidR="00A66D34" w:rsidRDefault="00A66D34" w:rsidP="005126A5"/>
    <w:p w14:paraId="56772286" w14:textId="77777777" w:rsidR="007A50FF" w:rsidRDefault="007A50FF" w:rsidP="005126A5"/>
    <w:p w14:paraId="33745CAD" w14:textId="77777777" w:rsidR="00A66D34" w:rsidRDefault="00A66D34" w:rsidP="005126A5">
      <w:r w:rsidRPr="00E46F91">
        <w:rPr>
          <w:rFonts w:cs="Arial"/>
          <w:szCs w:val="18"/>
        </w:rPr>
        <w:t>Klient si může kdykoliv po sjednání Smlouvy prostřednictvím změny této přílohy zvolit Služby, které hodlá využívat. Před poskytováním Služeb Banka předloží Klientovi Dotazník investora</w:t>
      </w:r>
      <w:r>
        <w:rPr>
          <w:rFonts w:cs="Arial"/>
          <w:szCs w:val="18"/>
        </w:rPr>
        <w:t>.</w:t>
      </w:r>
    </w:p>
    <w:p w14:paraId="12142534" w14:textId="77777777" w:rsidR="00A66D34" w:rsidRDefault="00A66D34" w:rsidP="005126A5"/>
    <w:p w14:paraId="29E3F2E4" w14:textId="77777777" w:rsidR="00A66D34" w:rsidRDefault="00A66D34" w:rsidP="005126A5">
      <w:r w:rsidRPr="00E46F91">
        <w:rPr>
          <w:rFonts w:cs="Arial"/>
          <w:szCs w:val="18"/>
        </w:rPr>
        <w:t xml:space="preserve">Klient bere na vědomí, že Banka může </w:t>
      </w:r>
      <w:r w:rsidRPr="00E46F91">
        <w:rPr>
          <w:rFonts w:cs="Arial"/>
          <w:b/>
          <w:szCs w:val="18"/>
        </w:rPr>
        <w:t>rozsah Služeb</w:t>
      </w:r>
      <w:r w:rsidRPr="00E46F91">
        <w:rPr>
          <w:rFonts w:cs="Arial"/>
          <w:szCs w:val="18"/>
        </w:rPr>
        <w:t xml:space="preserve"> poskytovaných podle Smlouvy průběžně měnit</w:t>
      </w:r>
      <w:r>
        <w:rPr>
          <w:rFonts w:cs="Arial"/>
          <w:szCs w:val="18"/>
        </w:rPr>
        <w:t>.</w:t>
      </w:r>
    </w:p>
    <w:p w14:paraId="28E9D4BE" w14:textId="77777777" w:rsidR="00A66D34" w:rsidRDefault="00A66D34" w:rsidP="005126A5"/>
    <w:tbl>
      <w:tblPr>
        <w:tblW w:w="0" w:type="auto"/>
        <w:tblLayout w:type="fixed"/>
        <w:tblCellMar>
          <w:left w:w="70" w:type="dxa"/>
          <w:right w:w="70" w:type="dxa"/>
        </w:tblCellMar>
        <w:tblLook w:val="0000" w:firstRow="0" w:lastRow="0" w:firstColumn="0" w:lastColumn="0" w:noHBand="0" w:noVBand="0"/>
      </w:tblPr>
      <w:tblGrid>
        <w:gridCol w:w="4820"/>
      </w:tblGrid>
      <w:tr w:rsidR="00B32B21" w14:paraId="4A36B554" w14:textId="77777777" w:rsidTr="0087202E">
        <w:trPr>
          <w:cantSplit/>
        </w:trPr>
        <w:tc>
          <w:tcPr>
            <w:tcW w:w="4820" w:type="dxa"/>
          </w:tcPr>
          <w:p w14:paraId="703C54A6" w14:textId="77777777" w:rsidR="00B32B21" w:rsidRDefault="00B32B21" w:rsidP="0087202E">
            <w:pPr>
              <w:rPr>
                <w:sz w:val="8"/>
              </w:rPr>
            </w:pPr>
            <w:bookmarkStart w:id="50" w:name="podpisy_2"/>
            <w:bookmarkEnd w:id="50"/>
          </w:p>
          <w:p w14:paraId="558862B5" w14:textId="3FD5CCE4" w:rsidR="00B32B21" w:rsidRDefault="00B32B21" w:rsidP="0087202E">
            <w:r>
              <w:t xml:space="preserve">V Brně dne </w:t>
            </w:r>
            <w:r w:rsidR="00427C89">
              <w:t>11.3.2026</w:t>
            </w:r>
          </w:p>
          <w:p w14:paraId="6C3FA413" w14:textId="77777777" w:rsidR="00B32B21" w:rsidRDefault="00B32B21" w:rsidP="0087202E"/>
          <w:p w14:paraId="60866370" w14:textId="77777777" w:rsidR="00B32B21" w:rsidRDefault="00B32B21" w:rsidP="0087202E">
            <w:pPr>
              <w:rPr>
                <w:b/>
              </w:rPr>
            </w:pPr>
            <w:r>
              <w:rPr>
                <w:b/>
              </w:rPr>
              <w:t>Ústav přístrojové techniky AV ČR, v. v. i.</w:t>
            </w:r>
          </w:p>
          <w:p w14:paraId="1EA1A751" w14:textId="77777777" w:rsidR="00B32B21" w:rsidRDefault="00B32B21" w:rsidP="0087202E">
            <w:pPr>
              <w:rPr>
                <w:b/>
              </w:rPr>
            </w:pPr>
          </w:p>
          <w:p w14:paraId="3A9C89EB" w14:textId="77777777" w:rsidR="00B32B21" w:rsidRDefault="00B32B21" w:rsidP="0087202E"/>
          <w:p w14:paraId="2263DEC1" w14:textId="77777777" w:rsidR="00B32B21" w:rsidRDefault="00B32B21" w:rsidP="0087202E">
            <w:pPr>
              <w:tabs>
                <w:tab w:val="left" w:pos="4536"/>
                <w:tab w:val="left" w:pos="4962"/>
                <w:tab w:val="left" w:pos="8931"/>
              </w:tabs>
            </w:pPr>
            <w:r>
              <w:tab/>
            </w:r>
          </w:p>
          <w:p w14:paraId="6C65588B" w14:textId="77777777" w:rsidR="00B32B21" w:rsidRDefault="00B32B21" w:rsidP="0087202E">
            <w:pPr>
              <w:tabs>
                <w:tab w:val="left" w:leader="underscore" w:pos="4536"/>
                <w:tab w:val="left" w:pos="4962"/>
                <w:tab w:val="left" w:leader="dot" w:pos="8931"/>
              </w:tabs>
              <w:rPr>
                <w:position w:val="10"/>
                <w:sz w:val="12"/>
              </w:rPr>
            </w:pPr>
            <w:r>
              <w:rPr>
                <w:position w:val="10"/>
                <w:sz w:val="12"/>
              </w:rPr>
              <w:tab/>
            </w:r>
          </w:p>
          <w:p w14:paraId="0702C2D0" w14:textId="77777777" w:rsidR="00B32B21" w:rsidRPr="00A726DD" w:rsidRDefault="00B32B21" w:rsidP="0087202E">
            <w:pPr>
              <w:spacing w:after="120"/>
              <w:rPr>
                <w:sz w:val="16"/>
                <w:szCs w:val="16"/>
              </w:rPr>
            </w:pPr>
            <w:r w:rsidRPr="00A726DD">
              <w:rPr>
                <w:sz w:val="16"/>
                <w:szCs w:val="16"/>
              </w:rPr>
              <w:t>vlastnoruční podpis</w:t>
            </w:r>
          </w:p>
          <w:p w14:paraId="0FF851D9" w14:textId="77777777" w:rsidR="00B32B21" w:rsidRPr="005B636C" w:rsidRDefault="00B32B21" w:rsidP="0087202E">
            <w:pPr>
              <w:tabs>
                <w:tab w:val="left" w:pos="851"/>
              </w:tabs>
              <w:rPr>
                <w:b/>
                <w:szCs w:val="18"/>
              </w:rPr>
            </w:pPr>
            <w:r w:rsidRPr="005B636C">
              <w:rPr>
                <w:b/>
                <w:szCs w:val="18"/>
              </w:rPr>
              <w:t>Jméno:</w:t>
            </w:r>
            <w:r w:rsidRPr="005B636C">
              <w:rPr>
                <w:b/>
                <w:szCs w:val="18"/>
              </w:rPr>
              <w:tab/>
            </w:r>
            <w:r w:rsidRPr="00FF4724">
              <w:rPr>
                <w:b/>
                <w:szCs w:val="18"/>
                <w:highlight w:val="black"/>
              </w:rPr>
              <w:t>prof. Ing. Josef Lazar, Dr.</w:t>
            </w:r>
          </w:p>
          <w:p w14:paraId="4468B2B8" w14:textId="77777777" w:rsidR="00B32B21" w:rsidRPr="005B636C" w:rsidRDefault="00B32B21" w:rsidP="0087202E">
            <w:pPr>
              <w:ind w:left="851" w:hanging="851"/>
              <w:rPr>
                <w:b/>
                <w:szCs w:val="18"/>
              </w:rPr>
            </w:pPr>
            <w:r w:rsidRPr="005B636C">
              <w:rPr>
                <w:b/>
                <w:szCs w:val="18"/>
              </w:rPr>
              <w:t>Funkce:</w:t>
            </w:r>
            <w:r w:rsidRPr="005B636C">
              <w:rPr>
                <w:b/>
                <w:szCs w:val="18"/>
              </w:rPr>
              <w:tab/>
            </w:r>
            <w:r>
              <w:rPr>
                <w:b/>
                <w:szCs w:val="18"/>
              </w:rPr>
              <w:t>ředitel ústavu</w:t>
            </w:r>
          </w:p>
          <w:p w14:paraId="7F9D2238" w14:textId="77777777" w:rsidR="00B32B21" w:rsidRDefault="00B32B21" w:rsidP="0087202E">
            <w:pPr>
              <w:tabs>
                <w:tab w:val="left" w:pos="1276"/>
              </w:tabs>
            </w:pPr>
          </w:p>
        </w:tc>
      </w:tr>
    </w:tbl>
    <w:p w14:paraId="2D93548B" w14:textId="77777777" w:rsidR="00BA13F2" w:rsidRPr="00661A60" w:rsidRDefault="00BA13F2" w:rsidP="005126A5"/>
    <w:p w14:paraId="081F11F8" w14:textId="77777777" w:rsidR="00BA13F2" w:rsidRPr="00661A60" w:rsidRDefault="00BA13F2" w:rsidP="005126A5">
      <w:pPr>
        <w:sectPr w:rsidR="00BA13F2" w:rsidRPr="00661A60">
          <w:headerReference w:type="default" r:id="rId15"/>
          <w:footerReference w:type="default" r:id="rId16"/>
          <w:pgSz w:w="11907" w:h="16840" w:code="9"/>
          <w:pgMar w:top="2552" w:right="1134" w:bottom="1134" w:left="1134" w:header="454" w:footer="397" w:gutter="0"/>
          <w:pgNumType w:start="1"/>
          <w:cols w:space="708"/>
          <w:formProt w:val="0"/>
        </w:sectPr>
      </w:pPr>
    </w:p>
    <w:p w14:paraId="2B0116C9" w14:textId="77777777" w:rsidR="00BA13F2" w:rsidRPr="00661A60" w:rsidRDefault="005126A5" w:rsidP="005126A5">
      <w:pPr>
        <w:tabs>
          <w:tab w:val="left" w:pos="4536"/>
        </w:tabs>
        <w:jc w:val="center"/>
        <w:rPr>
          <w:rFonts w:cs="Arial"/>
          <w:b/>
          <w:caps/>
          <w:szCs w:val="18"/>
        </w:rPr>
      </w:pPr>
      <w:r>
        <w:rPr>
          <w:rFonts w:cs="Arial"/>
          <w:b/>
          <w:caps/>
          <w:szCs w:val="18"/>
        </w:rPr>
        <w:lastRenderedPageBreak/>
        <w:t>KONTAKTNÍ ÚDAJE BANKY</w:t>
      </w:r>
    </w:p>
    <w:p w14:paraId="63D3DFA1" w14:textId="77777777" w:rsidR="004A7A97" w:rsidRPr="00661A60" w:rsidRDefault="004A7A97" w:rsidP="005126A5">
      <w:pPr>
        <w:rPr>
          <w:szCs w:val="18"/>
        </w:rPr>
      </w:pPr>
    </w:p>
    <w:p w14:paraId="52370FAF" w14:textId="77777777" w:rsidR="005126A5" w:rsidRPr="00674D1F" w:rsidRDefault="005126A5" w:rsidP="006D6C7C">
      <w:pPr>
        <w:numPr>
          <w:ilvl w:val="0"/>
          <w:numId w:val="8"/>
        </w:numPr>
        <w:spacing w:after="60"/>
        <w:ind w:left="284" w:hanging="284"/>
        <w:rPr>
          <w:rFonts w:cs="Arial"/>
          <w:b/>
          <w:szCs w:val="18"/>
        </w:rPr>
      </w:pPr>
      <w:r w:rsidRPr="00674D1F">
        <w:rPr>
          <w:rFonts w:cs="Arial"/>
          <w:b/>
          <w:szCs w:val="18"/>
        </w:rPr>
        <w:t>Kontaktní údaje pro záležitosti týkající se této Smlouvy, a to s výjimkou Pokynů:</w:t>
      </w:r>
    </w:p>
    <w:p w14:paraId="25619181" w14:textId="77777777" w:rsidR="005126A5" w:rsidRPr="00674D1F" w:rsidRDefault="005126A5" w:rsidP="005126A5">
      <w:pPr>
        <w:spacing w:after="60"/>
        <w:ind w:left="284"/>
        <w:rPr>
          <w:rFonts w:cs="Arial"/>
          <w:szCs w:val="18"/>
        </w:rPr>
      </w:pPr>
      <w:r w:rsidRPr="00674D1F">
        <w:rPr>
          <w:rFonts w:cs="Arial"/>
          <w:szCs w:val="18"/>
        </w:rPr>
        <w:t>Komerční banka, a.s.,</w:t>
      </w:r>
    </w:p>
    <w:p w14:paraId="2B17CF0B" w14:textId="77777777" w:rsidR="005126A5" w:rsidRPr="00661A60" w:rsidRDefault="005126A5" w:rsidP="005126A5">
      <w:pPr>
        <w:spacing w:after="60"/>
        <w:ind w:left="284"/>
        <w:rPr>
          <w:rFonts w:cs="Arial"/>
          <w:szCs w:val="18"/>
        </w:rPr>
      </w:pPr>
      <w:r w:rsidRPr="00661A60">
        <w:rPr>
          <w:rFonts w:cs="Arial"/>
          <w:szCs w:val="18"/>
        </w:rPr>
        <w:t>Investiční bankovnictví – Globální strategie a vývoj</w:t>
      </w:r>
    </w:p>
    <w:p w14:paraId="4B6E8FEB" w14:textId="77777777" w:rsidR="005126A5" w:rsidRPr="00661A60" w:rsidRDefault="005126A5" w:rsidP="005126A5">
      <w:pPr>
        <w:spacing w:after="60"/>
        <w:ind w:left="284"/>
        <w:rPr>
          <w:rFonts w:cs="Arial"/>
          <w:szCs w:val="18"/>
        </w:rPr>
      </w:pPr>
      <w:r w:rsidRPr="00661A60">
        <w:rPr>
          <w:rFonts w:cs="Arial"/>
          <w:szCs w:val="18"/>
        </w:rPr>
        <w:t xml:space="preserve">Václavské náměstí </w:t>
      </w:r>
      <w:r w:rsidR="007D181E">
        <w:rPr>
          <w:rFonts w:cs="Arial"/>
          <w:szCs w:val="18"/>
        </w:rPr>
        <w:t>42</w:t>
      </w:r>
    </w:p>
    <w:p w14:paraId="6B9409AD" w14:textId="77777777" w:rsidR="005126A5" w:rsidRDefault="005126A5" w:rsidP="005126A5">
      <w:pPr>
        <w:spacing w:after="60"/>
        <w:ind w:left="284"/>
        <w:rPr>
          <w:rFonts w:cs="Arial"/>
          <w:szCs w:val="18"/>
        </w:rPr>
      </w:pPr>
      <w:r w:rsidRPr="00661A60">
        <w:rPr>
          <w:rFonts w:cs="Arial"/>
          <w:szCs w:val="18"/>
        </w:rPr>
        <w:t>114 07 Praha 1</w:t>
      </w:r>
    </w:p>
    <w:p w14:paraId="294433DA" w14:textId="77777777" w:rsidR="005126A5" w:rsidRDefault="005126A5" w:rsidP="005126A5">
      <w:pPr>
        <w:spacing w:after="60"/>
        <w:ind w:left="284"/>
        <w:rPr>
          <w:rFonts w:cs="Arial"/>
          <w:szCs w:val="18"/>
        </w:rPr>
      </w:pPr>
      <w:r w:rsidRPr="00674D1F">
        <w:rPr>
          <w:rFonts w:cs="Arial"/>
          <w:szCs w:val="18"/>
        </w:rPr>
        <w:t>anebo na kterémkoliv obchodním místě Banky, které poskytuje Služby spojené s Cennými papíry a Zlatem („Pobočka“).</w:t>
      </w:r>
    </w:p>
    <w:p w14:paraId="3885EB5E" w14:textId="77777777" w:rsidR="005126A5" w:rsidRPr="005126A5" w:rsidRDefault="005126A5" w:rsidP="005126A5">
      <w:pPr>
        <w:rPr>
          <w:szCs w:val="18"/>
        </w:rPr>
      </w:pPr>
    </w:p>
    <w:p w14:paraId="04A33F55" w14:textId="77777777" w:rsidR="005126A5" w:rsidRPr="00674D1F" w:rsidRDefault="005126A5" w:rsidP="006D6C7C">
      <w:pPr>
        <w:numPr>
          <w:ilvl w:val="0"/>
          <w:numId w:val="8"/>
        </w:numPr>
        <w:spacing w:after="60"/>
        <w:ind w:left="284" w:hanging="284"/>
        <w:rPr>
          <w:rFonts w:cs="Arial"/>
          <w:b/>
          <w:szCs w:val="18"/>
        </w:rPr>
      </w:pPr>
      <w:r w:rsidRPr="00674D1F">
        <w:rPr>
          <w:rFonts w:cs="Arial"/>
          <w:b/>
          <w:szCs w:val="18"/>
        </w:rPr>
        <w:t>Kontaktní údaje pro podávání Obchodních pokynů:</w:t>
      </w:r>
    </w:p>
    <w:p w14:paraId="05C14C9D" w14:textId="77777777" w:rsidR="005126A5" w:rsidRPr="00674D1F" w:rsidRDefault="005126A5" w:rsidP="006D6C7C">
      <w:pPr>
        <w:numPr>
          <w:ilvl w:val="1"/>
          <w:numId w:val="8"/>
        </w:numPr>
        <w:spacing w:after="60"/>
        <w:ind w:left="709" w:hanging="425"/>
        <w:rPr>
          <w:rFonts w:cs="Arial"/>
          <w:b/>
          <w:szCs w:val="18"/>
        </w:rPr>
      </w:pPr>
      <w:r>
        <w:rPr>
          <w:rFonts w:cs="Arial"/>
          <w:b/>
          <w:szCs w:val="18"/>
        </w:rPr>
        <w:t>Pro Obchody na sekundárním trhu:</w:t>
      </w:r>
    </w:p>
    <w:p w14:paraId="63A4E75E" w14:textId="77777777" w:rsidR="00305D81" w:rsidRDefault="00305D81" w:rsidP="005126A5">
      <w:pPr>
        <w:ind w:left="709"/>
        <w:rPr>
          <w:rFonts w:cs="Arial"/>
          <w:noProof/>
          <w:spacing w:val="-4"/>
          <w:szCs w:val="18"/>
        </w:rPr>
      </w:pPr>
      <w:r w:rsidRPr="006F4880">
        <w:rPr>
          <w:rFonts w:cs="Arial"/>
          <w:szCs w:val="18"/>
        </w:rPr>
        <w:t>Online Portfolio</w:t>
      </w:r>
      <w:r>
        <w:rPr>
          <w:rFonts w:cs="Arial"/>
          <w:szCs w:val="18"/>
        </w:rPr>
        <w:t xml:space="preserve"> </w:t>
      </w:r>
      <w:r w:rsidRPr="00251B7B">
        <w:rPr>
          <w:rFonts w:cs="Arial"/>
          <w:noProof/>
          <w:szCs w:val="18"/>
        </w:rPr>
        <w:t>dostupné na trading.kb.cz</w:t>
      </w:r>
    </w:p>
    <w:p w14:paraId="484CF42A" w14:textId="77777777" w:rsidR="005126A5" w:rsidRPr="0081282F" w:rsidRDefault="005126A5" w:rsidP="005126A5">
      <w:pPr>
        <w:ind w:left="709"/>
        <w:rPr>
          <w:rFonts w:cs="Arial"/>
          <w:noProof/>
          <w:spacing w:val="-4"/>
          <w:szCs w:val="18"/>
        </w:rPr>
      </w:pPr>
      <w:r w:rsidRPr="0081282F">
        <w:rPr>
          <w:rFonts w:cs="Arial"/>
          <w:noProof/>
          <w:spacing w:val="-4"/>
          <w:szCs w:val="18"/>
        </w:rPr>
        <w:t xml:space="preserve">Telefonicky na Dealing KB (číslo +420 222 008 395 </w:t>
      </w:r>
      <w:r w:rsidRPr="0081282F">
        <w:rPr>
          <w:rFonts w:cs="Arial"/>
          <w:spacing w:val="-4"/>
          <w:szCs w:val="18"/>
        </w:rPr>
        <w:t>nebo jakékoliv z telefonních čísel: +420 222 008 237 až 239)</w:t>
      </w:r>
      <w:r w:rsidR="00305D81">
        <w:rPr>
          <w:rFonts w:cs="Arial"/>
          <w:spacing w:val="-4"/>
          <w:szCs w:val="18"/>
        </w:rPr>
        <w:t>.</w:t>
      </w:r>
    </w:p>
    <w:p w14:paraId="4B3FC221" w14:textId="77777777" w:rsidR="005126A5" w:rsidRPr="00674D1F" w:rsidRDefault="005126A5" w:rsidP="005126A5">
      <w:pPr>
        <w:tabs>
          <w:tab w:val="left" w:pos="851"/>
        </w:tabs>
        <w:rPr>
          <w:rFonts w:cs="Arial"/>
          <w:szCs w:val="18"/>
        </w:rPr>
      </w:pPr>
    </w:p>
    <w:p w14:paraId="680741C7" w14:textId="77777777" w:rsidR="005126A5" w:rsidRPr="00674D1F" w:rsidRDefault="005126A5" w:rsidP="006D6C7C">
      <w:pPr>
        <w:numPr>
          <w:ilvl w:val="1"/>
          <w:numId w:val="8"/>
        </w:numPr>
        <w:spacing w:after="60"/>
        <w:ind w:left="709" w:hanging="425"/>
        <w:rPr>
          <w:rFonts w:cs="Arial"/>
          <w:b/>
          <w:szCs w:val="18"/>
        </w:rPr>
      </w:pPr>
      <w:r w:rsidRPr="00674D1F">
        <w:rPr>
          <w:rFonts w:cs="Arial"/>
          <w:b/>
          <w:szCs w:val="18"/>
        </w:rPr>
        <w:t>Pro Obchody na primárním trhu</w:t>
      </w:r>
      <w:r>
        <w:rPr>
          <w:rFonts w:cs="Arial"/>
          <w:b/>
          <w:szCs w:val="18"/>
        </w:rPr>
        <w:t>:</w:t>
      </w:r>
    </w:p>
    <w:p w14:paraId="79736EAB" w14:textId="77777777" w:rsidR="00305D81" w:rsidRDefault="00305D81" w:rsidP="005126A5">
      <w:pPr>
        <w:tabs>
          <w:tab w:val="left" w:pos="851"/>
        </w:tabs>
        <w:ind w:left="709"/>
        <w:rPr>
          <w:rFonts w:cs="Arial"/>
          <w:szCs w:val="18"/>
        </w:rPr>
      </w:pPr>
      <w:r w:rsidRPr="006F4880">
        <w:rPr>
          <w:rFonts w:cs="Arial"/>
          <w:szCs w:val="18"/>
        </w:rPr>
        <w:t>Online Portfolio</w:t>
      </w:r>
      <w:r>
        <w:rPr>
          <w:rFonts w:cs="Arial"/>
          <w:szCs w:val="18"/>
        </w:rPr>
        <w:t xml:space="preserve"> </w:t>
      </w:r>
      <w:r w:rsidRPr="00251B7B">
        <w:rPr>
          <w:rFonts w:cs="Arial"/>
          <w:noProof/>
          <w:szCs w:val="18"/>
        </w:rPr>
        <w:t>dostupné na trading.kb.cz</w:t>
      </w:r>
    </w:p>
    <w:p w14:paraId="5C698E3B" w14:textId="77777777" w:rsidR="00305D81" w:rsidRDefault="00305D81" w:rsidP="005126A5">
      <w:pPr>
        <w:tabs>
          <w:tab w:val="left" w:pos="851"/>
        </w:tabs>
        <w:ind w:left="709"/>
        <w:rPr>
          <w:rFonts w:cs="Arial"/>
          <w:szCs w:val="18"/>
        </w:rPr>
      </w:pPr>
      <w:r w:rsidRPr="0081282F">
        <w:rPr>
          <w:rFonts w:cs="Arial"/>
          <w:noProof/>
          <w:spacing w:val="-4"/>
          <w:szCs w:val="18"/>
        </w:rPr>
        <w:t xml:space="preserve">Telefonicky na Dealing KB (číslo +420 222 008 395 </w:t>
      </w:r>
      <w:r w:rsidRPr="0081282F">
        <w:rPr>
          <w:rFonts w:cs="Arial"/>
          <w:spacing w:val="-4"/>
          <w:szCs w:val="18"/>
        </w:rPr>
        <w:t>nebo jakékoliv z telefonních čísel: +420 222 008 237 až 239)</w:t>
      </w:r>
      <w:r>
        <w:rPr>
          <w:rFonts w:cs="Arial"/>
          <w:spacing w:val="-4"/>
          <w:szCs w:val="18"/>
        </w:rPr>
        <w:t>.</w:t>
      </w:r>
    </w:p>
    <w:p w14:paraId="58824DDD" w14:textId="77777777" w:rsidR="005126A5" w:rsidRDefault="005126A5" w:rsidP="005126A5">
      <w:pPr>
        <w:tabs>
          <w:tab w:val="left" w:pos="851"/>
        </w:tabs>
        <w:ind w:left="709"/>
        <w:rPr>
          <w:rFonts w:cs="Arial"/>
          <w:szCs w:val="18"/>
        </w:rPr>
      </w:pPr>
      <w:r w:rsidRPr="00674D1F">
        <w:rPr>
          <w:rFonts w:cs="Arial"/>
          <w:szCs w:val="18"/>
        </w:rPr>
        <w:t>Písemně na Pobočce anebo svému bankovnímu poradci.</w:t>
      </w:r>
    </w:p>
    <w:p w14:paraId="19F20EB9" w14:textId="77777777" w:rsidR="005126A5" w:rsidRPr="00054076" w:rsidRDefault="005126A5" w:rsidP="005126A5">
      <w:pPr>
        <w:tabs>
          <w:tab w:val="left" w:pos="851"/>
        </w:tabs>
        <w:rPr>
          <w:rFonts w:cs="Arial"/>
          <w:szCs w:val="18"/>
        </w:rPr>
      </w:pPr>
    </w:p>
    <w:p w14:paraId="762B9736" w14:textId="77777777" w:rsidR="005126A5" w:rsidRPr="00674D1F" w:rsidRDefault="005126A5" w:rsidP="006D6C7C">
      <w:pPr>
        <w:numPr>
          <w:ilvl w:val="1"/>
          <w:numId w:val="8"/>
        </w:numPr>
        <w:spacing w:after="60"/>
        <w:ind w:left="709" w:hanging="425"/>
        <w:rPr>
          <w:rFonts w:cs="Arial"/>
          <w:b/>
          <w:szCs w:val="18"/>
        </w:rPr>
      </w:pPr>
      <w:r w:rsidRPr="00674D1F">
        <w:rPr>
          <w:rFonts w:cs="Arial"/>
          <w:b/>
          <w:szCs w:val="18"/>
        </w:rPr>
        <w:t xml:space="preserve">Obchody se Zlatem </w:t>
      </w:r>
      <w:r>
        <w:rPr>
          <w:rFonts w:cs="Arial"/>
          <w:b/>
          <w:szCs w:val="18"/>
        </w:rPr>
        <w:t xml:space="preserve">v </w:t>
      </w:r>
      <w:r w:rsidRPr="00674D1F">
        <w:rPr>
          <w:rFonts w:cs="Arial"/>
          <w:b/>
          <w:szCs w:val="18"/>
        </w:rPr>
        <w:t>EUR:</w:t>
      </w:r>
    </w:p>
    <w:p w14:paraId="0154E1D1" w14:textId="77777777" w:rsidR="005126A5" w:rsidRPr="0081282F" w:rsidRDefault="005126A5" w:rsidP="005126A5">
      <w:pPr>
        <w:tabs>
          <w:tab w:val="left" w:pos="851"/>
        </w:tabs>
        <w:ind w:left="709"/>
        <w:rPr>
          <w:rFonts w:cs="Arial"/>
          <w:spacing w:val="-4"/>
          <w:szCs w:val="18"/>
        </w:rPr>
      </w:pPr>
      <w:r w:rsidRPr="0081282F">
        <w:rPr>
          <w:rFonts w:cs="Arial"/>
          <w:spacing w:val="-4"/>
          <w:szCs w:val="18"/>
        </w:rPr>
        <w:t>Telefonicky na Dealing KB (číslo +420 222 008 395 nebo jakékoliv z telefonních čísel: +420 222 008 237 až 239)</w:t>
      </w:r>
      <w:r w:rsidR="00305D81">
        <w:rPr>
          <w:rFonts w:cs="Arial"/>
          <w:spacing w:val="-4"/>
          <w:szCs w:val="18"/>
        </w:rPr>
        <w:t>.</w:t>
      </w:r>
    </w:p>
    <w:p w14:paraId="3067B152" w14:textId="77777777" w:rsidR="005126A5" w:rsidRPr="00674D1F" w:rsidRDefault="005126A5" w:rsidP="005126A5">
      <w:pPr>
        <w:tabs>
          <w:tab w:val="left" w:pos="851"/>
        </w:tabs>
        <w:rPr>
          <w:rFonts w:cs="Arial"/>
          <w:szCs w:val="18"/>
        </w:rPr>
      </w:pPr>
    </w:p>
    <w:p w14:paraId="150A5895" w14:textId="77777777" w:rsidR="005126A5" w:rsidRPr="00674D1F" w:rsidRDefault="005126A5" w:rsidP="006D6C7C">
      <w:pPr>
        <w:numPr>
          <w:ilvl w:val="1"/>
          <w:numId w:val="8"/>
        </w:numPr>
        <w:spacing w:after="60"/>
        <w:ind w:left="709" w:hanging="425"/>
        <w:rPr>
          <w:rFonts w:cs="Arial"/>
          <w:b/>
          <w:szCs w:val="18"/>
        </w:rPr>
      </w:pPr>
      <w:r w:rsidRPr="00674D1F">
        <w:rPr>
          <w:rFonts w:cs="Arial"/>
          <w:b/>
          <w:szCs w:val="18"/>
        </w:rPr>
        <w:t xml:space="preserve">Obchody se Zlatem </w:t>
      </w:r>
      <w:r>
        <w:rPr>
          <w:rFonts w:cs="Arial"/>
          <w:b/>
          <w:szCs w:val="18"/>
        </w:rPr>
        <w:t>v </w:t>
      </w:r>
      <w:r w:rsidRPr="00674D1F">
        <w:rPr>
          <w:rFonts w:cs="Arial"/>
          <w:b/>
          <w:szCs w:val="18"/>
        </w:rPr>
        <w:t>CZK</w:t>
      </w:r>
      <w:r>
        <w:rPr>
          <w:rFonts w:cs="Arial"/>
          <w:b/>
          <w:szCs w:val="18"/>
        </w:rPr>
        <w:t>:</w:t>
      </w:r>
    </w:p>
    <w:p w14:paraId="48F4F72D" w14:textId="77777777" w:rsidR="005126A5" w:rsidRDefault="005126A5" w:rsidP="005126A5">
      <w:pPr>
        <w:tabs>
          <w:tab w:val="left" w:pos="851"/>
        </w:tabs>
        <w:ind w:left="709"/>
        <w:rPr>
          <w:rFonts w:cs="Arial"/>
          <w:szCs w:val="18"/>
        </w:rPr>
      </w:pPr>
      <w:r w:rsidRPr="00674D1F">
        <w:rPr>
          <w:rFonts w:cs="Arial"/>
          <w:szCs w:val="18"/>
        </w:rPr>
        <w:t>Písemně na Pobočce anebo svému bankovnímu poradci.</w:t>
      </w:r>
    </w:p>
    <w:p w14:paraId="78BB4D87" w14:textId="77777777" w:rsidR="005126A5" w:rsidRPr="005126A5" w:rsidRDefault="005126A5" w:rsidP="005126A5">
      <w:pPr>
        <w:tabs>
          <w:tab w:val="left" w:pos="851"/>
        </w:tabs>
        <w:rPr>
          <w:rFonts w:cs="Arial"/>
          <w:szCs w:val="18"/>
        </w:rPr>
      </w:pPr>
    </w:p>
    <w:p w14:paraId="449A23D6" w14:textId="77777777" w:rsidR="005126A5" w:rsidRDefault="005126A5" w:rsidP="006D6C7C">
      <w:pPr>
        <w:numPr>
          <w:ilvl w:val="0"/>
          <w:numId w:val="8"/>
        </w:numPr>
        <w:spacing w:after="60"/>
        <w:ind w:left="284" w:hanging="284"/>
        <w:rPr>
          <w:rFonts w:cs="Arial"/>
          <w:b/>
          <w:szCs w:val="18"/>
        </w:rPr>
      </w:pPr>
      <w:r w:rsidRPr="00674D1F">
        <w:rPr>
          <w:rFonts w:cs="Arial"/>
          <w:b/>
          <w:szCs w:val="18"/>
        </w:rPr>
        <w:t>Kontaktní údaje pro podávání Neobchodních pokynů</w:t>
      </w:r>
    </w:p>
    <w:p w14:paraId="685DA2E1" w14:textId="77777777" w:rsidR="005126A5" w:rsidRPr="00674D1F" w:rsidRDefault="005126A5" w:rsidP="006D6C7C">
      <w:pPr>
        <w:numPr>
          <w:ilvl w:val="1"/>
          <w:numId w:val="8"/>
        </w:numPr>
        <w:spacing w:after="60"/>
        <w:ind w:left="709" w:hanging="425"/>
        <w:rPr>
          <w:rFonts w:cs="Arial"/>
          <w:b/>
          <w:szCs w:val="18"/>
        </w:rPr>
      </w:pPr>
      <w:r w:rsidRPr="00674D1F">
        <w:rPr>
          <w:rFonts w:cs="Arial"/>
          <w:b/>
          <w:szCs w:val="18"/>
        </w:rPr>
        <w:t xml:space="preserve">Pokyny k převodu a přechodu </w:t>
      </w:r>
    </w:p>
    <w:p w14:paraId="6B3E7F48" w14:textId="77777777" w:rsidR="005126A5" w:rsidRPr="00674D1F" w:rsidRDefault="005126A5" w:rsidP="00A21048">
      <w:pPr>
        <w:tabs>
          <w:tab w:val="left" w:pos="851"/>
        </w:tabs>
        <w:ind w:left="709"/>
        <w:rPr>
          <w:rFonts w:cs="Arial"/>
          <w:szCs w:val="18"/>
        </w:rPr>
      </w:pPr>
      <w:r w:rsidRPr="00674D1F">
        <w:rPr>
          <w:rFonts w:cs="Arial"/>
          <w:szCs w:val="18"/>
        </w:rPr>
        <w:t>Písemně na Pobočce anebo svému bankovnímu poradci.</w:t>
      </w:r>
    </w:p>
    <w:p w14:paraId="57A5DC6C" w14:textId="77777777" w:rsidR="005126A5" w:rsidRPr="00674D1F" w:rsidRDefault="005126A5" w:rsidP="00A21048">
      <w:pPr>
        <w:tabs>
          <w:tab w:val="left" w:pos="851"/>
        </w:tabs>
        <w:rPr>
          <w:rFonts w:cs="Arial"/>
          <w:szCs w:val="18"/>
        </w:rPr>
      </w:pPr>
    </w:p>
    <w:p w14:paraId="11061166" w14:textId="77777777" w:rsidR="005126A5" w:rsidRPr="00251B7B" w:rsidRDefault="005126A5" w:rsidP="006D6C7C">
      <w:pPr>
        <w:numPr>
          <w:ilvl w:val="1"/>
          <w:numId w:val="8"/>
        </w:numPr>
        <w:spacing w:after="60"/>
        <w:ind w:left="709" w:hanging="425"/>
        <w:rPr>
          <w:rFonts w:cs="Arial"/>
          <w:b/>
          <w:szCs w:val="18"/>
        </w:rPr>
      </w:pPr>
      <w:r w:rsidRPr="00251B7B">
        <w:rPr>
          <w:rFonts w:cs="Arial"/>
          <w:b/>
          <w:szCs w:val="18"/>
        </w:rPr>
        <w:t xml:space="preserve">Pokyny k alokaci z nezařazené evidence </w:t>
      </w:r>
    </w:p>
    <w:p w14:paraId="30D63AB1" w14:textId="77777777" w:rsidR="005126A5" w:rsidRPr="00251B7B" w:rsidRDefault="005126A5" w:rsidP="00A21048">
      <w:pPr>
        <w:tabs>
          <w:tab w:val="left" w:pos="851"/>
        </w:tabs>
        <w:ind w:left="709"/>
        <w:rPr>
          <w:rFonts w:cs="Arial"/>
          <w:szCs w:val="18"/>
        </w:rPr>
      </w:pPr>
      <w:r w:rsidRPr="00251B7B">
        <w:rPr>
          <w:rFonts w:cs="Arial"/>
          <w:szCs w:val="18"/>
        </w:rPr>
        <w:t>Písemně na Pobočce anebo svému bankovnímu poradci.</w:t>
      </w:r>
    </w:p>
    <w:p w14:paraId="25965A77" w14:textId="77777777" w:rsidR="005126A5" w:rsidRPr="00674D1F" w:rsidRDefault="005126A5" w:rsidP="00A21048">
      <w:pPr>
        <w:tabs>
          <w:tab w:val="left" w:pos="851"/>
        </w:tabs>
        <w:rPr>
          <w:rFonts w:cs="Arial"/>
          <w:szCs w:val="18"/>
        </w:rPr>
      </w:pPr>
    </w:p>
    <w:p w14:paraId="1419499F" w14:textId="77777777" w:rsidR="005126A5" w:rsidRPr="00251B7B" w:rsidRDefault="005126A5" w:rsidP="006D6C7C">
      <w:pPr>
        <w:numPr>
          <w:ilvl w:val="1"/>
          <w:numId w:val="8"/>
        </w:numPr>
        <w:spacing w:after="60"/>
        <w:ind w:left="709" w:hanging="425"/>
        <w:rPr>
          <w:rFonts w:cs="Arial"/>
          <w:b/>
          <w:szCs w:val="18"/>
        </w:rPr>
      </w:pPr>
      <w:r w:rsidRPr="00251B7B">
        <w:rPr>
          <w:rFonts w:cs="Arial"/>
          <w:b/>
          <w:szCs w:val="18"/>
        </w:rPr>
        <w:t>Pokyny k výběru Hotovosti z Podúčtu hotovosti</w:t>
      </w:r>
    </w:p>
    <w:p w14:paraId="292A09B1" w14:textId="77777777" w:rsidR="005126A5" w:rsidRDefault="005126A5" w:rsidP="006D6C7C">
      <w:pPr>
        <w:pStyle w:val="Odstavecseseznamem"/>
        <w:numPr>
          <w:ilvl w:val="2"/>
          <w:numId w:val="8"/>
        </w:numPr>
        <w:ind w:left="1276" w:hanging="567"/>
        <w:rPr>
          <w:sz w:val="18"/>
          <w:szCs w:val="18"/>
        </w:rPr>
      </w:pPr>
      <w:r w:rsidRPr="00251B7B">
        <w:rPr>
          <w:b/>
          <w:sz w:val="18"/>
          <w:szCs w:val="18"/>
        </w:rPr>
        <w:t>Hotovostní výběr a vklad peněžních prostředků na Podúčet hotovosti formou inkasa z běžného účtu</w:t>
      </w:r>
    </w:p>
    <w:p w14:paraId="4CC2963B" w14:textId="77777777" w:rsidR="005126A5" w:rsidRPr="007E47B5" w:rsidRDefault="005126A5" w:rsidP="00A21048">
      <w:pPr>
        <w:ind w:left="1276"/>
        <w:rPr>
          <w:rFonts w:cs="Arial"/>
          <w:szCs w:val="18"/>
        </w:rPr>
      </w:pPr>
      <w:r w:rsidRPr="007E47B5">
        <w:rPr>
          <w:rFonts w:cs="Arial"/>
          <w:szCs w:val="18"/>
        </w:rPr>
        <w:t>Písemně na Pobočce anebo svému bankovnímu poradci.</w:t>
      </w:r>
    </w:p>
    <w:p w14:paraId="600A217C" w14:textId="77777777" w:rsidR="005126A5" w:rsidRDefault="005126A5" w:rsidP="00A21048">
      <w:pPr>
        <w:tabs>
          <w:tab w:val="left" w:pos="851"/>
        </w:tabs>
        <w:rPr>
          <w:rFonts w:cs="Arial"/>
          <w:szCs w:val="18"/>
        </w:rPr>
      </w:pPr>
    </w:p>
    <w:p w14:paraId="7FB379E5" w14:textId="77777777" w:rsidR="005126A5" w:rsidRPr="00251B7B" w:rsidRDefault="005126A5" w:rsidP="006D6C7C">
      <w:pPr>
        <w:pStyle w:val="Odstavecseseznamem"/>
        <w:numPr>
          <w:ilvl w:val="2"/>
          <w:numId w:val="8"/>
        </w:numPr>
        <w:ind w:left="1276" w:hanging="567"/>
        <w:rPr>
          <w:b/>
          <w:sz w:val="18"/>
          <w:szCs w:val="18"/>
        </w:rPr>
      </w:pPr>
      <w:r w:rsidRPr="00251B7B">
        <w:rPr>
          <w:b/>
          <w:sz w:val="18"/>
          <w:szCs w:val="18"/>
        </w:rPr>
        <w:t>Bezhotovostní výběr</w:t>
      </w:r>
    </w:p>
    <w:p w14:paraId="23583CF4" w14:textId="77777777" w:rsidR="00305D81" w:rsidRDefault="00305D81" w:rsidP="00305D81">
      <w:pPr>
        <w:ind w:left="1276"/>
        <w:rPr>
          <w:rFonts w:cs="Arial"/>
          <w:szCs w:val="18"/>
        </w:rPr>
      </w:pPr>
      <w:r w:rsidRPr="009B770F">
        <w:rPr>
          <w:rFonts w:cs="Arial"/>
          <w:szCs w:val="18"/>
        </w:rPr>
        <w:t>Online Portfolio dostupné na trading.kb.cz</w:t>
      </w:r>
    </w:p>
    <w:p w14:paraId="0B2732BD" w14:textId="77777777" w:rsidR="00305D81" w:rsidRDefault="00305D81" w:rsidP="00305D81">
      <w:pPr>
        <w:ind w:left="1276"/>
        <w:rPr>
          <w:rFonts w:cs="Arial"/>
          <w:szCs w:val="18"/>
        </w:rPr>
      </w:pPr>
      <w:r>
        <w:rPr>
          <w:rFonts w:cs="Arial"/>
          <w:szCs w:val="18"/>
        </w:rPr>
        <w:t>Písemně na pobočce anebo svému bankovnímu poradci.</w:t>
      </w:r>
    </w:p>
    <w:p w14:paraId="79D224D2" w14:textId="77777777" w:rsidR="005126A5" w:rsidRDefault="00305D81" w:rsidP="00305D81">
      <w:pPr>
        <w:ind w:left="1276"/>
        <w:rPr>
          <w:rFonts w:cs="Arial"/>
          <w:szCs w:val="18"/>
        </w:rPr>
      </w:pPr>
      <w:r>
        <w:rPr>
          <w:rFonts w:cs="Arial"/>
          <w:szCs w:val="18"/>
        </w:rPr>
        <w:t>Telefonicky na Dealing KB (</w:t>
      </w:r>
      <w:r w:rsidRPr="00674D1F">
        <w:rPr>
          <w:rFonts w:cs="Arial"/>
          <w:szCs w:val="18"/>
        </w:rPr>
        <w:t>číslo +420 222 008 395 nebo jakékoliv z telefonních čísel: +420 222 008 2</w:t>
      </w:r>
      <w:r>
        <w:rPr>
          <w:rFonts w:cs="Arial"/>
          <w:szCs w:val="18"/>
        </w:rPr>
        <w:t>37</w:t>
      </w:r>
      <w:r w:rsidRPr="00674D1F">
        <w:rPr>
          <w:rFonts w:cs="Arial"/>
          <w:szCs w:val="18"/>
        </w:rPr>
        <w:t xml:space="preserve"> až 2</w:t>
      </w:r>
      <w:r>
        <w:rPr>
          <w:rFonts w:cs="Arial"/>
          <w:szCs w:val="18"/>
        </w:rPr>
        <w:t>39).</w:t>
      </w:r>
    </w:p>
    <w:p w14:paraId="0DDB73EB" w14:textId="77777777" w:rsidR="005126A5" w:rsidRDefault="005126A5" w:rsidP="00A21048">
      <w:pPr>
        <w:tabs>
          <w:tab w:val="left" w:pos="851"/>
        </w:tabs>
        <w:rPr>
          <w:rFonts w:cs="Arial"/>
          <w:szCs w:val="18"/>
        </w:rPr>
      </w:pPr>
    </w:p>
    <w:p w14:paraId="36FAB9F1" w14:textId="77777777" w:rsidR="005126A5" w:rsidRDefault="005126A5" w:rsidP="006D6C7C">
      <w:pPr>
        <w:numPr>
          <w:ilvl w:val="1"/>
          <w:numId w:val="8"/>
        </w:numPr>
        <w:spacing w:after="60"/>
        <w:ind w:left="709" w:hanging="425"/>
        <w:rPr>
          <w:rFonts w:cs="Arial"/>
          <w:b/>
          <w:szCs w:val="18"/>
        </w:rPr>
      </w:pPr>
      <w:r w:rsidRPr="00251B7B">
        <w:rPr>
          <w:rFonts w:cs="Arial"/>
          <w:b/>
          <w:szCs w:val="18"/>
        </w:rPr>
        <w:t>Vklad peněžních prostředků na Podúčet hotovosti</w:t>
      </w:r>
    </w:p>
    <w:p w14:paraId="4BBC1589" w14:textId="77777777" w:rsidR="005126A5" w:rsidRDefault="005126A5" w:rsidP="006D6C7C">
      <w:pPr>
        <w:pStyle w:val="Odstavecseseznamem"/>
        <w:numPr>
          <w:ilvl w:val="2"/>
          <w:numId w:val="8"/>
        </w:numPr>
        <w:ind w:left="1276" w:hanging="567"/>
        <w:rPr>
          <w:b/>
          <w:sz w:val="18"/>
          <w:szCs w:val="18"/>
        </w:rPr>
      </w:pPr>
      <w:r>
        <w:rPr>
          <w:b/>
          <w:sz w:val="18"/>
          <w:szCs w:val="18"/>
        </w:rPr>
        <w:t>Hotovostní vklad</w:t>
      </w:r>
    </w:p>
    <w:p w14:paraId="09931173" w14:textId="77777777" w:rsidR="005126A5" w:rsidRDefault="005126A5" w:rsidP="00A21048">
      <w:pPr>
        <w:ind w:left="1276"/>
        <w:rPr>
          <w:rFonts w:cs="Arial"/>
          <w:szCs w:val="18"/>
        </w:rPr>
      </w:pPr>
      <w:r w:rsidRPr="003A553B">
        <w:rPr>
          <w:rFonts w:cs="Arial"/>
          <w:szCs w:val="18"/>
        </w:rPr>
        <w:t>Písemně na Pobočce anebo svému bankovnímu poradci.</w:t>
      </w:r>
    </w:p>
    <w:p w14:paraId="6A1112BC" w14:textId="77777777" w:rsidR="005126A5" w:rsidRDefault="005126A5" w:rsidP="00A21048">
      <w:pPr>
        <w:tabs>
          <w:tab w:val="left" w:pos="851"/>
        </w:tabs>
        <w:rPr>
          <w:rFonts w:cs="Arial"/>
          <w:szCs w:val="18"/>
        </w:rPr>
      </w:pPr>
    </w:p>
    <w:p w14:paraId="2C08ABB6" w14:textId="77777777" w:rsidR="005126A5" w:rsidRPr="00251B7B" w:rsidRDefault="005126A5" w:rsidP="006D6C7C">
      <w:pPr>
        <w:pStyle w:val="Odstavecseseznamem"/>
        <w:numPr>
          <w:ilvl w:val="2"/>
          <w:numId w:val="8"/>
        </w:numPr>
        <w:ind w:left="1276" w:hanging="567"/>
        <w:rPr>
          <w:b/>
          <w:sz w:val="18"/>
          <w:szCs w:val="18"/>
        </w:rPr>
      </w:pPr>
      <w:r w:rsidRPr="00251B7B">
        <w:rPr>
          <w:b/>
          <w:sz w:val="18"/>
          <w:szCs w:val="18"/>
        </w:rPr>
        <w:t>Bezhotovostní vklad</w:t>
      </w:r>
    </w:p>
    <w:p w14:paraId="63B030CB" w14:textId="77777777" w:rsidR="00305D81" w:rsidRDefault="00305D81" w:rsidP="00305D81">
      <w:pPr>
        <w:ind w:left="1276"/>
        <w:rPr>
          <w:rFonts w:cs="Arial"/>
          <w:szCs w:val="18"/>
        </w:rPr>
      </w:pPr>
      <w:r w:rsidRPr="009B770F">
        <w:rPr>
          <w:rFonts w:cs="Arial"/>
          <w:szCs w:val="18"/>
        </w:rPr>
        <w:t>Online Portfolio dostupné na trading.kb.cz</w:t>
      </w:r>
    </w:p>
    <w:p w14:paraId="794CC71D" w14:textId="77777777" w:rsidR="005126A5" w:rsidRPr="00251B7B" w:rsidRDefault="00305D81" w:rsidP="00305D81">
      <w:pPr>
        <w:ind w:left="1276"/>
        <w:rPr>
          <w:rFonts w:cs="Arial"/>
          <w:szCs w:val="18"/>
        </w:rPr>
      </w:pPr>
      <w:r>
        <w:rPr>
          <w:rFonts w:cs="Arial"/>
          <w:szCs w:val="18"/>
        </w:rPr>
        <w:t>V</w:t>
      </w:r>
      <w:r w:rsidRPr="00251B7B">
        <w:rPr>
          <w:rFonts w:cs="Arial"/>
          <w:szCs w:val="18"/>
        </w:rPr>
        <w:t>ložení peněžních prostředků na účty uvedené níže v příslušné měně.</w:t>
      </w:r>
    </w:p>
    <w:p w14:paraId="117FAEE8" w14:textId="77777777" w:rsidR="005126A5" w:rsidRPr="00A21048" w:rsidRDefault="005126A5" w:rsidP="00A21048">
      <w:pPr>
        <w:tabs>
          <w:tab w:val="left" w:pos="851"/>
        </w:tabs>
        <w:rPr>
          <w:rFonts w:cs="Arial"/>
          <w:szCs w:val="18"/>
        </w:rPr>
      </w:pPr>
    </w:p>
    <w:p w14:paraId="6A65A80F" w14:textId="77777777" w:rsidR="005126A5" w:rsidRPr="00674D1F" w:rsidRDefault="005126A5" w:rsidP="00A21048">
      <w:pPr>
        <w:ind w:left="1843" w:hanging="567"/>
        <w:rPr>
          <w:rFonts w:cs="Arial"/>
          <w:szCs w:val="18"/>
        </w:rPr>
      </w:pPr>
      <w:r w:rsidRPr="00674D1F">
        <w:rPr>
          <w:rFonts w:cs="Arial"/>
          <w:szCs w:val="18"/>
        </w:rPr>
        <w:t>CZK</w:t>
      </w:r>
      <w:r w:rsidRPr="00674D1F">
        <w:rPr>
          <w:rFonts w:cs="Arial"/>
          <w:szCs w:val="18"/>
        </w:rPr>
        <w:tab/>
        <w:t>195369750277/0100</w:t>
      </w:r>
    </w:p>
    <w:p w14:paraId="58ED46FA" w14:textId="77777777" w:rsidR="005126A5" w:rsidRPr="00674D1F" w:rsidRDefault="005126A5" w:rsidP="00A21048">
      <w:pPr>
        <w:ind w:left="1843" w:hanging="567"/>
        <w:rPr>
          <w:rFonts w:cs="Arial"/>
          <w:szCs w:val="18"/>
        </w:rPr>
      </w:pPr>
      <w:r w:rsidRPr="00674D1F">
        <w:rPr>
          <w:rFonts w:cs="Arial"/>
          <w:szCs w:val="18"/>
        </w:rPr>
        <w:t>EUR</w:t>
      </w:r>
      <w:r w:rsidRPr="00674D1F">
        <w:rPr>
          <w:rFonts w:cs="Arial"/>
          <w:szCs w:val="18"/>
        </w:rPr>
        <w:tab/>
        <w:t>195370570257/0100</w:t>
      </w:r>
    </w:p>
    <w:p w14:paraId="21C8C482" w14:textId="77777777" w:rsidR="005126A5" w:rsidRPr="00674D1F" w:rsidRDefault="005126A5" w:rsidP="00A21048">
      <w:pPr>
        <w:ind w:left="1843" w:hanging="567"/>
        <w:rPr>
          <w:rFonts w:cs="Arial"/>
          <w:szCs w:val="18"/>
        </w:rPr>
      </w:pPr>
      <w:r w:rsidRPr="00674D1F">
        <w:rPr>
          <w:rFonts w:cs="Arial"/>
          <w:szCs w:val="18"/>
        </w:rPr>
        <w:t>GBP</w:t>
      </w:r>
      <w:r w:rsidRPr="00674D1F">
        <w:rPr>
          <w:rFonts w:cs="Arial"/>
          <w:szCs w:val="18"/>
        </w:rPr>
        <w:tab/>
        <w:t>195371300267/0100</w:t>
      </w:r>
    </w:p>
    <w:p w14:paraId="2E2760FB" w14:textId="77777777" w:rsidR="005126A5" w:rsidRPr="00674D1F" w:rsidRDefault="005126A5" w:rsidP="00A21048">
      <w:pPr>
        <w:ind w:left="1843" w:hanging="567"/>
        <w:rPr>
          <w:rFonts w:cs="Arial"/>
          <w:szCs w:val="18"/>
        </w:rPr>
      </w:pPr>
      <w:r w:rsidRPr="00674D1F">
        <w:rPr>
          <w:rFonts w:cs="Arial"/>
          <w:szCs w:val="18"/>
        </w:rPr>
        <w:t>USD</w:t>
      </w:r>
      <w:r w:rsidRPr="00674D1F">
        <w:rPr>
          <w:rFonts w:cs="Arial"/>
          <w:szCs w:val="18"/>
        </w:rPr>
        <w:tab/>
        <w:t>195369730217/0100</w:t>
      </w:r>
    </w:p>
    <w:p w14:paraId="37C0480A" w14:textId="77777777" w:rsidR="005126A5" w:rsidRPr="00674D1F" w:rsidRDefault="005126A5" w:rsidP="00A21048">
      <w:pPr>
        <w:ind w:left="1843" w:hanging="567"/>
        <w:rPr>
          <w:rFonts w:cs="Arial"/>
          <w:szCs w:val="18"/>
        </w:rPr>
      </w:pPr>
      <w:r w:rsidRPr="00674D1F">
        <w:rPr>
          <w:rFonts w:cs="Arial"/>
          <w:szCs w:val="18"/>
        </w:rPr>
        <w:t>PLN</w:t>
      </w:r>
      <w:r w:rsidRPr="00674D1F">
        <w:rPr>
          <w:rFonts w:cs="Arial"/>
          <w:szCs w:val="18"/>
        </w:rPr>
        <w:tab/>
        <w:t>276179070267/0100</w:t>
      </w:r>
    </w:p>
    <w:p w14:paraId="66986CB7" w14:textId="77777777" w:rsidR="005126A5" w:rsidRPr="00674D1F" w:rsidRDefault="005126A5" w:rsidP="00A21048">
      <w:pPr>
        <w:ind w:left="1843" w:hanging="567"/>
        <w:rPr>
          <w:rFonts w:cs="Arial"/>
          <w:szCs w:val="18"/>
        </w:rPr>
      </w:pPr>
      <w:r w:rsidRPr="00674D1F">
        <w:rPr>
          <w:rFonts w:cs="Arial"/>
          <w:szCs w:val="18"/>
        </w:rPr>
        <w:t>SEK</w:t>
      </w:r>
      <w:r w:rsidRPr="00674D1F">
        <w:rPr>
          <w:rFonts w:cs="Arial"/>
          <w:szCs w:val="18"/>
        </w:rPr>
        <w:tab/>
        <w:t>279069910257/0100</w:t>
      </w:r>
    </w:p>
    <w:p w14:paraId="008F9475" w14:textId="77777777" w:rsidR="005126A5" w:rsidRPr="00674D1F" w:rsidRDefault="005126A5" w:rsidP="00A21048">
      <w:pPr>
        <w:ind w:left="1843" w:hanging="567"/>
        <w:rPr>
          <w:rFonts w:cs="Arial"/>
          <w:szCs w:val="18"/>
        </w:rPr>
      </w:pPr>
      <w:r w:rsidRPr="00674D1F">
        <w:rPr>
          <w:rFonts w:cs="Arial"/>
          <w:szCs w:val="18"/>
        </w:rPr>
        <w:t>HUF</w:t>
      </w:r>
      <w:r w:rsidRPr="00674D1F">
        <w:rPr>
          <w:rFonts w:cs="Arial"/>
          <w:szCs w:val="18"/>
        </w:rPr>
        <w:tab/>
        <w:t>279073800237/0100</w:t>
      </w:r>
    </w:p>
    <w:p w14:paraId="1F3EF62B" w14:textId="77777777" w:rsidR="00A21048" w:rsidRDefault="00A21048" w:rsidP="00A21048">
      <w:pPr>
        <w:tabs>
          <w:tab w:val="left" w:pos="851"/>
        </w:tabs>
        <w:rPr>
          <w:rFonts w:cs="Arial"/>
          <w:szCs w:val="18"/>
        </w:rPr>
      </w:pPr>
    </w:p>
    <w:p w14:paraId="4D7682CC" w14:textId="77777777" w:rsidR="00A21048" w:rsidRDefault="005126A5" w:rsidP="00A21048">
      <w:pPr>
        <w:ind w:left="1276"/>
        <w:rPr>
          <w:rFonts w:cs="Arial"/>
          <w:szCs w:val="18"/>
        </w:rPr>
      </w:pPr>
      <w:r w:rsidRPr="00674D1F">
        <w:rPr>
          <w:rFonts w:cs="Arial"/>
          <w:szCs w:val="18"/>
        </w:rPr>
        <w:t>Banka: Komerční banka, a.s., BIC: KOMBCZPP</w:t>
      </w:r>
    </w:p>
    <w:p w14:paraId="5684B3C6" w14:textId="77777777" w:rsidR="005126A5" w:rsidRDefault="005126A5" w:rsidP="00A21048">
      <w:pPr>
        <w:ind w:left="1276"/>
        <w:rPr>
          <w:rFonts w:cs="Arial"/>
          <w:szCs w:val="18"/>
        </w:rPr>
      </w:pPr>
      <w:r w:rsidRPr="00D71BBA">
        <w:rPr>
          <w:rFonts w:cs="Arial"/>
          <w:szCs w:val="18"/>
        </w:rPr>
        <w:t xml:space="preserve">V platebním příkazu je Klient povinen uvést </w:t>
      </w:r>
      <w:r w:rsidRPr="00251B7B">
        <w:rPr>
          <w:rFonts w:cs="Arial"/>
          <w:szCs w:val="18"/>
        </w:rPr>
        <w:t>identifikátor</w:t>
      </w:r>
      <w:r w:rsidRPr="00D71BBA">
        <w:rPr>
          <w:rFonts w:cs="Arial"/>
          <w:szCs w:val="18"/>
        </w:rPr>
        <w:t>, kter</w:t>
      </w:r>
      <w:r w:rsidRPr="00251B7B">
        <w:rPr>
          <w:rFonts w:cs="Arial"/>
          <w:szCs w:val="18"/>
        </w:rPr>
        <w:t>ý</w:t>
      </w:r>
      <w:r w:rsidRPr="00D71BBA">
        <w:rPr>
          <w:rFonts w:cs="Arial"/>
          <w:szCs w:val="18"/>
        </w:rPr>
        <w:t xml:space="preserve"> je uveden v Příloze č. 3 této </w:t>
      </w:r>
      <w:r w:rsidRPr="00251B7B">
        <w:rPr>
          <w:rFonts w:cs="Arial"/>
          <w:szCs w:val="18"/>
        </w:rPr>
        <w:t>S</w:t>
      </w:r>
      <w:r w:rsidRPr="00D71BBA">
        <w:rPr>
          <w:rFonts w:cs="Arial"/>
          <w:szCs w:val="18"/>
        </w:rPr>
        <w:t>mlouvy.</w:t>
      </w:r>
      <w:r w:rsidRPr="00674D1F">
        <w:rPr>
          <w:rFonts w:cs="Arial"/>
          <w:szCs w:val="18"/>
        </w:rPr>
        <w:t xml:space="preserve"> </w:t>
      </w:r>
    </w:p>
    <w:p w14:paraId="3BF1850D" w14:textId="77777777" w:rsidR="005126A5" w:rsidRPr="00A21048" w:rsidRDefault="005126A5" w:rsidP="00A21048">
      <w:pPr>
        <w:tabs>
          <w:tab w:val="left" w:pos="851"/>
        </w:tabs>
        <w:rPr>
          <w:rFonts w:cs="Arial"/>
          <w:szCs w:val="18"/>
        </w:rPr>
      </w:pPr>
    </w:p>
    <w:p w14:paraId="3B8A208F" w14:textId="77777777" w:rsidR="005126A5" w:rsidRPr="00674D1F" w:rsidRDefault="005126A5" w:rsidP="006D6C7C">
      <w:pPr>
        <w:numPr>
          <w:ilvl w:val="1"/>
          <w:numId w:val="8"/>
        </w:numPr>
        <w:spacing w:after="60"/>
        <w:ind w:left="709" w:hanging="425"/>
        <w:rPr>
          <w:rFonts w:cs="Arial"/>
          <w:b/>
          <w:szCs w:val="18"/>
        </w:rPr>
      </w:pPr>
      <w:r w:rsidRPr="00674D1F">
        <w:rPr>
          <w:rFonts w:cs="Arial"/>
          <w:b/>
          <w:szCs w:val="18"/>
        </w:rPr>
        <w:t>Vklad nebo výběr slitků Zlata</w:t>
      </w:r>
      <w:r>
        <w:rPr>
          <w:rFonts w:cs="Arial"/>
          <w:b/>
          <w:szCs w:val="18"/>
        </w:rPr>
        <w:t xml:space="preserve"> v CZK</w:t>
      </w:r>
      <w:r w:rsidRPr="006219AF">
        <w:rPr>
          <w:rFonts w:cs="Arial"/>
          <w:b/>
          <w:szCs w:val="18"/>
          <w:vertAlign w:val="superscript"/>
        </w:rPr>
        <w:footnoteReference w:id="1"/>
      </w:r>
    </w:p>
    <w:p w14:paraId="3D0FE9D0" w14:textId="77777777" w:rsidR="005126A5" w:rsidRPr="00674D1F" w:rsidRDefault="005126A5" w:rsidP="00A21048">
      <w:pPr>
        <w:tabs>
          <w:tab w:val="left" w:pos="851"/>
        </w:tabs>
        <w:ind w:left="709"/>
        <w:rPr>
          <w:rFonts w:cs="Arial"/>
          <w:szCs w:val="18"/>
        </w:rPr>
      </w:pPr>
      <w:r w:rsidRPr="00674D1F">
        <w:rPr>
          <w:rFonts w:cs="Arial"/>
          <w:szCs w:val="18"/>
        </w:rPr>
        <w:t>Pokyn k výběru Zlata z Podúčtu cenných papírů je možné podat na jakékoliv Pobočce. Samotný vklad a výběr slitků Zlata je pak možné provést pouze na Vybraných pobočkách, kterými jsou:</w:t>
      </w:r>
    </w:p>
    <w:p w14:paraId="26899E91" w14:textId="77777777" w:rsidR="005126A5" w:rsidRPr="00674D1F" w:rsidRDefault="005126A5" w:rsidP="004F674F">
      <w:pPr>
        <w:tabs>
          <w:tab w:val="left" w:pos="851"/>
        </w:tabs>
        <w:rPr>
          <w:rFonts w:cs="Arial"/>
          <w:szCs w:val="18"/>
        </w:rPr>
      </w:pPr>
    </w:p>
    <w:tbl>
      <w:tblPr>
        <w:tblW w:w="524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3119"/>
      </w:tblGrid>
      <w:tr w:rsidR="005126A5" w:rsidRPr="00674D1F" w14:paraId="61C98793" w14:textId="77777777" w:rsidTr="004F674F">
        <w:trPr>
          <w:trHeight w:val="171"/>
        </w:trPr>
        <w:tc>
          <w:tcPr>
            <w:tcW w:w="2126" w:type="dxa"/>
            <w:vAlign w:val="center"/>
          </w:tcPr>
          <w:p w14:paraId="0894D787" w14:textId="77777777" w:rsidR="005126A5" w:rsidRPr="00674D1F" w:rsidRDefault="005126A5" w:rsidP="004F674F">
            <w:pPr>
              <w:spacing w:before="20" w:after="20"/>
              <w:rPr>
                <w:rFonts w:cs="Arial"/>
                <w:b/>
                <w:bCs/>
                <w:iCs/>
                <w:szCs w:val="18"/>
              </w:rPr>
            </w:pPr>
            <w:r w:rsidRPr="00674D1F">
              <w:rPr>
                <w:rFonts w:cs="Arial"/>
                <w:b/>
                <w:iCs/>
                <w:szCs w:val="18"/>
              </w:rPr>
              <w:t>Pobočka</w:t>
            </w:r>
          </w:p>
        </w:tc>
        <w:tc>
          <w:tcPr>
            <w:tcW w:w="3119" w:type="dxa"/>
            <w:vAlign w:val="center"/>
          </w:tcPr>
          <w:p w14:paraId="511D0805" w14:textId="77777777" w:rsidR="005126A5" w:rsidRPr="00674D1F" w:rsidRDefault="005126A5" w:rsidP="004F674F">
            <w:pPr>
              <w:spacing w:before="20" w:after="20"/>
              <w:rPr>
                <w:rFonts w:cs="Arial"/>
                <w:b/>
                <w:bCs/>
                <w:iCs/>
                <w:szCs w:val="18"/>
              </w:rPr>
            </w:pPr>
            <w:r w:rsidRPr="00674D1F">
              <w:rPr>
                <w:rFonts w:cs="Arial"/>
                <w:b/>
                <w:iCs/>
                <w:szCs w:val="18"/>
              </w:rPr>
              <w:t>Adresa</w:t>
            </w:r>
          </w:p>
        </w:tc>
      </w:tr>
      <w:tr w:rsidR="005126A5" w:rsidRPr="00674D1F" w14:paraId="6E6CC3E6" w14:textId="77777777" w:rsidTr="004F674F">
        <w:tc>
          <w:tcPr>
            <w:tcW w:w="2126" w:type="dxa"/>
            <w:vAlign w:val="center"/>
          </w:tcPr>
          <w:p w14:paraId="0B62F17D" w14:textId="77777777" w:rsidR="005126A5" w:rsidRPr="00674D1F" w:rsidRDefault="005126A5" w:rsidP="004F674F">
            <w:pPr>
              <w:spacing w:before="20" w:after="20"/>
              <w:rPr>
                <w:rFonts w:cs="Arial"/>
                <w:b/>
                <w:bCs/>
                <w:iCs/>
                <w:szCs w:val="18"/>
              </w:rPr>
            </w:pPr>
            <w:r w:rsidRPr="00674D1F">
              <w:rPr>
                <w:rFonts w:cs="Arial"/>
                <w:color w:val="000000"/>
                <w:szCs w:val="18"/>
              </w:rPr>
              <w:t>Praha 1</w:t>
            </w:r>
          </w:p>
        </w:tc>
        <w:tc>
          <w:tcPr>
            <w:tcW w:w="3119" w:type="dxa"/>
            <w:vAlign w:val="center"/>
          </w:tcPr>
          <w:p w14:paraId="6DD70F24" w14:textId="77777777" w:rsidR="005126A5" w:rsidRPr="00674D1F" w:rsidRDefault="005126A5" w:rsidP="004F674F">
            <w:pPr>
              <w:spacing w:before="20" w:after="20"/>
              <w:rPr>
                <w:rFonts w:cs="Arial"/>
                <w:bCs/>
                <w:iCs/>
                <w:szCs w:val="18"/>
              </w:rPr>
            </w:pPr>
            <w:r w:rsidRPr="00674D1F">
              <w:rPr>
                <w:rFonts w:cs="Arial"/>
                <w:color w:val="000000"/>
                <w:szCs w:val="18"/>
              </w:rPr>
              <w:t xml:space="preserve">Václavské nám. </w:t>
            </w:r>
            <w:r w:rsidR="007D181E">
              <w:rPr>
                <w:rFonts w:cs="Arial"/>
                <w:color w:val="000000"/>
                <w:szCs w:val="18"/>
              </w:rPr>
              <w:t>19</w:t>
            </w:r>
          </w:p>
        </w:tc>
      </w:tr>
      <w:tr w:rsidR="005126A5" w:rsidRPr="00674D1F" w14:paraId="17D1C79E" w14:textId="77777777" w:rsidTr="004F674F">
        <w:tc>
          <w:tcPr>
            <w:tcW w:w="2126" w:type="dxa"/>
            <w:vAlign w:val="center"/>
          </w:tcPr>
          <w:p w14:paraId="5DA43714" w14:textId="77777777" w:rsidR="005126A5" w:rsidRPr="00674D1F" w:rsidRDefault="005126A5" w:rsidP="004F674F">
            <w:pPr>
              <w:spacing w:before="20" w:after="20"/>
              <w:rPr>
                <w:rFonts w:cs="Arial"/>
                <w:b/>
                <w:bCs/>
                <w:iCs/>
                <w:szCs w:val="18"/>
              </w:rPr>
            </w:pPr>
            <w:r w:rsidRPr="00674D1F">
              <w:rPr>
                <w:rFonts w:cs="Arial"/>
                <w:iCs/>
                <w:szCs w:val="18"/>
              </w:rPr>
              <w:t>Praha 9</w:t>
            </w:r>
          </w:p>
        </w:tc>
        <w:tc>
          <w:tcPr>
            <w:tcW w:w="3119" w:type="dxa"/>
            <w:vAlign w:val="center"/>
          </w:tcPr>
          <w:p w14:paraId="7FE1E316" w14:textId="77777777" w:rsidR="005126A5" w:rsidRPr="00674D1F" w:rsidRDefault="005126A5" w:rsidP="004F674F">
            <w:pPr>
              <w:spacing w:before="20" w:after="20"/>
              <w:rPr>
                <w:rFonts w:eastAsia="Calibri" w:cs="Arial"/>
                <w:color w:val="000000"/>
                <w:szCs w:val="18"/>
              </w:rPr>
            </w:pPr>
            <w:r w:rsidRPr="00674D1F">
              <w:rPr>
                <w:rFonts w:cs="Arial"/>
                <w:color w:val="000000"/>
                <w:szCs w:val="18"/>
              </w:rPr>
              <w:t>Českomoravská 2408/1a</w:t>
            </w:r>
          </w:p>
        </w:tc>
      </w:tr>
      <w:tr w:rsidR="005126A5" w:rsidRPr="00674D1F" w14:paraId="071E6B53" w14:textId="77777777" w:rsidTr="004F674F">
        <w:tc>
          <w:tcPr>
            <w:tcW w:w="2126" w:type="dxa"/>
            <w:vAlign w:val="center"/>
          </w:tcPr>
          <w:p w14:paraId="65E3BF5B" w14:textId="77777777" w:rsidR="005126A5" w:rsidRPr="00674D1F" w:rsidRDefault="005126A5" w:rsidP="004F674F">
            <w:pPr>
              <w:spacing w:before="20" w:after="20"/>
              <w:rPr>
                <w:rFonts w:cs="Arial"/>
                <w:b/>
                <w:bCs/>
                <w:iCs/>
                <w:szCs w:val="18"/>
              </w:rPr>
            </w:pPr>
            <w:r w:rsidRPr="00674D1F">
              <w:rPr>
                <w:rFonts w:cs="Arial"/>
                <w:iCs/>
                <w:szCs w:val="18"/>
              </w:rPr>
              <w:t>České Budějovice</w:t>
            </w:r>
          </w:p>
        </w:tc>
        <w:tc>
          <w:tcPr>
            <w:tcW w:w="3119" w:type="dxa"/>
            <w:vAlign w:val="center"/>
          </w:tcPr>
          <w:p w14:paraId="6D30E06B" w14:textId="77777777" w:rsidR="005126A5" w:rsidRPr="00674D1F" w:rsidRDefault="005126A5" w:rsidP="004F674F">
            <w:pPr>
              <w:spacing w:before="20" w:after="20"/>
              <w:rPr>
                <w:rFonts w:cs="Arial"/>
                <w:bCs/>
                <w:iCs/>
                <w:szCs w:val="18"/>
              </w:rPr>
            </w:pPr>
            <w:r w:rsidRPr="00674D1F">
              <w:rPr>
                <w:rFonts w:cs="Arial"/>
                <w:bCs/>
                <w:iCs/>
                <w:szCs w:val="18"/>
              </w:rPr>
              <w:t>Krajinská 248/15</w:t>
            </w:r>
          </w:p>
        </w:tc>
      </w:tr>
      <w:tr w:rsidR="005126A5" w:rsidRPr="00674D1F" w14:paraId="0BBCF0F3" w14:textId="77777777" w:rsidTr="004F674F">
        <w:tc>
          <w:tcPr>
            <w:tcW w:w="2126" w:type="dxa"/>
            <w:vAlign w:val="center"/>
          </w:tcPr>
          <w:p w14:paraId="35080BC5" w14:textId="77777777" w:rsidR="005126A5" w:rsidRPr="00674D1F" w:rsidRDefault="005126A5" w:rsidP="004F674F">
            <w:pPr>
              <w:spacing w:before="20" w:after="20"/>
              <w:rPr>
                <w:rFonts w:cs="Arial"/>
                <w:b/>
                <w:bCs/>
                <w:iCs/>
                <w:szCs w:val="18"/>
              </w:rPr>
            </w:pPr>
            <w:r w:rsidRPr="00674D1F">
              <w:rPr>
                <w:rFonts w:cs="Arial"/>
                <w:iCs/>
                <w:szCs w:val="18"/>
              </w:rPr>
              <w:t>Ústí nad Labem</w:t>
            </w:r>
          </w:p>
        </w:tc>
        <w:tc>
          <w:tcPr>
            <w:tcW w:w="3119" w:type="dxa"/>
            <w:vAlign w:val="center"/>
          </w:tcPr>
          <w:p w14:paraId="10B85C63" w14:textId="77777777" w:rsidR="005126A5" w:rsidRPr="00674D1F" w:rsidRDefault="005126A5" w:rsidP="004F674F">
            <w:pPr>
              <w:spacing w:before="20" w:after="20"/>
              <w:rPr>
                <w:rFonts w:cs="Arial"/>
                <w:bCs/>
                <w:iCs/>
                <w:szCs w:val="18"/>
              </w:rPr>
            </w:pPr>
            <w:r w:rsidRPr="00674D1F">
              <w:rPr>
                <w:rFonts w:cs="Arial"/>
                <w:bCs/>
                <w:iCs/>
                <w:szCs w:val="18"/>
              </w:rPr>
              <w:t>Bílinská 175/2</w:t>
            </w:r>
          </w:p>
        </w:tc>
      </w:tr>
      <w:tr w:rsidR="005126A5" w:rsidRPr="00674D1F" w14:paraId="02DE82A5" w14:textId="77777777" w:rsidTr="004F674F">
        <w:tc>
          <w:tcPr>
            <w:tcW w:w="2126" w:type="dxa"/>
            <w:vAlign w:val="center"/>
          </w:tcPr>
          <w:p w14:paraId="6A74497B" w14:textId="77777777" w:rsidR="005126A5" w:rsidRPr="00674D1F" w:rsidRDefault="005126A5" w:rsidP="004F674F">
            <w:pPr>
              <w:spacing w:before="20" w:after="20"/>
              <w:rPr>
                <w:rFonts w:cs="Arial"/>
                <w:b/>
                <w:bCs/>
                <w:iCs/>
                <w:szCs w:val="18"/>
              </w:rPr>
            </w:pPr>
            <w:r w:rsidRPr="00674D1F">
              <w:rPr>
                <w:rFonts w:cs="Arial"/>
                <w:iCs/>
                <w:szCs w:val="18"/>
              </w:rPr>
              <w:t>Plzeň</w:t>
            </w:r>
          </w:p>
        </w:tc>
        <w:tc>
          <w:tcPr>
            <w:tcW w:w="3119" w:type="dxa"/>
            <w:vAlign w:val="center"/>
          </w:tcPr>
          <w:p w14:paraId="0A33DE29" w14:textId="77777777" w:rsidR="005126A5" w:rsidRPr="00674D1F" w:rsidRDefault="005126A5" w:rsidP="004F674F">
            <w:pPr>
              <w:spacing w:before="20" w:after="20"/>
              <w:rPr>
                <w:rFonts w:cs="Arial"/>
                <w:bCs/>
                <w:iCs/>
                <w:szCs w:val="18"/>
              </w:rPr>
            </w:pPr>
            <w:r w:rsidRPr="00674D1F">
              <w:rPr>
                <w:rFonts w:cs="Arial"/>
                <w:bCs/>
                <w:iCs/>
                <w:szCs w:val="18"/>
              </w:rPr>
              <w:t>Goethova 2704/1</w:t>
            </w:r>
          </w:p>
        </w:tc>
      </w:tr>
      <w:tr w:rsidR="005126A5" w:rsidRPr="00674D1F" w14:paraId="0F8ADE05" w14:textId="77777777" w:rsidTr="004F674F">
        <w:tc>
          <w:tcPr>
            <w:tcW w:w="2126" w:type="dxa"/>
            <w:vAlign w:val="center"/>
          </w:tcPr>
          <w:p w14:paraId="2D46ACD0" w14:textId="77777777" w:rsidR="005126A5" w:rsidRPr="00674D1F" w:rsidRDefault="005126A5" w:rsidP="004F674F">
            <w:pPr>
              <w:spacing w:before="20" w:after="20"/>
              <w:rPr>
                <w:rFonts w:cs="Arial"/>
                <w:b/>
                <w:bCs/>
                <w:iCs/>
                <w:szCs w:val="18"/>
              </w:rPr>
            </w:pPr>
            <w:r w:rsidRPr="00674D1F">
              <w:rPr>
                <w:rFonts w:cs="Arial"/>
                <w:iCs/>
                <w:szCs w:val="18"/>
              </w:rPr>
              <w:t>Hradec Králové</w:t>
            </w:r>
          </w:p>
        </w:tc>
        <w:tc>
          <w:tcPr>
            <w:tcW w:w="3119" w:type="dxa"/>
            <w:vAlign w:val="center"/>
          </w:tcPr>
          <w:p w14:paraId="0B607C3D" w14:textId="77777777" w:rsidR="005126A5" w:rsidRPr="00674D1F" w:rsidRDefault="005126A5" w:rsidP="004F674F">
            <w:pPr>
              <w:spacing w:before="20" w:after="20"/>
              <w:rPr>
                <w:rFonts w:cs="Arial"/>
                <w:bCs/>
                <w:iCs/>
                <w:szCs w:val="18"/>
              </w:rPr>
            </w:pPr>
            <w:r w:rsidRPr="00674D1F">
              <w:rPr>
                <w:rFonts w:cs="Arial"/>
                <w:bCs/>
                <w:iCs/>
                <w:szCs w:val="18"/>
              </w:rPr>
              <w:t>nám. Osvoboditelů 798</w:t>
            </w:r>
          </w:p>
        </w:tc>
      </w:tr>
      <w:tr w:rsidR="005126A5" w:rsidRPr="00674D1F" w14:paraId="71B88693" w14:textId="77777777" w:rsidTr="004F674F">
        <w:tc>
          <w:tcPr>
            <w:tcW w:w="2126" w:type="dxa"/>
            <w:vAlign w:val="center"/>
          </w:tcPr>
          <w:p w14:paraId="5D741F96" w14:textId="77777777" w:rsidR="005126A5" w:rsidRPr="00674D1F" w:rsidRDefault="005126A5" w:rsidP="004F674F">
            <w:pPr>
              <w:spacing w:before="20" w:after="20"/>
              <w:rPr>
                <w:rFonts w:cs="Arial"/>
                <w:b/>
                <w:bCs/>
                <w:iCs/>
                <w:szCs w:val="18"/>
              </w:rPr>
            </w:pPr>
            <w:r w:rsidRPr="00674D1F">
              <w:rPr>
                <w:rFonts w:cs="Arial"/>
                <w:iCs/>
                <w:szCs w:val="18"/>
              </w:rPr>
              <w:t>Mladá Boleslav</w:t>
            </w:r>
          </w:p>
        </w:tc>
        <w:tc>
          <w:tcPr>
            <w:tcW w:w="3119" w:type="dxa"/>
            <w:vAlign w:val="center"/>
          </w:tcPr>
          <w:p w14:paraId="4AEC990E" w14:textId="77777777" w:rsidR="005126A5" w:rsidRPr="00674D1F" w:rsidRDefault="005126A5" w:rsidP="004F674F">
            <w:pPr>
              <w:spacing w:before="20" w:after="20"/>
              <w:rPr>
                <w:rFonts w:cs="Arial"/>
                <w:bCs/>
                <w:iCs/>
                <w:szCs w:val="18"/>
              </w:rPr>
            </w:pPr>
            <w:r w:rsidRPr="00674D1F">
              <w:rPr>
                <w:rFonts w:cs="Arial"/>
                <w:bCs/>
                <w:iCs/>
                <w:szCs w:val="18"/>
              </w:rPr>
              <w:t>Palackého 332/4</w:t>
            </w:r>
          </w:p>
        </w:tc>
      </w:tr>
      <w:tr w:rsidR="005126A5" w:rsidRPr="00674D1F" w14:paraId="21F26795" w14:textId="77777777" w:rsidTr="004F674F">
        <w:tc>
          <w:tcPr>
            <w:tcW w:w="2126" w:type="dxa"/>
            <w:vAlign w:val="center"/>
          </w:tcPr>
          <w:p w14:paraId="4F0FA319" w14:textId="77777777" w:rsidR="005126A5" w:rsidRPr="00674D1F" w:rsidRDefault="005126A5" w:rsidP="004F674F">
            <w:pPr>
              <w:spacing w:before="20" w:after="20"/>
              <w:rPr>
                <w:rFonts w:cs="Arial"/>
                <w:b/>
                <w:bCs/>
                <w:iCs/>
                <w:szCs w:val="18"/>
              </w:rPr>
            </w:pPr>
            <w:r w:rsidRPr="00674D1F">
              <w:rPr>
                <w:rFonts w:cs="Arial"/>
                <w:iCs/>
                <w:szCs w:val="18"/>
              </w:rPr>
              <w:t>Brno</w:t>
            </w:r>
          </w:p>
        </w:tc>
        <w:tc>
          <w:tcPr>
            <w:tcW w:w="3119" w:type="dxa"/>
            <w:vAlign w:val="center"/>
          </w:tcPr>
          <w:p w14:paraId="25F0CCED" w14:textId="77777777" w:rsidR="005126A5" w:rsidRPr="00674D1F" w:rsidRDefault="005126A5" w:rsidP="004F674F">
            <w:pPr>
              <w:spacing w:before="20" w:after="20"/>
              <w:rPr>
                <w:rFonts w:cs="Arial"/>
                <w:bCs/>
                <w:iCs/>
                <w:szCs w:val="18"/>
              </w:rPr>
            </w:pPr>
            <w:r w:rsidRPr="00674D1F">
              <w:rPr>
                <w:rFonts w:cs="Arial"/>
                <w:bCs/>
                <w:iCs/>
                <w:szCs w:val="18"/>
              </w:rPr>
              <w:t>nám. Svobody 92/21</w:t>
            </w:r>
          </w:p>
        </w:tc>
      </w:tr>
      <w:tr w:rsidR="005126A5" w:rsidRPr="00674D1F" w14:paraId="07F45B9D" w14:textId="77777777" w:rsidTr="004F674F">
        <w:tc>
          <w:tcPr>
            <w:tcW w:w="2126" w:type="dxa"/>
            <w:vAlign w:val="center"/>
          </w:tcPr>
          <w:p w14:paraId="6B7C7D8B" w14:textId="77777777" w:rsidR="005126A5" w:rsidRPr="00674D1F" w:rsidRDefault="005126A5" w:rsidP="004F674F">
            <w:pPr>
              <w:spacing w:before="20" w:after="20"/>
              <w:rPr>
                <w:rFonts w:cs="Arial"/>
                <w:b/>
                <w:bCs/>
                <w:iCs/>
                <w:szCs w:val="18"/>
              </w:rPr>
            </w:pPr>
            <w:r w:rsidRPr="00674D1F">
              <w:rPr>
                <w:rFonts w:cs="Arial"/>
                <w:iCs/>
                <w:szCs w:val="18"/>
              </w:rPr>
              <w:t>Ostrava</w:t>
            </w:r>
          </w:p>
        </w:tc>
        <w:tc>
          <w:tcPr>
            <w:tcW w:w="3119" w:type="dxa"/>
            <w:vAlign w:val="center"/>
          </w:tcPr>
          <w:p w14:paraId="21E9231A" w14:textId="77777777" w:rsidR="005126A5" w:rsidRPr="00674D1F" w:rsidRDefault="005126A5" w:rsidP="004F674F">
            <w:pPr>
              <w:spacing w:before="20" w:after="20"/>
              <w:rPr>
                <w:rFonts w:cs="Arial"/>
                <w:bCs/>
                <w:iCs/>
                <w:szCs w:val="18"/>
              </w:rPr>
            </w:pPr>
            <w:r w:rsidRPr="00674D1F">
              <w:rPr>
                <w:rFonts w:cs="Arial"/>
                <w:bCs/>
                <w:iCs/>
                <w:szCs w:val="18"/>
              </w:rPr>
              <w:t>Nádražní 1698/12</w:t>
            </w:r>
          </w:p>
        </w:tc>
      </w:tr>
      <w:tr w:rsidR="005126A5" w:rsidRPr="00674D1F" w14:paraId="4E680AD7" w14:textId="77777777" w:rsidTr="004F674F">
        <w:tc>
          <w:tcPr>
            <w:tcW w:w="2126" w:type="dxa"/>
            <w:vAlign w:val="center"/>
          </w:tcPr>
          <w:p w14:paraId="446B4E3B" w14:textId="77777777" w:rsidR="005126A5" w:rsidRPr="00674D1F" w:rsidRDefault="005126A5" w:rsidP="004F674F">
            <w:pPr>
              <w:spacing w:before="20" w:after="20"/>
              <w:rPr>
                <w:rFonts w:cs="Arial"/>
                <w:b/>
                <w:bCs/>
                <w:iCs/>
                <w:szCs w:val="18"/>
              </w:rPr>
            </w:pPr>
            <w:r w:rsidRPr="00674D1F">
              <w:rPr>
                <w:rFonts w:cs="Arial"/>
                <w:iCs/>
                <w:szCs w:val="18"/>
              </w:rPr>
              <w:t>Olomouc</w:t>
            </w:r>
          </w:p>
        </w:tc>
        <w:tc>
          <w:tcPr>
            <w:tcW w:w="3119" w:type="dxa"/>
            <w:vAlign w:val="center"/>
          </w:tcPr>
          <w:p w14:paraId="63A5101D" w14:textId="77777777" w:rsidR="005126A5" w:rsidRPr="00674D1F" w:rsidRDefault="005126A5" w:rsidP="004F674F">
            <w:pPr>
              <w:spacing w:before="20" w:after="20"/>
              <w:rPr>
                <w:rFonts w:cs="Arial"/>
                <w:bCs/>
                <w:iCs/>
                <w:szCs w:val="18"/>
              </w:rPr>
            </w:pPr>
            <w:r w:rsidRPr="00674D1F">
              <w:rPr>
                <w:rFonts w:cs="Arial"/>
                <w:bCs/>
                <w:iCs/>
                <w:szCs w:val="18"/>
              </w:rPr>
              <w:t>Tř. Svobody 1035/14</w:t>
            </w:r>
          </w:p>
        </w:tc>
      </w:tr>
    </w:tbl>
    <w:p w14:paraId="0874BFF0" w14:textId="77777777" w:rsidR="005126A5" w:rsidRPr="00674D1F" w:rsidRDefault="005126A5" w:rsidP="004F674F">
      <w:pPr>
        <w:tabs>
          <w:tab w:val="left" w:pos="851"/>
        </w:tabs>
        <w:rPr>
          <w:rFonts w:cs="Arial"/>
          <w:szCs w:val="18"/>
        </w:rPr>
      </w:pPr>
    </w:p>
    <w:p w14:paraId="01F407E6" w14:textId="77777777" w:rsidR="005126A5" w:rsidRDefault="005126A5" w:rsidP="006D6C7C">
      <w:pPr>
        <w:numPr>
          <w:ilvl w:val="1"/>
          <w:numId w:val="8"/>
        </w:numPr>
        <w:spacing w:after="60"/>
        <w:ind w:left="709" w:hanging="425"/>
        <w:rPr>
          <w:rFonts w:cs="Arial"/>
          <w:b/>
          <w:szCs w:val="18"/>
        </w:rPr>
      </w:pPr>
      <w:r>
        <w:rPr>
          <w:rFonts w:cs="Arial"/>
          <w:b/>
          <w:szCs w:val="18"/>
        </w:rPr>
        <w:t>Vklad nebo výběr slitků Zlata v EUR</w:t>
      </w:r>
    </w:p>
    <w:p w14:paraId="09DFAE64" w14:textId="77777777" w:rsidR="005126A5" w:rsidRPr="00D84686" w:rsidRDefault="005126A5" w:rsidP="004F674F">
      <w:pPr>
        <w:tabs>
          <w:tab w:val="left" w:pos="851"/>
        </w:tabs>
        <w:ind w:left="709"/>
        <w:rPr>
          <w:rFonts w:cs="Arial"/>
          <w:szCs w:val="18"/>
        </w:rPr>
      </w:pPr>
      <w:r w:rsidRPr="00D84686">
        <w:rPr>
          <w:rFonts w:cs="Arial"/>
          <w:szCs w:val="18"/>
        </w:rPr>
        <w:t xml:space="preserve">Pokyn </w:t>
      </w:r>
      <w:r w:rsidRPr="007112D2">
        <w:rPr>
          <w:rFonts w:cs="Arial"/>
          <w:szCs w:val="18"/>
        </w:rPr>
        <w:t xml:space="preserve">k výběru Zlata v EUR z Podúčtu cenných papírů je možné podat </w:t>
      </w:r>
      <w:r w:rsidRPr="00D84686">
        <w:rPr>
          <w:rFonts w:cs="Arial"/>
          <w:szCs w:val="18"/>
        </w:rPr>
        <w:t>Telefonicky na Dealing KB (</w:t>
      </w:r>
      <w:r w:rsidRPr="00674D1F">
        <w:rPr>
          <w:rFonts w:cs="Arial"/>
          <w:szCs w:val="18"/>
        </w:rPr>
        <w:t>číslo +420 222 008 395 nebo jakékoliv z telefonních čísel: +420 222 008 2</w:t>
      </w:r>
      <w:r>
        <w:rPr>
          <w:rFonts w:cs="Arial"/>
          <w:szCs w:val="18"/>
        </w:rPr>
        <w:t>37</w:t>
      </w:r>
      <w:r w:rsidRPr="00674D1F">
        <w:rPr>
          <w:rFonts w:cs="Arial"/>
          <w:szCs w:val="18"/>
        </w:rPr>
        <w:t xml:space="preserve"> až 2</w:t>
      </w:r>
      <w:r>
        <w:rPr>
          <w:rFonts w:cs="Arial"/>
          <w:szCs w:val="18"/>
        </w:rPr>
        <w:t>39</w:t>
      </w:r>
      <w:r w:rsidRPr="007112D2">
        <w:rPr>
          <w:rFonts w:cs="Arial"/>
          <w:szCs w:val="18"/>
        </w:rPr>
        <w:t>).</w:t>
      </w:r>
    </w:p>
    <w:p w14:paraId="6531EFC5" w14:textId="77777777" w:rsidR="005126A5" w:rsidRPr="00D84686" w:rsidRDefault="005126A5" w:rsidP="004F674F">
      <w:pPr>
        <w:tabs>
          <w:tab w:val="left" w:pos="851"/>
        </w:tabs>
        <w:rPr>
          <w:rFonts w:cs="Arial"/>
          <w:szCs w:val="18"/>
        </w:rPr>
      </w:pPr>
    </w:p>
    <w:p w14:paraId="47C8474D" w14:textId="77777777" w:rsidR="005126A5" w:rsidRDefault="005126A5" w:rsidP="006D6C7C">
      <w:pPr>
        <w:numPr>
          <w:ilvl w:val="0"/>
          <w:numId w:val="8"/>
        </w:numPr>
        <w:spacing w:after="60"/>
        <w:ind w:left="284" w:hanging="284"/>
        <w:rPr>
          <w:rFonts w:cs="Arial"/>
          <w:b/>
          <w:szCs w:val="18"/>
        </w:rPr>
      </w:pPr>
      <w:r w:rsidRPr="00674D1F">
        <w:rPr>
          <w:rFonts w:cs="Arial"/>
          <w:b/>
          <w:szCs w:val="18"/>
        </w:rPr>
        <w:t xml:space="preserve">Internetová adresa, na které jsou umístěny obecné kontakty a další informace: </w:t>
      </w:r>
    </w:p>
    <w:p w14:paraId="6964315B" w14:textId="77777777" w:rsidR="005126A5" w:rsidRPr="004F674F" w:rsidRDefault="005126A5" w:rsidP="004F674F">
      <w:pPr>
        <w:spacing w:after="60"/>
        <w:ind w:left="284"/>
        <w:rPr>
          <w:rFonts w:cs="Arial"/>
          <w:b/>
          <w:bCs/>
          <w:szCs w:val="18"/>
        </w:rPr>
      </w:pPr>
      <w:r w:rsidRPr="004F674F">
        <w:rPr>
          <w:rFonts w:cs="Arial"/>
          <w:b/>
          <w:bCs/>
          <w:szCs w:val="18"/>
        </w:rPr>
        <w:t>https://www.kb.cz/mifid</w:t>
      </w:r>
    </w:p>
    <w:p w14:paraId="43C66ED6" w14:textId="77777777" w:rsidR="005126A5" w:rsidRPr="00251B7B" w:rsidRDefault="00305D81" w:rsidP="004F674F">
      <w:pPr>
        <w:spacing w:after="60"/>
        <w:ind w:left="284"/>
        <w:rPr>
          <w:rFonts w:cs="Arial"/>
          <w:szCs w:val="18"/>
        </w:rPr>
      </w:pPr>
      <w:r>
        <w:rPr>
          <w:rFonts w:cs="Arial"/>
          <w:szCs w:val="18"/>
        </w:rPr>
        <w:t>Zejména s</w:t>
      </w:r>
      <w:r w:rsidRPr="00251B7B">
        <w:rPr>
          <w:rFonts w:cs="Arial"/>
          <w:szCs w:val="18"/>
        </w:rPr>
        <w:t>mluvní dokumentace</w:t>
      </w:r>
      <w:r>
        <w:rPr>
          <w:rFonts w:cs="Arial"/>
          <w:szCs w:val="18"/>
        </w:rPr>
        <w:t xml:space="preserve"> včetně Podmínek, </w:t>
      </w:r>
      <w:r w:rsidRPr="000D5092">
        <w:rPr>
          <w:rFonts w:cs="Arial"/>
          <w:szCs w:val="18"/>
        </w:rPr>
        <w:t xml:space="preserve">Informace o investičních službách a nástrojích a </w:t>
      </w:r>
      <w:r w:rsidRPr="00C64B79">
        <w:rPr>
          <w:rFonts w:cs="Arial"/>
          <w:szCs w:val="18"/>
        </w:rPr>
        <w:t>právních předpisech regulujících investiční bankovnictví</w:t>
      </w:r>
      <w:r>
        <w:rPr>
          <w:rFonts w:cs="Arial"/>
          <w:szCs w:val="18"/>
        </w:rPr>
        <w:t xml:space="preserve"> a informace o regulaci MIFID2</w:t>
      </w:r>
    </w:p>
    <w:p w14:paraId="2E96EE78" w14:textId="77777777" w:rsidR="005126A5" w:rsidRPr="004F674F" w:rsidRDefault="005126A5" w:rsidP="004F674F">
      <w:pPr>
        <w:spacing w:after="60"/>
        <w:ind w:left="284"/>
        <w:rPr>
          <w:rFonts w:cs="Arial"/>
          <w:szCs w:val="18"/>
        </w:rPr>
      </w:pPr>
    </w:p>
    <w:p w14:paraId="6F474C8E" w14:textId="77777777" w:rsidR="005126A5" w:rsidRPr="004F674F" w:rsidRDefault="003D12C1" w:rsidP="004F674F">
      <w:pPr>
        <w:spacing w:after="60"/>
        <w:ind w:left="284"/>
        <w:rPr>
          <w:rFonts w:cs="Arial"/>
          <w:b/>
          <w:bCs/>
          <w:szCs w:val="18"/>
        </w:rPr>
      </w:pPr>
      <w:r w:rsidRPr="000D5092">
        <w:rPr>
          <w:rFonts w:cs="Arial"/>
          <w:b/>
          <w:bCs/>
          <w:szCs w:val="18"/>
        </w:rPr>
        <w:t>https://www.kb.cz/cs/o-bance/dokumenty</w:t>
      </w:r>
    </w:p>
    <w:p w14:paraId="1D50D10F" w14:textId="77777777" w:rsidR="005126A5" w:rsidRPr="00251B7B" w:rsidRDefault="00305D81" w:rsidP="004F674F">
      <w:pPr>
        <w:spacing w:after="60"/>
        <w:ind w:left="284"/>
        <w:rPr>
          <w:rFonts w:cs="Arial"/>
          <w:szCs w:val="18"/>
        </w:rPr>
      </w:pPr>
      <w:r>
        <w:rPr>
          <w:rFonts w:cs="Arial"/>
          <w:szCs w:val="18"/>
        </w:rPr>
        <w:t xml:space="preserve">Zejména </w:t>
      </w:r>
      <w:r w:rsidRPr="000D5092">
        <w:rPr>
          <w:rFonts w:cs="Arial"/>
          <w:szCs w:val="18"/>
        </w:rPr>
        <w:t>Všeobecné podmínky, Sazebník (v rozsahu relevantním k této Smlouvě)</w:t>
      </w:r>
      <w:r>
        <w:rPr>
          <w:rFonts w:cs="Arial"/>
          <w:szCs w:val="18"/>
        </w:rPr>
        <w:t xml:space="preserve">, </w:t>
      </w:r>
      <w:r w:rsidRPr="000D5092">
        <w:rPr>
          <w:rFonts w:cs="Arial"/>
          <w:szCs w:val="18"/>
        </w:rPr>
        <w:t>Oznámení o provádění platebního styku</w:t>
      </w:r>
      <w:r>
        <w:rPr>
          <w:rFonts w:cs="Arial"/>
          <w:szCs w:val="18"/>
        </w:rPr>
        <w:t xml:space="preserve"> </w:t>
      </w:r>
      <w:r w:rsidRPr="000D5092">
        <w:rPr>
          <w:rFonts w:cs="Arial"/>
          <w:szCs w:val="18"/>
        </w:rPr>
        <w:t>(v rozsahu relevantním k této Smlouvě)</w:t>
      </w:r>
      <w:r>
        <w:rPr>
          <w:rFonts w:cs="Arial"/>
          <w:szCs w:val="18"/>
        </w:rPr>
        <w:t xml:space="preserve"> </w:t>
      </w:r>
      <w:r w:rsidRPr="000D5092">
        <w:rPr>
          <w:rFonts w:cs="Arial"/>
          <w:szCs w:val="18"/>
        </w:rPr>
        <w:t xml:space="preserve">a </w:t>
      </w:r>
      <w:r>
        <w:rPr>
          <w:rFonts w:cs="Arial"/>
          <w:szCs w:val="18"/>
        </w:rPr>
        <w:t xml:space="preserve">případně </w:t>
      </w:r>
      <w:r w:rsidRPr="000D5092">
        <w:rPr>
          <w:rFonts w:cs="Arial"/>
          <w:szCs w:val="18"/>
        </w:rPr>
        <w:t>ostatní relevantní dokumenty:</w:t>
      </w:r>
    </w:p>
    <w:p w14:paraId="4070EE76" w14:textId="77777777" w:rsidR="005126A5" w:rsidRPr="00674D1F" w:rsidRDefault="005126A5" w:rsidP="005126A5">
      <w:pPr>
        <w:rPr>
          <w:rFonts w:cs="Arial"/>
          <w:b/>
          <w:szCs w:val="18"/>
        </w:rPr>
      </w:pPr>
    </w:p>
    <w:p w14:paraId="4778FFAE" w14:textId="77777777" w:rsidR="005126A5" w:rsidRDefault="005126A5" w:rsidP="006D6C7C">
      <w:pPr>
        <w:numPr>
          <w:ilvl w:val="0"/>
          <w:numId w:val="8"/>
        </w:numPr>
        <w:spacing w:after="60"/>
        <w:ind w:left="284" w:hanging="284"/>
        <w:rPr>
          <w:rFonts w:cs="Arial"/>
          <w:b/>
          <w:szCs w:val="18"/>
        </w:rPr>
      </w:pPr>
      <w:r w:rsidRPr="00674D1F">
        <w:rPr>
          <w:rFonts w:cs="Arial"/>
          <w:b/>
          <w:szCs w:val="18"/>
        </w:rPr>
        <w:t xml:space="preserve">Email pro poskytování informací o Službách: </w:t>
      </w:r>
      <w:hyperlink r:id="rId17" w:history="1">
        <w:r w:rsidRPr="00674D1F">
          <w:rPr>
            <w:rFonts w:cs="Arial"/>
            <w:b/>
            <w:szCs w:val="18"/>
          </w:rPr>
          <w:t>TC_cenne_papiry@kb.cz</w:t>
        </w:r>
      </w:hyperlink>
      <w:r>
        <w:rPr>
          <w:rFonts w:cs="Arial"/>
          <w:b/>
          <w:szCs w:val="18"/>
        </w:rPr>
        <w:t xml:space="preserve"> </w:t>
      </w:r>
    </w:p>
    <w:p w14:paraId="07F595C0" w14:textId="77777777" w:rsidR="00BA13F2" w:rsidRPr="00661A60" w:rsidRDefault="00BA13F2" w:rsidP="005126A5">
      <w:pPr>
        <w:tabs>
          <w:tab w:val="left" w:pos="0"/>
        </w:tabs>
        <w:rPr>
          <w:rFonts w:cs="Arial"/>
          <w:szCs w:val="18"/>
        </w:rPr>
      </w:pPr>
    </w:p>
    <w:p w14:paraId="737E8A90" w14:textId="77777777" w:rsidR="002B735D" w:rsidRDefault="002B735D" w:rsidP="005126A5">
      <w:pPr>
        <w:tabs>
          <w:tab w:val="left" w:pos="0"/>
        </w:tabs>
        <w:jc w:val="right"/>
        <w:rPr>
          <w:rFonts w:cs="Arial"/>
          <w:szCs w:val="18"/>
        </w:rPr>
      </w:pPr>
    </w:p>
    <w:p w14:paraId="5896AFC5" w14:textId="77777777" w:rsidR="00BA13F2" w:rsidRPr="00661A60" w:rsidRDefault="00BA13F2" w:rsidP="005126A5">
      <w:pPr>
        <w:tabs>
          <w:tab w:val="left" w:pos="993"/>
          <w:tab w:val="left" w:pos="5670"/>
        </w:tabs>
        <w:rPr>
          <w:rFonts w:cs="Arial"/>
          <w:szCs w:val="18"/>
        </w:rPr>
        <w:sectPr w:rsidR="00BA13F2" w:rsidRPr="00661A60">
          <w:headerReference w:type="default" r:id="rId18"/>
          <w:footerReference w:type="default" r:id="rId19"/>
          <w:pgSz w:w="11907" w:h="16840" w:code="9"/>
          <w:pgMar w:top="2552" w:right="1134" w:bottom="1134" w:left="1134" w:header="454" w:footer="397" w:gutter="0"/>
          <w:pgNumType w:start="1"/>
          <w:cols w:space="708"/>
          <w:formProt w:val="0"/>
        </w:sectPr>
      </w:pPr>
    </w:p>
    <w:p w14:paraId="27E20357" w14:textId="74CC462C" w:rsidR="006219AF" w:rsidRPr="00661A60" w:rsidRDefault="006219AF" w:rsidP="006219AF">
      <w:pPr>
        <w:spacing w:after="120"/>
        <w:jc w:val="right"/>
        <w:rPr>
          <w:b/>
          <w:caps/>
          <w:szCs w:val="18"/>
        </w:rPr>
      </w:pPr>
      <w:r>
        <w:rPr>
          <w:b/>
          <w:caps/>
          <w:szCs w:val="18"/>
        </w:rPr>
        <w:lastRenderedPageBreak/>
        <w:t xml:space="preserve">Č. PORTFOLIA </w:t>
      </w:r>
      <w:r w:rsidR="00B32B21">
        <w:rPr>
          <w:b/>
          <w:caps/>
          <w:szCs w:val="18"/>
        </w:rPr>
        <w:t>1000107</w:t>
      </w:r>
    </w:p>
    <w:p w14:paraId="24A6F43A" w14:textId="77777777" w:rsidR="006219AF" w:rsidRPr="00661A60" w:rsidRDefault="006219AF" w:rsidP="006219AF">
      <w:pPr>
        <w:spacing w:after="120"/>
        <w:jc w:val="center"/>
        <w:rPr>
          <w:b/>
          <w:caps/>
          <w:szCs w:val="18"/>
        </w:rPr>
      </w:pPr>
      <w:r>
        <w:rPr>
          <w:b/>
          <w:caps/>
          <w:szCs w:val="18"/>
        </w:rPr>
        <w:t>KONTAKTNÍ ÚDAJE KLIENTA</w:t>
      </w:r>
    </w:p>
    <w:p w14:paraId="33F423D2" w14:textId="77777777" w:rsidR="006219AF" w:rsidRPr="006219AF" w:rsidRDefault="006219AF" w:rsidP="006219AF">
      <w:pPr>
        <w:tabs>
          <w:tab w:val="left" w:pos="993"/>
          <w:tab w:val="left" w:pos="5670"/>
        </w:tabs>
        <w:jc w:val="center"/>
        <w:rPr>
          <w:bCs/>
          <w:caps/>
        </w:rPr>
      </w:pPr>
      <w:r w:rsidRPr="00F51096">
        <w:rPr>
          <w:rFonts w:cs="Arial"/>
          <w:b/>
          <w:szCs w:val="18"/>
        </w:rPr>
        <w:t>Vztahují se pouze ke Službám sjednaným dle Smlouvy a uvedeným v Příloze č.1 Smlouvy.</w:t>
      </w:r>
    </w:p>
    <w:p w14:paraId="380F0575" w14:textId="77777777" w:rsidR="006219AF" w:rsidRPr="006219AF" w:rsidRDefault="006219AF" w:rsidP="006219AF">
      <w:pPr>
        <w:tabs>
          <w:tab w:val="left" w:pos="993"/>
          <w:tab w:val="left" w:pos="5670"/>
        </w:tabs>
        <w:rPr>
          <w:bCs/>
          <w:caps/>
        </w:rPr>
      </w:pPr>
    </w:p>
    <w:p w14:paraId="33512F00" w14:textId="77777777" w:rsidR="006219AF" w:rsidRPr="006219AF" w:rsidRDefault="006219AF" w:rsidP="006219AF">
      <w:pPr>
        <w:tabs>
          <w:tab w:val="left" w:pos="993"/>
          <w:tab w:val="left" w:pos="5670"/>
        </w:tabs>
        <w:rPr>
          <w:bCs/>
          <w:caps/>
        </w:rPr>
      </w:pPr>
      <w:r w:rsidRPr="00F51096">
        <w:rPr>
          <w:rFonts w:cs="Arial"/>
          <w:b/>
          <w:szCs w:val="18"/>
          <w:u w:val="single"/>
        </w:rPr>
        <w:t>Kontaktní údaje Klienta:</w:t>
      </w:r>
    </w:p>
    <w:p w14:paraId="4C84D024" w14:textId="77777777" w:rsidR="006219AF" w:rsidRDefault="006219AF" w:rsidP="006219AF">
      <w:pPr>
        <w:tabs>
          <w:tab w:val="left" w:pos="993"/>
          <w:tab w:val="left" w:pos="5670"/>
        </w:tabs>
        <w:rPr>
          <w:bCs/>
          <w:caps/>
        </w:rPr>
      </w:pPr>
    </w:p>
    <w:p w14:paraId="0E391970" w14:textId="77777777" w:rsidR="00B32B21" w:rsidRDefault="00B32B21" w:rsidP="00B32B21">
      <w:bookmarkStart w:id="51" w:name="hlava_3"/>
      <w:bookmarkEnd w:id="51"/>
      <w:r>
        <w:rPr>
          <w:b/>
        </w:rPr>
        <w:t>právnická osoba</w:t>
      </w:r>
      <w:r>
        <w:t xml:space="preserve"> (dále jen „</w:t>
      </w:r>
      <w:r w:rsidRPr="0040150E">
        <w:rPr>
          <w:b/>
        </w:rPr>
        <w:t>Klient</w:t>
      </w:r>
      <w:r>
        <w:t>“)</w:t>
      </w:r>
    </w:p>
    <w:tbl>
      <w:tblPr>
        <w:tblStyle w:val="Mkatabulky"/>
        <w:tblW w:w="0" w:type="auto"/>
        <w:tblBorders>
          <w:insideH w:val="single" w:sz="4" w:space="0" w:color="808080"/>
          <w:insideV w:val="single" w:sz="4" w:space="0" w:color="808080"/>
        </w:tblBorders>
        <w:tblLook w:val="01E0" w:firstRow="1" w:lastRow="1" w:firstColumn="1" w:lastColumn="1" w:noHBand="0" w:noVBand="0"/>
      </w:tblPr>
      <w:tblGrid>
        <w:gridCol w:w="2766"/>
        <w:gridCol w:w="6863"/>
      </w:tblGrid>
      <w:tr w:rsidR="00B32B21" w14:paraId="25E53755" w14:textId="77777777" w:rsidTr="0087202E">
        <w:tc>
          <w:tcPr>
            <w:tcW w:w="2802" w:type="dxa"/>
            <w:vAlign w:val="center"/>
          </w:tcPr>
          <w:p w14:paraId="3F91A565" w14:textId="77777777" w:rsidR="00B32B21" w:rsidRDefault="00B32B21" w:rsidP="0087202E">
            <w:pPr>
              <w:spacing w:before="40" w:after="40"/>
            </w:pPr>
            <w:r>
              <w:rPr>
                <w:sz w:val="16"/>
              </w:rPr>
              <w:t>Obchodní firma* / název**:</w:t>
            </w:r>
          </w:p>
        </w:tc>
        <w:tc>
          <w:tcPr>
            <w:tcW w:w="6977" w:type="dxa"/>
            <w:vAlign w:val="center"/>
          </w:tcPr>
          <w:p w14:paraId="5182E703" w14:textId="77777777" w:rsidR="00B32B21" w:rsidRPr="0095284A" w:rsidRDefault="00B32B21" w:rsidP="0087202E">
            <w:pPr>
              <w:spacing w:before="40" w:after="40"/>
              <w:rPr>
                <w:b/>
              </w:rPr>
            </w:pPr>
            <w:r>
              <w:rPr>
                <w:b/>
              </w:rPr>
              <w:t>Ústav přístrojové techniky AV ČR, v. v. i.</w:t>
            </w:r>
          </w:p>
        </w:tc>
      </w:tr>
      <w:tr w:rsidR="00B32B21" w14:paraId="4E20C1A0" w14:textId="77777777" w:rsidTr="0087202E">
        <w:tc>
          <w:tcPr>
            <w:tcW w:w="2802" w:type="dxa"/>
            <w:vAlign w:val="center"/>
          </w:tcPr>
          <w:p w14:paraId="6588782A" w14:textId="77777777" w:rsidR="00B32B21" w:rsidRDefault="00B32B21" w:rsidP="0087202E">
            <w:pPr>
              <w:spacing w:before="40" w:after="40"/>
            </w:pPr>
            <w:r>
              <w:rPr>
                <w:sz w:val="16"/>
              </w:rPr>
              <w:t>Sídlo:</w:t>
            </w:r>
          </w:p>
        </w:tc>
        <w:tc>
          <w:tcPr>
            <w:tcW w:w="6977" w:type="dxa"/>
            <w:vAlign w:val="center"/>
          </w:tcPr>
          <w:p w14:paraId="3F76DD9E" w14:textId="77777777" w:rsidR="00B32B21" w:rsidRPr="0095284A" w:rsidRDefault="00B32B21" w:rsidP="0087202E">
            <w:pPr>
              <w:spacing w:before="40" w:after="40"/>
              <w:rPr>
                <w:b/>
              </w:rPr>
            </w:pPr>
            <w:r>
              <w:rPr>
                <w:b/>
              </w:rPr>
              <w:t>Královopolská 62/147, 612 00 Brno - Královo Pole</w:t>
            </w:r>
          </w:p>
        </w:tc>
      </w:tr>
      <w:tr w:rsidR="00B32B21" w14:paraId="7AA6DD40" w14:textId="77777777" w:rsidTr="0087202E">
        <w:tc>
          <w:tcPr>
            <w:tcW w:w="2802" w:type="dxa"/>
            <w:vAlign w:val="center"/>
          </w:tcPr>
          <w:p w14:paraId="59B0FF0D" w14:textId="77777777" w:rsidR="00B32B21" w:rsidRDefault="00B32B21" w:rsidP="0087202E">
            <w:pPr>
              <w:spacing w:before="40" w:after="40"/>
            </w:pPr>
            <w:r>
              <w:rPr>
                <w:sz w:val="16"/>
              </w:rPr>
              <w:t>IČO:</w:t>
            </w:r>
          </w:p>
        </w:tc>
        <w:tc>
          <w:tcPr>
            <w:tcW w:w="6977" w:type="dxa"/>
            <w:vAlign w:val="center"/>
          </w:tcPr>
          <w:p w14:paraId="76356D16" w14:textId="77777777" w:rsidR="00B32B21" w:rsidRPr="0095284A" w:rsidRDefault="00B32B21" w:rsidP="0087202E">
            <w:pPr>
              <w:spacing w:before="40" w:after="40"/>
              <w:rPr>
                <w:b/>
              </w:rPr>
            </w:pPr>
            <w:r>
              <w:rPr>
                <w:b/>
              </w:rPr>
              <w:t>68081731</w:t>
            </w:r>
          </w:p>
        </w:tc>
      </w:tr>
      <w:tr w:rsidR="00B32B21" w14:paraId="6F64D9EB" w14:textId="77777777" w:rsidTr="0087202E">
        <w:tc>
          <w:tcPr>
            <w:tcW w:w="2802" w:type="dxa"/>
            <w:vAlign w:val="center"/>
          </w:tcPr>
          <w:p w14:paraId="6E82CE9E" w14:textId="77777777" w:rsidR="00B32B21" w:rsidRDefault="00B32B21" w:rsidP="0087202E">
            <w:pPr>
              <w:spacing w:before="40" w:after="40"/>
            </w:pPr>
            <w:r>
              <w:rPr>
                <w:sz w:val="16"/>
              </w:rPr>
              <w:t>Zápis v obchodním rejstříku či jiné evidenci, včetně spisové značky:</w:t>
            </w:r>
          </w:p>
        </w:tc>
        <w:tc>
          <w:tcPr>
            <w:tcW w:w="6977" w:type="dxa"/>
            <w:vAlign w:val="center"/>
          </w:tcPr>
          <w:p w14:paraId="2B3D72AB" w14:textId="77777777" w:rsidR="00B32B21" w:rsidRPr="0095284A" w:rsidRDefault="00B32B21" w:rsidP="0087202E">
            <w:pPr>
              <w:spacing w:before="40" w:after="40"/>
              <w:rPr>
                <w:b/>
              </w:rPr>
            </w:pPr>
            <w:r>
              <w:rPr>
                <w:b/>
              </w:rPr>
              <w:t>Společenská sml./zakladatelská list., číslo: ÚZL ÚPT ze dne 22.4.2024, Česká republika, Akademie věd české republiky</w:t>
            </w:r>
          </w:p>
        </w:tc>
      </w:tr>
    </w:tbl>
    <w:p w14:paraId="0B08F75F" w14:textId="77777777" w:rsidR="00B32B21" w:rsidRDefault="00B32B21" w:rsidP="00B32B21">
      <w:pPr>
        <w:rPr>
          <w:sz w:val="16"/>
        </w:rPr>
      </w:pPr>
      <w:r>
        <w:rPr>
          <w:sz w:val="16"/>
        </w:rPr>
        <w:t>*je-li Klient zapsán v obchodním rejstříku; **není-li Klient zapsán v obchodním rejstříku</w:t>
      </w:r>
    </w:p>
    <w:p w14:paraId="7206B9AC" w14:textId="77777777" w:rsidR="00B32B21" w:rsidRDefault="00B32B21" w:rsidP="00B32B21"/>
    <w:p w14:paraId="1E31D750" w14:textId="77777777" w:rsidR="006219AF" w:rsidRDefault="006219AF" w:rsidP="006219AF">
      <w:pPr>
        <w:tabs>
          <w:tab w:val="left" w:pos="993"/>
          <w:tab w:val="left" w:pos="5670"/>
        </w:tabs>
        <w:rPr>
          <w:bCs/>
          <w:caps/>
        </w:rPr>
      </w:pPr>
    </w:p>
    <w:p w14:paraId="791DD08E" w14:textId="77777777" w:rsidR="006219AF" w:rsidRDefault="006219AF" w:rsidP="006219AF">
      <w:pPr>
        <w:tabs>
          <w:tab w:val="left" w:pos="993"/>
          <w:tab w:val="left" w:pos="5670"/>
        </w:tabs>
        <w:rPr>
          <w:bCs/>
          <w:caps/>
        </w:rPr>
      </w:pPr>
    </w:p>
    <w:tbl>
      <w:tblPr>
        <w:tblW w:w="9781" w:type="dxa"/>
        <w:tblInd w:w="-29" w:type="dxa"/>
        <w:tblLayout w:type="fixed"/>
        <w:tblCellMar>
          <w:left w:w="113" w:type="dxa"/>
          <w:right w:w="113" w:type="dxa"/>
        </w:tblCellMar>
        <w:tblLook w:val="0000" w:firstRow="0" w:lastRow="0" w:firstColumn="0" w:lastColumn="0" w:noHBand="0" w:noVBand="0"/>
      </w:tblPr>
      <w:tblGrid>
        <w:gridCol w:w="1872"/>
        <w:gridCol w:w="7909"/>
      </w:tblGrid>
      <w:tr w:rsidR="006219AF" w:rsidRPr="00F51096" w14:paraId="127FE2C1" w14:textId="77777777" w:rsidTr="006219AF">
        <w:tc>
          <w:tcPr>
            <w:tcW w:w="1872" w:type="dxa"/>
            <w:tcBorders>
              <w:right w:val="single" w:sz="4" w:space="0" w:color="auto"/>
            </w:tcBorders>
            <w:tcMar>
              <w:right w:w="181" w:type="dxa"/>
            </w:tcMar>
          </w:tcPr>
          <w:p w14:paraId="07D6D625" w14:textId="77777777" w:rsidR="006219AF" w:rsidRPr="00F51096" w:rsidRDefault="006219AF" w:rsidP="006219AF">
            <w:pPr>
              <w:spacing w:before="60" w:after="60"/>
              <w:rPr>
                <w:rFonts w:cs="Arial"/>
                <w:szCs w:val="18"/>
              </w:rPr>
            </w:pPr>
            <w:r w:rsidRPr="00F51096">
              <w:rPr>
                <w:rFonts w:cs="Arial"/>
                <w:szCs w:val="18"/>
              </w:rPr>
              <w:t>Kontaktní osoba</w:t>
            </w:r>
          </w:p>
        </w:tc>
        <w:tc>
          <w:tcPr>
            <w:tcW w:w="7909" w:type="dxa"/>
            <w:tcBorders>
              <w:top w:val="single" w:sz="4" w:space="0" w:color="auto"/>
              <w:left w:val="single" w:sz="4" w:space="0" w:color="auto"/>
              <w:bottom w:val="single" w:sz="4" w:space="0" w:color="auto"/>
              <w:right w:val="single" w:sz="4" w:space="0" w:color="auto"/>
            </w:tcBorders>
          </w:tcPr>
          <w:p w14:paraId="57E1F4F9" w14:textId="73D8C2EC" w:rsidR="006219AF" w:rsidRPr="00F51096" w:rsidRDefault="00B32B21" w:rsidP="006219AF">
            <w:pPr>
              <w:spacing w:before="60" w:after="60"/>
              <w:rPr>
                <w:rFonts w:cs="Arial"/>
                <w:szCs w:val="18"/>
              </w:rPr>
            </w:pPr>
            <w:bookmarkStart w:id="52" w:name="osoba"/>
            <w:bookmarkEnd w:id="52"/>
            <w:r w:rsidRPr="00FF4724">
              <w:rPr>
                <w:rFonts w:cs="Arial"/>
                <w:szCs w:val="18"/>
                <w:highlight w:val="black"/>
              </w:rPr>
              <w:t>prof. Ing. Josef Lazar, Dr.</w:t>
            </w:r>
          </w:p>
        </w:tc>
      </w:tr>
      <w:tr w:rsidR="006219AF" w:rsidRPr="00F51096" w14:paraId="28DD2A71" w14:textId="77777777" w:rsidTr="006219AF">
        <w:tc>
          <w:tcPr>
            <w:tcW w:w="1872" w:type="dxa"/>
            <w:tcBorders>
              <w:right w:val="single" w:sz="4" w:space="0" w:color="auto"/>
            </w:tcBorders>
            <w:tcMar>
              <w:right w:w="181" w:type="dxa"/>
            </w:tcMar>
          </w:tcPr>
          <w:p w14:paraId="4F2AC7FA" w14:textId="77777777" w:rsidR="006219AF" w:rsidRPr="00F51096" w:rsidRDefault="006219AF" w:rsidP="006219AF">
            <w:pPr>
              <w:spacing w:before="60" w:after="60"/>
              <w:rPr>
                <w:rFonts w:cs="Arial"/>
                <w:szCs w:val="18"/>
              </w:rPr>
            </w:pPr>
            <w:r w:rsidRPr="00F51096">
              <w:rPr>
                <w:rFonts w:cs="Arial"/>
                <w:szCs w:val="18"/>
              </w:rPr>
              <w:t>Kontaktní adresa</w:t>
            </w:r>
          </w:p>
        </w:tc>
        <w:tc>
          <w:tcPr>
            <w:tcW w:w="7909" w:type="dxa"/>
            <w:tcBorders>
              <w:top w:val="single" w:sz="4" w:space="0" w:color="auto"/>
              <w:left w:val="single" w:sz="4" w:space="0" w:color="auto"/>
              <w:bottom w:val="single" w:sz="4" w:space="0" w:color="auto"/>
              <w:right w:val="single" w:sz="4" w:space="0" w:color="auto"/>
            </w:tcBorders>
          </w:tcPr>
          <w:p w14:paraId="37468EB3" w14:textId="2D6A80AD" w:rsidR="006219AF" w:rsidRPr="00F51096" w:rsidRDefault="00B32B21" w:rsidP="006219AF">
            <w:pPr>
              <w:spacing w:before="60" w:after="60"/>
              <w:rPr>
                <w:rFonts w:cs="Arial"/>
                <w:szCs w:val="18"/>
              </w:rPr>
            </w:pPr>
            <w:bookmarkStart w:id="53" w:name="adresa"/>
            <w:bookmarkEnd w:id="53"/>
            <w:r w:rsidRPr="00FF4724">
              <w:rPr>
                <w:rFonts w:cs="Arial"/>
                <w:szCs w:val="18"/>
                <w:highlight w:val="black"/>
              </w:rPr>
              <w:t>Královopolská 147, 612 00 Brno-Královo Pole</w:t>
            </w:r>
          </w:p>
        </w:tc>
      </w:tr>
    </w:tbl>
    <w:p w14:paraId="47B1FA7B" w14:textId="77777777" w:rsidR="006219AF" w:rsidRPr="006219AF" w:rsidRDefault="006219AF" w:rsidP="006219AF">
      <w:pPr>
        <w:tabs>
          <w:tab w:val="left" w:pos="993"/>
          <w:tab w:val="left" w:pos="5670"/>
        </w:tabs>
        <w:rPr>
          <w:bCs/>
          <w:caps/>
        </w:rPr>
      </w:pPr>
    </w:p>
    <w:tbl>
      <w:tblPr>
        <w:tblW w:w="9781" w:type="dxa"/>
        <w:tblInd w:w="-29" w:type="dxa"/>
        <w:tblLayout w:type="fixed"/>
        <w:tblCellMar>
          <w:left w:w="113" w:type="dxa"/>
          <w:right w:w="113" w:type="dxa"/>
        </w:tblCellMar>
        <w:tblLook w:val="0000" w:firstRow="0" w:lastRow="0" w:firstColumn="0" w:lastColumn="0" w:noHBand="0" w:noVBand="0"/>
      </w:tblPr>
      <w:tblGrid>
        <w:gridCol w:w="1878"/>
        <w:gridCol w:w="2897"/>
        <w:gridCol w:w="1963"/>
        <w:gridCol w:w="3043"/>
      </w:tblGrid>
      <w:tr w:rsidR="006219AF" w:rsidRPr="00F51096" w14:paraId="58AC3D92" w14:textId="77777777" w:rsidTr="006219AF">
        <w:tc>
          <w:tcPr>
            <w:tcW w:w="1878" w:type="dxa"/>
            <w:tcBorders>
              <w:right w:val="single" w:sz="4" w:space="0" w:color="auto"/>
            </w:tcBorders>
            <w:tcMar>
              <w:right w:w="181" w:type="dxa"/>
            </w:tcMar>
          </w:tcPr>
          <w:p w14:paraId="11E31AD3" w14:textId="77777777" w:rsidR="006219AF" w:rsidRPr="00F51096" w:rsidRDefault="006219AF" w:rsidP="006219AF">
            <w:pPr>
              <w:spacing w:before="60" w:after="60"/>
              <w:rPr>
                <w:rFonts w:cs="Arial"/>
                <w:szCs w:val="18"/>
              </w:rPr>
            </w:pPr>
            <w:r w:rsidRPr="00F51096">
              <w:rPr>
                <w:rFonts w:cs="Arial"/>
                <w:szCs w:val="18"/>
              </w:rPr>
              <w:t>Telefon primární</w:t>
            </w:r>
          </w:p>
        </w:tc>
        <w:tc>
          <w:tcPr>
            <w:tcW w:w="2897" w:type="dxa"/>
            <w:tcBorders>
              <w:top w:val="single" w:sz="4" w:space="0" w:color="auto"/>
              <w:left w:val="single" w:sz="4" w:space="0" w:color="auto"/>
              <w:bottom w:val="single" w:sz="4" w:space="0" w:color="auto"/>
              <w:right w:val="single" w:sz="4" w:space="0" w:color="auto"/>
            </w:tcBorders>
          </w:tcPr>
          <w:p w14:paraId="5088D7D5" w14:textId="3C306A85" w:rsidR="006219AF" w:rsidRPr="00FF4724" w:rsidRDefault="00B32B21" w:rsidP="006219AF">
            <w:pPr>
              <w:spacing w:before="60" w:after="60"/>
              <w:rPr>
                <w:rFonts w:cs="Arial"/>
                <w:szCs w:val="18"/>
                <w:highlight w:val="black"/>
              </w:rPr>
            </w:pPr>
            <w:bookmarkStart w:id="54" w:name="tel_1"/>
            <w:bookmarkEnd w:id="54"/>
            <w:r w:rsidRPr="00FF4724">
              <w:rPr>
                <w:rFonts w:cs="Arial"/>
                <w:szCs w:val="18"/>
                <w:highlight w:val="black"/>
              </w:rPr>
              <w:t>+420739541115</w:t>
            </w:r>
          </w:p>
        </w:tc>
        <w:tc>
          <w:tcPr>
            <w:tcW w:w="1963" w:type="dxa"/>
            <w:tcBorders>
              <w:left w:val="single" w:sz="4" w:space="0" w:color="auto"/>
              <w:right w:val="single" w:sz="4" w:space="0" w:color="auto"/>
            </w:tcBorders>
            <w:tcMar>
              <w:right w:w="352" w:type="dxa"/>
            </w:tcMar>
          </w:tcPr>
          <w:p w14:paraId="2CCCF5A6" w14:textId="77777777" w:rsidR="006219AF" w:rsidRPr="00F51096" w:rsidRDefault="006219AF" w:rsidP="006219AF">
            <w:pPr>
              <w:spacing w:before="60" w:after="60"/>
              <w:rPr>
                <w:rFonts w:cs="Arial"/>
                <w:szCs w:val="18"/>
              </w:rPr>
            </w:pPr>
            <w:r w:rsidRPr="00F51096">
              <w:rPr>
                <w:rFonts w:cs="Arial"/>
                <w:szCs w:val="18"/>
              </w:rPr>
              <w:t>Telefon druhý</w:t>
            </w:r>
          </w:p>
        </w:tc>
        <w:tc>
          <w:tcPr>
            <w:tcW w:w="3043" w:type="dxa"/>
            <w:tcBorders>
              <w:top w:val="single" w:sz="4" w:space="0" w:color="auto"/>
              <w:left w:val="single" w:sz="4" w:space="0" w:color="auto"/>
              <w:bottom w:val="single" w:sz="4" w:space="0" w:color="auto"/>
              <w:right w:val="single" w:sz="4" w:space="0" w:color="auto"/>
            </w:tcBorders>
          </w:tcPr>
          <w:p w14:paraId="4DF8B107" w14:textId="113C1677" w:rsidR="006219AF" w:rsidRPr="00F51096" w:rsidRDefault="00B32B21" w:rsidP="006219AF">
            <w:pPr>
              <w:spacing w:before="60" w:after="60"/>
              <w:rPr>
                <w:rFonts w:cs="Arial"/>
                <w:szCs w:val="18"/>
              </w:rPr>
            </w:pPr>
            <w:bookmarkStart w:id="55" w:name="tel_2"/>
            <w:bookmarkEnd w:id="55"/>
            <w:r w:rsidRPr="00FF4724">
              <w:rPr>
                <w:rFonts w:cs="Arial"/>
                <w:szCs w:val="18"/>
                <w:highlight w:val="black"/>
              </w:rPr>
              <w:t>+420541514204</w:t>
            </w:r>
          </w:p>
        </w:tc>
      </w:tr>
      <w:tr w:rsidR="006219AF" w:rsidRPr="00F51096" w14:paraId="2F730A02" w14:textId="77777777" w:rsidTr="006219AF">
        <w:tc>
          <w:tcPr>
            <w:tcW w:w="1878" w:type="dxa"/>
            <w:tcBorders>
              <w:right w:val="single" w:sz="4" w:space="0" w:color="auto"/>
            </w:tcBorders>
            <w:tcMar>
              <w:right w:w="181" w:type="dxa"/>
            </w:tcMar>
          </w:tcPr>
          <w:p w14:paraId="62C2F6AF" w14:textId="77777777" w:rsidR="006219AF" w:rsidRPr="00F51096" w:rsidRDefault="006219AF" w:rsidP="006219AF">
            <w:pPr>
              <w:spacing w:before="60" w:after="60"/>
              <w:rPr>
                <w:rFonts w:cs="Arial"/>
                <w:szCs w:val="18"/>
              </w:rPr>
            </w:pPr>
            <w:r w:rsidRPr="00F51096">
              <w:rPr>
                <w:rFonts w:cs="Arial"/>
                <w:szCs w:val="18"/>
              </w:rPr>
              <w:t>E-mail primární</w:t>
            </w:r>
          </w:p>
        </w:tc>
        <w:tc>
          <w:tcPr>
            <w:tcW w:w="2897" w:type="dxa"/>
            <w:tcBorders>
              <w:top w:val="single" w:sz="4" w:space="0" w:color="auto"/>
              <w:left w:val="single" w:sz="4" w:space="0" w:color="auto"/>
              <w:bottom w:val="single" w:sz="4" w:space="0" w:color="auto"/>
              <w:right w:val="single" w:sz="4" w:space="0" w:color="auto"/>
            </w:tcBorders>
          </w:tcPr>
          <w:p w14:paraId="6C7E7FF2" w14:textId="2E9E4DE2" w:rsidR="006219AF" w:rsidRPr="00F51096" w:rsidRDefault="00B32B21" w:rsidP="006219AF">
            <w:pPr>
              <w:spacing w:before="60" w:after="60"/>
              <w:rPr>
                <w:rFonts w:cs="Arial"/>
                <w:szCs w:val="18"/>
              </w:rPr>
            </w:pPr>
            <w:bookmarkStart w:id="56" w:name="mail_1"/>
            <w:bookmarkEnd w:id="56"/>
            <w:r w:rsidRPr="00FF4724">
              <w:rPr>
                <w:rFonts w:cs="Arial"/>
                <w:szCs w:val="18"/>
                <w:highlight w:val="black"/>
              </w:rPr>
              <w:t>joe@isibrno.cz</w:t>
            </w:r>
          </w:p>
        </w:tc>
        <w:tc>
          <w:tcPr>
            <w:tcW w:w="1963" w:type="dxa"/>
            <w:tcBorders>
              <w:left w:val="single" w:sz="4" w:space="0" w:color="auto"/>
              <w:right w:val="single" w:sz="4" w:space="0" w:color="auto"/>
            </w:tcBorders>
            <w:tcMar>
              <w:right w:w="352" w:type="dxa"/>
            </w:tcMar>
          </w:tcPr>
          <w:p w14:paraId="4BFF6817" w14:textId="77777777" w:rsidR="006219AF" w:rsidRPr="00F51096" w:rsidRDefault="006219AF" w:rsidP="006219AF">
            <w:pPr>
              <w:spacing w:before="60" w:after="60"/>
              <w:rPr>
                <w:rFonts w:cs="Arial"/>
                <w:szCs w:val="18"/>
              </w:rPr>
            </w:pPr>
            <w:r w:rsidRPr="00F51096">
              <w:rPr>
                <w:rFonts w:cs="Arial"/>
                <w:szCs w:val="18"/>
              </w:rPr>
              <w:t>Email druhý</w:t>
            </w:r>
          </w:p>
        </w:tc>
        <w:tc>
          <w:tcPr>
            <w:tcW w:w="3043" w:type="dxa"/>
            <w:tcBorders>
              <w:top w:val="single" w:sz="4" w:space="0" w:color="auto"/>
              <w:left w:val="single" w:sz="4" w:space="0" w:color="auto"/>
              <w:bottom w:val="single" w:sz="4" w:space="0" w:color="auto"/>
              <w:right w:val="single" w:sz="4" w:space="0" w:color="auto"/>
            </w:tcBorders>
          </w:tcPr>
          <w:p w14:paraId="204919E4" w14:textId="2F514D81" w:rsidR="006219AF" w:rsidRPr="00F51096" w:rsidRDefault="00B32B21" w:rsidP="006219AF">
            <w:pPr>
              <w:spacing w:before="60" w:after="60"/>
              <w:rPr>
                <w:rFonts w:cs="Arial"/>
                <w:szCs w:val="18"/>
              </w:rPr>
            </w:pPr>
            <w:bookmarkStart w:id="57" w:name="mail_2"/>
            <w:bookmarkEnd w:id="57"/>
            <w:r w:rsidRPr="00FF4724">
              <w:rPr>
                <w:rFonts w:cs="Arial"/>
                <w:szCs w:val="18"/>
                <w:highlight w:val="black"/>
              </w:rPr>
              <w:t>secretary@isibrno.cz</w:t>
            </w:r>
          </w:p>
        </w:tc>
      </w:tr>
    </w:tbl>
    <w:p w14:paraId="6B53C1D2" w14:textId="77777777" w:rsidR="006219AF" w:rsidRDefault="006219AF" w:rsidP="006219AF">
      <w:pPr>
        <w:rPr>
          <w:rFonts w:cs="Arial"/>
          <w:szCs w:val="18"/>
        </w:rPr>
      </w:pPr>
    </w:p>
    <w:tbl>
      <w:tblPr>
        <w:tblW w:w="0" w:type="auto"/>
        <w:tblLook w:val="04A0" w:firstRow="1" w:lastRow="0" w:firstColumn="1" w:lastColumn="0" w:noHBand="0" w:noVBand="1"/>
      </w:tblPr>
      <w:tblGrid>
        <w:gridCol w:w="3609"/>
        <w:gridCol w:w="6030"/>
      </w:tblGrid>
      <w:tr w:rsidR="006219AF" w:rsidRPr="00F464FC" w14:paraId="56303C2F" w14:textId="77777777" w:rsidTr="00F464FC">
        <w:tc>
          <w:tcPr>
            <w:tcW w:w="3652" w:type="dxa"/>
            <w:shd w:val="clear" w:color="auto" w:fill="auto"/>
          </w:tcPr>
          <w:p w14:paraId="073F7FFE" w14:textId="77777777" w:rsidR="006219AF" w:rsidRPr="00F464FC" w:rsidRDefault="006219AF" w:rsidP="00F464FC">
            <w:pPr>
              <w:spacing w:before="60"/>
              <w:rPr>
                <w:rFonts w:cs="Arial"/>
                <w:szCs w:val="18"/>
              </w:rPr>
            </w:pPr>
            <w:r w:rsidRPr="00F464FC">
              <w:rPr>
                <w:rFonts w:cs="Arial"/>
                <w:szCs w:val="18"/>
              </w:rPr>
              <w:t>Jazyk výpisů a Reportů:</w:t>
            </w:r>
          </w:p>
        </w:tc>
        <w:tc>
          <w:tcPr>
            <w:tcW w:w="6127" w:type="dxa"/>
            <w:shd w:val="clear" w:color="auto" w:fill="auto"/>
          </w:tcPr>
          <w:p w14:paraId="2A1DD990" w14:textId="01BB002E" w:rsidR="006219AF" w:rsidRPr="00F464FC" w:rsidRDefault="00B32B21" w:rsidP="00F464FC">
            <w:pPr>
              <w:spacing w:before="60"/>
              <w:rPr>
                <w:rFonts w:cs="Arial"/>
                <w:szCs w:val="18"/>
              </w:rPr>
            </w:pPr>
            <w:bookmarkStart w:id="58" w:name="jazyk"/>
            <w:bookmarkEnd w:id="58"/>
            <w:r>
              <w:rPr>
                <w:rFonts w:cs="Arial"/>
                <w:szCs w:val="18"/>
              </w:rPr>
              <w:t>čeština</w:t>
            </w:r>
          </w:p>
        </w:tc>
      </w:tr>
      <w:tr w:rsidR="006219AF" w:rsidRPr="00F464FC" w14:paraId="3400E081" w14:textId="77777777" w:rsidTr="00F464FC">
        <w:tc>
          <w:tcPr>
            <w:tcW w:w="3652" w:type="dxa"/>
            <w:shd w:val="clear" w:color="auto" w:fill="auto"/>
          </w:tcPr>
          <w:p w14:paraId="1381ACDF" w14:textId="77777777" w:rsidR="006219AF" w:rsidRPr="00F464FC" w:rsidRDefault="00ED1F9B" w:rsidP="00F464FC">
            <w:pPr>
              <w:spacing w:before="60"/>
              <w:rPr>
                <w:rFonts w:cs="Arial"/>
                <w:szCs w:val="18"/>
              </w:rPr>
            </w:pPr>
            <w:r w:rsidRPr="00F464FC">
              <w:rPr>
                <w:rFonts w:cs="Arial"/>
                <w:szCs w:val="18"/>
              </w:rPr>
              <w:t>Způsob zasílání výpisů stavu Portfolia:</w:t>
            </w:r>
          </w:p>
        </w:tc>
        <w:tc>
          <w:tcPr>
            <w:tcW w:w="6127" w:type="dxa"/>
            <w:shd w:val="clear" w:color="auto" w:fill="auto"/>
          </w:tcPr>
          <w:p w14:paraId="70D199A9" w14:textId="4B70BB84" w:rsidR="006219AF" w:rsidRPr="00F464FC" w:rsidRDefault="00B32B21" w:rsidP="00F464FC">
            <w:pPr>
              <w:spacing w:before="60"/>
              <w:rPr>
                <w:rFonts w:cs="Arial"/>
                <w:szCs w:val="18"/>
              </w:rPr>
            </w:pPr>
            <w:bookmarkStart w:id="59" w:name="vypisy"/>
            <w:bookmarkEnd w:id="59"/>
            <w:r>
              <w:rPr>
                <w:rFonts w:cs="Arial"/>
                <w:szCs w:val="18"/>
              </w:rPr>
              <w:t>zobrazení v Online Portfoliu</w:t>
            </w:r>
          </w:p>
        </w:tc>
      </w:tr>
      <w:tr w:rsidR="006219AF" w:rsidRPr="00F464FC" w14:paraId="7C18E294" w14:textId="77777777" w:rsidTr="00F464FC">
        <w:tc>
          <w:tcPr>
            <w:tcW w:w="3652" w:type="dxa"/>
            <w:shd w:val="clear" w:color="auto" w:fill="auto"/>
          </w:tcPr>
          <w:p w14:paraId="20B1954C" w14:textId="77777777" w:rsidR="006219AF" w:rsidRPr="00F464FC" w:rsidRDefault="00ED1F9B" w:rsidP="00F464FC">
            <w:pPr>
              <w:spacing w:before="60"/>
              <w:rPr>
                <w:rFonts w:cs="Arial"/>
                <w:szCs w:val="18"/>
              </w:rPr>
            </w:pPr>
            <w:r w:rsidRPr="00F464FC">
              <w:rPr>
                <w:rFonts w:cs="Arial"/>
                <w:szCs w:val="18"/>
              </w:rPr>
              <w:t>Četnost zasílání výpisů stavu Portfolia:</w:t>
            </w:r>
          </w:p>
        </w:tc>
        <w:tc>
          <w:tcPr>
            <w:tcW w:w="6127" w:type="dxa"/>
            <w:shd w:val="clear" w:color="auto" w:fill="auto"/>
          </w:tcPr>
          <w:p w14:paraId="57B955AE" w14:textId="5C553AA7" w:rsidR="006219AF" w:rsidRPr="00F464FC" w:rsidRDefault="00B32B21" w:rsidP="00F464FC">
            <w:pPr>
              <w:spacing w:before="60"/>
              <w:rPr>
                <w:rFonts w:cs="Arial"/>
                <w:szCs w:val="18"/>
              </w:rPr>
            </w:pPr>
            <w:bookmarkStart w:id="60" w:name="cetnost"/>
            <w:bookmarkEnd w:id="60"/>
            <w:r>
              <w:rPr>
                <w:rFonts w:cs="Arial"/>
                <w:szCs w:val="18"/>
              </w:rPr>
              <w:t>měsíčně</w:t>
            </w:r>
          </w:p>
        </w:tc>
      </w:tr>
      <w:tr w:rsidR="006219AF" w:rsidRPr="00F464FC" w14:paraId="1C08416A" w14:textId="77777777" w:rsidTr="00F464FC">
        <w:tc>
          <w:tcPr>
            <w:tcW w:w="3652" w:type="dxa"/>
            <w:shd w:val="clear" w:color="auto" w:fill="auto"/>
          </w:tcPr>
          <w:p w14:paraId="61B936F5" w14:textId="77777777" w:rsidR="006219AF" w:rsidRPr="00F464FC" w:rsidRDefault="00ED1F9B" w:rsidP="00F464FC">
            <w:pPr>
              <w:spacing w:before="60"/>
              <w:rPr>
                <w:rFonts w:cs="Arial"/>
                <w:szCs w:val="18"/>
              </w:rPr>
            </w:pPr>
            <w:r w:rsidRPr="00F464FC">
              <w:rPr>
                <w:rFonts w:cs="Arial"/>
                <w:szCs w:val="18"/>
              </w:rPr>
              <w:t>Způsob zasílání ročního výpisu nákladů:</w:t>
            </w:r>
          </w:p>
        </w:tc>
        <w:tc>
          <w:tcPr>
            <w:tcW w:w="6127" w:type="dxa"/>
            <w:shd w:val="clear" w:color="auto" w:fill="auto"/>
          </w:tcPr>
          <w:p w14:paraId="197E4420" w14:textId="000E6EDE" w:rsidR="006219AF" w:rsidRPr="00F464FC" w:rsidRDefault="00B32B21" w:rsidP="00F464FC">
            <w:pPr>
              <w:spacing w:before="60"/>
              <w:rPr>
                <w:rFonts w:cs="Arial"/>
                <w:szCs w:val="18"/>
              </w:rPr>
            </w:pPr>
            <w:bookmarkStart w:id="61" w:name="zpusob"/>
            <w:bookmarkEnd w:id="61"/>
            <w:r>
              <w:rPr>
                <w:rFonts w:cs="Arial"/>
                <w:szCs w:val="18"/>
              </w:rPr>
              <w:t>zobrazení v Online Portfoliu</w:t>
            </w:r>
          </w:p>
        </w:tc>
      </w:tr>
      <w:tr w:rsidR="006219AF" w:rsidRPr="00F464FC" w14:paraId="16A061D7" w14:textId="77777777" w:rsidTr="00F464FC">
        <w:tc>
          <w:tcPr>
            <w:tcW w:w="3652" w:type="dxa"/>
            <w:shd w:val="clear" w:color="auto" w:fill="auto"/>
          </w:tcPr>
          <w:p w14:paraId="03C2456B" w14:textId="77777777" w:rsidR="006219AF" w:rsidRPr="00F464FC" w:rsidRDefault="00ED1F9B" w:rsidP="00F464FC">
            <w:pPr>
              <w:spacing w:before="60"/>
              <w:rPr>
                <w:rFonts w:cs="Arial"/>
                <w:szCs w:val="18"/>
              </w:rPr>
            </w:pPr>
            <w:r w:rsidRPr="00F464FC">
              <w:rPr>
                <w:rFonts w:cs="Arial"/>
                <w:szCs w:val="18"/>
              </w:rPr>
              <w:t>Četnost zasílání ročního výpisu nákladů:</w:t>
            </w:r>
          </w:p>
        </w:tc>
        <w:tc>
          <w:tcPr>
            <w:tcW w:w="6127" w:type="dxa"/>
            <w:shd w:val="clear" w:color="auto" w:fill="auto"/>
          </w:tcPr>
          <w:p w14:paraId="4EEDDF67" w14:textId="77777777" w:rsidR="006219AF" w:rsidRPr="00F464FC" w:rsidRDefault="00ED1F9B" w:rsidP="00F464FC">
            <w:pPr>
              <w:spacing w:before="60"/>
              <w:rPr>
                <w:rFonts w:cs="Arial"/>
                <w:szCs w:val="18"/>
              </w:rPr>
            </w:pPr>
            <w:r w:rsidRPr="00F464FC">
              <w:rPr>
                <w:rFonts w:cs="Arial"/>
                <w:szCs w:val="18"/>
              </w:rPr>
              <w:t>jednou ročně</w:t>
            </w:r>
          </w:p>
        </w:tc>
      </w:tr>
      <w:tr w:rsidR="006219AF" w:rsidRPr="00F464FC" w14:paraId="2B22834A" w14:textId="77777777" w:rsidTr="00F464FC">
        <w:tc>
          <w:tcPr>
            <w:tcW w:w="3652" w:type="dxa"/>
            <w:shd w:val="clear" w:color="auto" w:fill="auto"/>
          </w:tcPr>
          <w:p w14:paraId="21D62C68" w14:textId="77777777" w:rsidR="006219AF" w:rsidRPr="00F464FC" w:rsidRDefault="00ED1F9B" w:rsidP="00F464FC">
            <w:pPr>
              <w:spacing w:before="60"/>
              <w:rPr>
                <w:rFonts w:cs="Arial"/>
                <w:szCs w:val="18"/>
              </w:rPr>
            </w:pPr>
            <w:r w:rsidRPr="00F464FC">
              <w:rPr>
                <w:rFonts w:cs="Arial"/>
                <w:szCs w:val="18"/>
              </w:rPr>
              <w:t>Způsob zasílání Reportů:</w:t>
            </w:r>
          </w:p>
        </w:tc>
        <w:tc>
          <w:tcPr>
            <w:tcW w:w="6127" w:type="dxa"/>
            <w:shd w:val="clear" w:color="auto" w:fill="auto"/>
          </w:tcPr>
          <w:p w14:paraId="30724735" w14:textId="23ED3C1F" w:rsidR="006219AF" w:rsidRPr="00F464FC" w:rsidRDefault="00B32B21" w:rsidP="00F464FC">
            <w:pPr>
              <w:spacing w:before="60"/>
              <w:rPr>
                <w:rFonts w:cs="Arial"/>
                <w:szCs w:val="18"/>
              </w:rPr>
            </w:pPr>
            <w:bookmarkStart w:id="62" w:name="reporty"/>
            <w:bookmarkEnd w:id="62"/>
            <w:r>
              <w:rPr>
                <w:rFonts w:cs="Arial"/>
                <w:szCs w:val="18"/>
              </w:rPr>
              <w:t>e-mail</w:t>
            </w:r>
          </w:p>
        </w:tc>
      </w:tr>
    </w:tbl>
    <w:p w14:paraId="661368D9" w14:textId="77777777" w:rsidR="006219AF" w:rsidRDefault="006219AF" w:rsidP="006219AF">
      <w:pPr>
        <w:rPr>
          <w:rFonts w:cs="Arial"/>
          <w:szCs w:val="18"/>
        </w:rPr>
      </w:pPr>
    </w:p>
    <w:p w14:paraId="11AA4B2A" w14:textId="77777777" w:rsidR="006219AF" w:rsidRPr="00F51096" w:rsidRDefault="006219AF" w:rsidP="006219AF">
      <w:pPr>
        <w:rPr>
          <w:rFonts w:cs="Arial"/>
          <w:szCs w:val="18"/>
        </w:rPr>
      </w:pPr>
    </w:p>
    <w:p w14:paraId="4D12472D" w14:textId="77777777" w:rsidR="006219AF" w:rsidRPr="00F51096" w:rsidRDefault="006219AF" w:rsidP="006219AF">
      <w:pPr>
        <w:rPr>
          <w:rFonts w:cs="Arial"/>
          <w:szCs w:val="18"/>
        </w:rPr>
      </w:pPr>
      <w:r w:rsidRPr="00F51096">
        <w:rPr>
          <w:rFonts w:cs="Arial"/>
          <w:szCs w:val="18"/>
        </w:rPr>
        <w:t xml:space="preserve">Peněžní účty: </w:t>
      </w:r>
    </w:p>
    <w:tbl>
      <w:tblPr>
        <w:tblW w:w="0" w:type="auto"/>
        <w:tblBorders>
          <w:top w:val="single" w:sz="6" w:space="0" w:color="auto"/>
          <w:left w:val="single" w:sz="6" w:space="0" w:color="auto"/>
          <w:bottom w:val="single" w:sz="6" w:space="0" w:color="auto"/>
          <w:right w:val="single" w:sz="6" w:space="0" w:color="auto"/>
          <w:insideH w:val="single" w:sz="4" w:space="0" w:color="808080"/>
          <w:insideV w:val="single" w:sz="4" w:space="0" w:color="808080"/>
        </w:tblBorders>
        <w:tblCellMar>
          <w:left w:w="113" w:type="dxa"/>
          <w:right w:w="113" w:type="dxa"/>
        </w:tblCellMar>
        <w:tblLook w:val="0000" w:firstRow="0" w:lastRow="0" w:firstColumn="0" w:lastColumn="0" w:noHBand="0" w:noVBand="0"/>
      </w:tblPr>
      <w:tblGrid>
        <w:gridCol w:w="2760"/>
        <w:gridCol w:w="916"/>
        <w:gridCol w:w="5947"/>
      </w:tblGrid>
      <w:tr w:rsidR="006219AF" w:rsidRPr="00F51096" w14:paraId="5BB959AD" w14:textId="77777777" w:rsidTr="00ED1F9B">
        <w:tc>
          <w:tcPr>
            <w:tcW w:w="2807" w:type="dxa"/>
            <w:tcMar>
              <w:right w:w="181" w:type="dxa"/>
            </w:tcMar>
            <w:vAlign w:val="center"/>
          </w:tcPr>
          <w:p w14:paraId="514156AC" w14:textId="77777777" w:rsidR="006219AF" w:rsidRPr="00F51096" w:rsidRDefault="006219AF" w:rsidP="006219AF">
            <w:pPr>
              <w:spacing w:before="60" w:after="60"/>
              <w:rPr>
                <w:rFonts w:cs="Arial"/>
                <w:szCs w:val="18"/>
              </w:rPr>
            </w:pPr>
            <w:r w:rsidRPr="00F51096">
              <w:rPr>
                <w:rFonts w:cs="Arial"/>
                <w:szCs w:val="18"/>
              </w:rPr>
              <w:t>Peněžní účet:</w:t>
            </w:r>
          </w:p>
        </w:tc>
        <w:tc>
          <w:tcPr>
            <w:tcW w:w="850" w:type="dxa"/>
            <w:tcMar>
              <w:right w:w="352" w:type="dxa"/>
            </w:tcMar>
            <w:vAlign w:val="center"/>
          </w:tcPr>
          <w:p w14:paraId="52A6EFB5" w14:textId="77777777" w:rsidR="006219AF" w:rsidRPr="00F51096" w:rsidRDefault="006219AF" w:rsidP="006219AF">
            <w:pPr>
              <w:spacing w:before="60" w:after="60"/>
              <w:rPr>
                <w:rFonts w:cs="Arial"/>
                <w:szCs w:val="18"/>
              </w:rPr>
            </w:pPr>
            <w:r w:rsidRPr="00F51096">
              <w:rPr>
                <w:rFonts w:cs="Arial"/>
                <w:szCs w:val="18"/>
              </w:rPr>
              <w:t>Měna</w:t>
            </w:r>
          </w:p>
        </w:tc>
        <w:tc>
          <w:tcPr>
            <w:tcW w:w="6095" w:type="dxa"/>
          </w:tcPr>
          <w:p w14:paraId="6946C9D2" w14:textId="77777777" w:rsidR="006219AF" w:rsidRPr="00F51096" w:rsidRDefault="006219AF" w:rsidP="006219AF">
            <w:pPr>
              <w:spacing w:before="60" w:after="60"/>
              <w:rPr>
                <w:rFonts w:cs="Arial"/>
                <w:szCs w:val="18"/>
              </w:rPr>
            </w:pPr>
            <w:r w:rsidRPr="006219AF">
              <w:rPr>
                <w:rFonts w:cs="Calibri"/>
                <w:bCs/>
                <w:color w:val="000000"/>
                <w:szCs w:val="18"/>
                <w:shd w:val="clear" w:color="auto" w:fill="FFFFFF"/>
              </w:rPr>
              <w:t>Uděleno povolení Inkasa:</w:t>
            </w:r>
            <w:r w:rsidRPr="00ED1F9B">
              <w:rPr>
                <w:rFonts w:cs="Calibri"/>
                <w:bCs/>
                <w:color w:val="000000"/>
                <w:szCs w:val="18"/>
                <w:shd w:val="clear" w:color="auto" w:fill="FFFFFF"/>
                <w:vertAlign w:val="superscript"/>
              </w:rPr>
              <w:t>[1]</w:t>
            </w:r>
            <w:bookmarkStart w:id="63" w:name="ucty"/>
            <w:bookmarkEnd w:id="63"/>
          </w:p>
        </w:tc>
      </w:tr>
      <w:tr w:rsidR="006219AF" w:rsidRPr="00F51096" w14:paraId="02B23222" w14:textId="77777777" w:rsidTr="00ED1F9B">
        <w:tc>
          <w:tcPr>
            <w:tcW w:w="2807" w:type="dxa"/>
            <w:tcMar>
              <w:right w:w="181" w:type="dxa"/>
            </w:tcMar>
            <w:vAlign w:val="center"/>
          </w:tcPr>
          <w:p w14:paraId="70B21A43" w14:textId="17A5A96A" w:rsidR="006219AF" w:rsidRPr="00F51096" w:rsidRDefault="00B32B21" w:rsidP="006219AF">
            <w:pPr>
              <w:spacing w:before="60" w:after="60"/>
              <w:rPr>
                <w:rFonts w:cs="Arial"/>
                <w:szCs w:val="18"/>
              </w:rPr>
            </w:pPr>
            <w:r>
              <w:rPr>
                <w:rFonts w:cs="Arial"/>
                <w:szCs w:val="18"/>
              </w:rPr>
              <w:t>372707963/0300</w:t>
            </w:r>
          </w:p>
        </w:tc>
        <w:tc>
          <w:tcPr>
            <w:tcW w:w="850" w:type="dxa"/>
            <w:tcMar>
              <w:right w:w="352" w:type="dxa"/>
            </w:tcMar>
            <w:vAlign w:val="center"/>
          </w:tcPr>
          <w:p w14:paraId="7BA66310" w14:textId="4E094003" w:rsidR="006219AF" w:rsidRPr="00F51096" w:rsidRDefault="00B32B21" w:rsidP="006219AF">
            <w:pPr>
              <w:spacing w:before="60" w:after="60"/>
              <w:rPr>
                <w:rFonts w:cs="Arial"/>
                <w:szCs w:val="18"/>
              </w:rPr>
            </w:pPr>
            <w:r>
              <w:rPr>
                <w:rFonts w:cs="Arial"/>
                <w:szCs w:val="18"/>
              </w:rPr>
              <w:t>CZK</w:t>
            </w:r>
          </w:p>
        </w:tc>
        <w:tc>
          <w:tcPr>
            <w:tcW w:w="6095" w:type="dxa"/>
          </w:tcPr>
          <w:p w14:paraId="39335E37" w14:textId="1BC1891C" w:rsidR="006219AF" w:rsidRPr="00F51096" w:rsidRDefault="00B32B21" w:rsidP="006219AF">
            <w:pPr>
              <w:spacing w:before="60" w:after="60"/>
              <w:rPr>
                <w:rFonts w:cs="Arial"/>
                <w:szCs w:val="18"/>
              </w:rPr>
            </w:pPr>
            <w:r>
              <w:rPr>
                <w:rFonts w:cs="Arial"/>
                <w:szCs w:val="18"/>
              </w:rPr>
              <w:t>Ne</w:t>
            </w:r>
          </w:p>
        </w:tc>
      </w:tr>
      <w:tr w:rsidR="006219AF" w:rsidRPr="00F51096" w14:paraId="576723E7" w14:textId="77777777" w:rsidTr="00ED1F9B">
        <w:tc>
          <w:tcPr>
            <w:tcW w:w="2807" w:type="dxa"/>
            <w:tcMar>
              <w:right w:w="181" w:type="dxa"/>
            </w:tcMar>
            <w:vAlign w:val="center"/>
          </w:tcPr>
          <w:p w14:paraId="093A0724" w14:textId="77777777" w:rsidR="006219AF" w:rsidRPr="00F51096" w:rsidRDefault="006219AF" w:rsidP="006219AF">
            <w:pPr>
              <w:spacing w:before="60" w:after="60"/>
              <w:rPr>
                <w:rFonts w:cs="Arial"/>
                <w:szCs w:val="18"/>
              </w:rPr>
            </w:pPr>
          </w:p>
        </w:tc>
        <w:tc>
          <w:tcPr>
            <w:tcW w:w="850" w:type="dxa"/>
            <w:tcMar>
              <w:right w:w="352" w:type="dxa"/>
            </w:tcMar>
            <w:vAlign w:val="center"/>
          </w:tcPr>
          <w:p w14:paraId="123099D2" w14:textId="77777777" w:rsidR="006219AF" w:rsidRPr="00F51096" w:rsidRDefault="006219AF" w:rsidP="006219AF">
            <w:pPr>
              <w:spacing w:before="60" w:after="60"/>
              <w:rPr>
                <w:rFonts w:cs="Arial"/>
                <w:szCs w:val="18"/>
              </w:rPr>
            </w:pPr>
          </w:p>
        </w:tc>
        <w:tc>
          <w:tcPr>
            <w:tcW w:w="6095" w:type="dxa"/>
          </w:tcPr>
          <w:p w14:paraId="6D89B810" w14:textId="77777777" w:rsidR="006219AF" w:rsidRPr="00F51096" w:rsidRDefault="006219AF" w:rsidP="006219AF">
            <w:pPr>
              <w:spacing w:before="60" w:after="60"/>
              <w:rPr>
                <w:rFonts w:cs="Arial"/>
                <w:szCs w:val="18"/>
              </w:rPr>
            </w:pPr>
          </w:p>
        </w:tc>
      </w:tr>
    </w:tbl>
    <w:p w14:paraId="2AD92E4F" w14:textId="77777777" w:rsidR="006219AF" w:rsidRPr="00F51096" w:rsidRDefault="006219AF" w:rsidP="00ED1F9B">
      <w:pPr>
        <w:spacing w:before="60" w:after="60"/>
        <w:ind w:left="284" w:hanging="284"/>
        <w:rPr>
          <w:rFonts w:ascii="ArialUnicodeMS" w:hAnsi="ArialUnicodeMS" w:cs="ArialUnicodeMS"/>
          <w:sz w:val="16"/>
          <w:szCs w:val="16"/>
        </w:rPr>
      </w:pPr>
      <w:r w:rsidRPr="00ED1F9B">
        <w:rPr>
          <w:rFonts w:cs="Arial"/>
          <w:sz w:val="16"/>
          <w:szCs w:val="16"/>
          <w:vertAlign w:val="superscript"/>
        </w:rPr>
        <w:t>[1]</w:t>
      </w:r>
      <w:r w:rsidR="00ED1F9B">
        <w:rPr>
          <w:rFonts w:cs="Arial"/>
          <w:sz w:val="16"/>
          <w:szCs w:val="16"/>
        </w:rPr>
        <w:tab/>
      </w:r>
      <w:r w:rsidRPr="00F51096">
        <w:rPr>
          <w:rFonts w:ascii="ArialUnicodeMS" w:hAnsi="ArialUnicodeMS" w:cs="ArialUnicodeMS"/>
          <w:sz w:val="16"/>
          <w:szCs w:val="16"/>
        </w:rPr>
        <w:t>Možno udělit pouze podpisem příslušného formuláře na obchodním místě, kde má Klient veden Běžný účet.</w:t>
      </w:r>
    </w:p>
    <w:p w14:paraId="68D25AEC" w14:textId="77777777" w:rsidR="006219AF" w:rsidRPr="00F51096" w:rsidRDefault="006219AF" w:rsidP="00ED1F9B">
      <w:pPr>
        <w:rPr>
          <w:rFonts w:cs="Arial"/>
          <w:szCs w:val="18"/>
        </w:rPr>
      </w:pPr>
    </w:p>
    <w:p w14:paraId="68F701D9" w14:textId="77777777" w:rsidR="006219AF" w:rsidRPr="00ED1F9B" w:rsidRDefault="006219AF" w:rsidP="00ED1F9B">
      <w:pPr>
        <w:rPr>
          <w:rFonts w:cs="Arial"/>
          <w:szCs w:val="18"/>
        </w:rPr>
      </w:pPr>
      <w:r w:rsidRPr="00ED1F9B">
        <w:rPr>
          <w:rFonts w:cs="Arial"/>
          <w:szCs w:val="18"/>
        </w:rPr>
        <w:t>Identifikátor</w:t>
      </w:r>
      <w:r w:rsidR="00ED1F9B">
        <w:rPr>
          <w:rFonts w:cs="Arial"/>
          <w:szCs w:val="18"/>
        </w:rPr>
        <w:t>:</w:t>
      </w:r>
    </w:p>
    <w:tbl>
      <w:tblPr>
        <w:tblW w:w="0" w:type="auto"/>
        <w:tblLook w:val="04A0" w:firstRow="1" w:lastRow="0" w:firstColumn="1" w:lastColumn="0" w:noHBand="0" w:noVBand="1"/>
      </w:tblPr>
      <w:tblGrid>
        <w:gridCol w:w="3604"/>
        <w:gridCol w:w="6035"/>
      </w:tblGrid>
      <w:tr w:rsidR="00ED1F9B" w:rsidRPr="00F464FC" w14:paraId="5E39252B" w14:textId="77777777" w:rsidTr="00F464FC">
        <w:tc>
          <w:tcPr>
            <w:tcW w:w="3652" w:type="dxa"/>
            <w:shd w:val="clear" w:color="auto" w:fill="auto"/>
          </w:tcPr>
          <w:p w14:paraId="670ED42C" w14:textId="77777777" w:rsidR="00ED1F9B" w:rsidRPr="00F464FC" w:rsidRDefault="00ED1F9B" w:rsidP="00F464FC">
            <w:pPr>
              <w:spacing w:before="60"/>
              <w:rPr>
                <w:rFonts w:cs="Arial"/>
                <w:szCs w:val="18"/>
              </w:rPr>
            </w:pPr>
            <w:r w:rsidRPr="00F464FC">
              <w:rPr>
                <w:rFonts w:cs="Arial"/>
                <w:szCs w:val="18"/>
              </w:rPr>
              <w:t>Variabilní symbol:</w:t>
            </w:r>
          </w:p>
        </w:tc>
        <w:tc>
          <w:tcPr>
            <w:tcW w:w="6127" w:type="dxa"/>
            <w:shd w:val="clear" w:color="auto" w:fill="auto"/>
          </w:tcPr>
          <w:p w14:paraId="3EEE7CDE" w14:textId="2F8B365F" w:rsidR="00ED1F9B" w:rsidRPr="00F464FC" w:rsidRDefault="00B32B21" w:rsidP="00F464FC">
            <w:pPr>
              <w:spacing w:before="60"/>
              <w:rPr>
                <w:rFonts w:cs="Arial"/>
                <w:szCs w:val="18"/>
              </w:rPr>
            </w:pPr>
            <w:bookmarkStart w:id="64" w:name="vs"/>
            <w:bookmarkEnd w:id="64"/>
            <w:r>
              <w:rPr>
                <w:rFonts w:cs="Arial"/>
                <w:szCs w:val="18"/>
              </w:rPr>
              <w:t>68081731</w:t>
            </w:r>
          </w:p>
        </w:tc>
      </w:tr>
      <w:tr w:rsidR="00ED1F9B" w:rsidRPr="00F464FC" w14:paraId="4D5979A5" w14:textId="77777777" w:rsidTr="00F464FC">
        <w:tc>
          <w:tcPr>
            <w:tcW w:w="3652" w:type="dxa"/>
            <w:shd w:val="clear" w:color="auto" w:fill="auto"/>
          </w:tcPr>
          <w:p w14:paraId="5153B843" w14:textId="77777777" w:rsidR="00ED1F9B" w:rsidRPr="00F464FC" w:rsidRDefault="00ED1F9B" w:rsidP="00F464FC">
            <w:pPr>
              <w:spacing w:before="60"/>
              <w:rPr>
                <w:rFonts w:cs="Arial"/>
                <w:szCs w:val="18"/>
              </w:rPr>
            </w:pPr>
            <w:r w:rsidRPr="00F464FC">
              <w:rPr>
                <w:rFonts w:cs="Arial"/>
                <w:szCs w:val="18"/>
              </w:rPr>
              <w:t>Specifický symbol:</w:t>
            </w:r>
          </w:p>
        </w:tc>
        <w:tc>
          <w:tcPr>
            <w:tcW w:w="6127" w:type="dxa"/>
            <w:shd w:val="clear" w:color="auto" w:fill="auto"/>
          </w:tcPr>
          <w:p w14:paraId="13D0D3C9" w14:textId="5EAA54F3" w:rsidR="00ED1F9B" w:rsidRPr="00F464FC" w:rsidRDefault="00B32B21" w:rsidP="00F464FC">
            <w:pPr>
              <w:spacing w:before="60"/>
              <w:rPr>
                <w:rFonts w:cs="Arial"/>
                <w:szCs w:val="18"/>
              </w:rPr>
            </w:pPr>
            <w:bookmarkStart w:id="65" w:name="ss"/>
            <w:bookmarkEnd w:id="65"/>
            <w:r>
              <w:rPr>
                <w:rFonts w:cs="Arial"/>
                <w:szCs w:val="18"/>
              </w:rPr>
              <w:t>1000107</w:t>
            </w:r>
          </w:p>
        </w:tc>
      </w:tr>
    </w:tbl>
    <w:p w14:paraId="7C9C8E8C" w14:textId="77777777" w:rsidR="006219AF" w:rsidRPr="00F51096" w:rsidRDefault="006219AF" w:rsidP="00ED1F9B">
      <w:pPr>
        <w:rPr>
          <w:rFonts w:cs="Arial"/>
          <w:szCs w:val="18"/>
        </w:rPr>
      </w:pPr>
    </w:p>
    <w:p w14:paraId="1D15885F" w14:textId="77777777" w:rsidR="006219AF" w:rsidRPr="00F51096" w:rsidRDefault="006219AF" w:rsidP="00ED1F9B">
      <w:pPr>
        <w:rPr>
          <w:rFonts w:cs="Arial"/>
          <w:szCs w:val="18"/>
        </w:rPr>
      </w:pPr>
      <w:r w:rsidRPr="00F51096">
        <w:rPr>
          <w:rFonts w:cs="Arial"/>
          <w:szCs w:val="18"/>
        </w:rPr>
        <w:t>Výnosy z Cenných papírů budou Klientovi zasílány na jeho Peněžní účet vedený v měně výplaty výnosu, pokud má Klient v příslušné měně vedený účet</w:t>
      </w:r>
    </w:p>
    <w:p w14:paraId="5E1D738F" w14:textId="77777777" w:rsidR="006219AF" w:rsidRPr="00F51096" w:rsidRDefault="006219AF" w:rsidP="00ED1F9B">
      <w:pPr>
        <w:rPr>
          <w:rFonts w:cs="Arial"/>
          <w:szCs w:val="18"/>
        </w:rPr>
      </w:pPr>
    </w:p>
    <w:tbl>
      <w:tblPr>
        <w:tblW w:w="0" w:type="auto"/>
        <w:tblCellMar>
          <w:left w:w="113" w:type="dxa"/>
          <w:right w:w="113" w:type="dxa"/>
        </w:tblCellMar>
        <w:tblLook w:val="04A0" w:firstRow="1" w:lastRow="0" w:firstColumn="1" w:lastColumn="0" w:noHBand="0" w:noVBand="1"/>
      </w:tblPr>
      <w:tblGrid>
        <w:gridCol w:w="567"/>
        <w:gridCol w:w="993"/>
        <w:gridCol w:w="567"/>
        <w:gridCol w:w="3969"/>
      </w:tblGrid>
      <w:tr w:rsidR="006219AF" w:rsidRPr="00F51096" w14:paraId="291A6F43" w14:textId="77777777" w:rsidTr="00F464FC">
        <w:trPr>
          <w:trHeight w:val="43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E726FE" w14:textId="77777777" w:rsidR="006219AF" w:rsidRPr="00F464FC" w:rsidRDefault="006219AF" w:rsidP="00F464FC">
            <w:pPr>
              <w:jc w:val="center"/>
              <w:rPr>
                <w:rFonts w:cs="Arial"/>
                <w:szCs w:val="18"/>
              </w:rPr>
            </w:pPr>
            <w:bookmarkStart w:id="66" w:name="vynosy_A"/>
            <w:bookmarkEnd w:id="66"/>
          </w:p>
        </w:tc>
        <w:tc>
          <w:tcPr>
            <w:tcW w:w="993" w:type="dxa"/>
            <w:tcBorders>
              <w:top w:val="nil"/>
              <w:left w:val="single" w:sz="4" w:space="0" w:color="auto"/>
              <w:bottom w:val="nil"/>
              <w:right w:val="single" w:sz="4" w:space="0" w:color="auto"/>
            </w:tcBorders>
            <w:shd w:val="clear" w:color="auto" w:fill="auto"/>
            <w:vAlign w:val="center"/>
          </w:tcPr>
          <w:p w14:paraId="00CFA349" w14:textId="77777777" w:rsidR="006219AF" w:rsidRPr="00F464FC" w:rsidRDefault="006219AF" w:rsidP="00ED1F9B">
            <w:pPr>
              <w:rPr>
                <w:rFonts w:cs="Arial"/>
                <w:szCs w:val="18"/>
              </w:rPr>
            </w:pPr>
            <w:r w:rsidRPr="00F464FC">
              <w:rPr>
                <w:rFonts w:cs="Arial"/>
                <w:szCs w:val="18"/>
              </w:rPr>
              <w:t>ano</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B7E629" w14:textId="2009B67F" w:rsidR="006219AF" w:rsidRPr="00F464FC" w:rsidRDefault="00B32B21" w:rsidP="00F464FC">
            <w:pPr>
              <w:jc w:val="center"/>
              <w:rPr>
                <w:rFonts w:cs="Arial"/>
                <w:szCs w:val="18"/>
              </w:rPr>
            </w:pPr>
            <w:bookmarkStart w:id="67" w:name="vynosy_N"/>
            <w:bookmarkEnd w:id="67"/>
            <w:r>
              <w:rPr>
                <w:rFonts w:cs="Arial"/>
                <w:szCs w:val="18"/>
              </w:rPr>
              <w:t>X</w:t>
            </w:r>
          </w:p>
        </w:tc>
        <w:tc>
          <w:tcPr>
            <w:tcW w:w="3969" w:type="dxa"/>
            <w:tcBorders>
              <w:top w:val="nil"/>
              <w:left w:val="single" w:sz="4" w:space="0" w:color="auto"/>
              <w:bottom w:val="nil"/>
              <w:right w:val="nil"/>
            </w:tcBorders>
            <w:shd w:val="clear" w:color="auto" w:fill="auto"/>
            <w:vAlign w:val="center"/>
          </w:tcPr>
          <w:p w14:paraId="0205870B" w14:textId="77777777" w:rsidR="006219AF" w:rsidRPr="00F464FC" w:rsidRDefault="006219AF" w:rsidP="00ED1F9B">
            <w:pPr>
              <w:rPr>
                <w:rFonts w:cs="Arial"/>
                <w:szCs w:val="18"/>
              </w:rPr>
            </w:pPr>
            <w:r w:rsidRPr="00F464FC">
              <w:rPr>
                <w:rFonts w:cs="Arial"/>
                <w:szCs w:val="18"/>
              </w:rPr>
              <w:t>ne</w:t>
            </w:r>
          </w:p>
        </w:tc>
      </w:tr>
    </w:tbl>
    <w:p w14:paraId="762B3501" w14:textId="77777777" w:rsidR="006219AF" w:rsidRDefault="006219AF" w:rsidP="00ED1F9B">
      <w:pPr>
        <w:rPr>
          <w:rFonts w:cs="Arial"/>
          <w:szCs w:val="18"/>
        </w:rPr>
      </w:pPr>
    </w:p>
    <w:tbl>
      <w:tblPr>
        <w:tblW w:w="0" w:type="auto"/>
        <w:tblLayout w:type="fixed"/>
        <w:tblCellMar>
          <w:left w:w="70" w:type="dxa"/>
          <w:right w:w="70" w:type="dxa"/>
        </w:tblCellMar>
        <w:tblLook w:val="0000" w:firstRow="0" w:lastRow="0" w:firstColumn="0" w:lastColumn="0" w:noHBand="0" w:noVBand="0"/>
      </w:tblPr>
      <w:tblGrid>
        <w:gridCol w:w="4820"/>
      </w:tblGrid>
      <w:tr w:rsidR="00B32B21" w14:paraId="62E2148A" w14:textId="77777777" w:rsidTr="0087202E">
        <w:trPr>
          <w:cantSplit/>
        </w:trPr>
        <w:tc>
          <w:tcPr>
            <w:tcW w:w="4820" w:type="dxa"/>
          </w:tcPr>
          <w:p w14:paraId="79FF3D8C" w14:textId="77777777" w:rsidR="00B32B21" w:rsidRDefault="00B32B21" w:rsidP="0087202E">
            <w:pPr>
              <w:rPr>
                <w:sz w:val="8"/>
              </w:rPr>
            </w:pPr>
            <w:bookmarkStart w:id="68" w:name="podpisy_3"/>
            <w:bookmarkEnd w:id="68"/>
          </w:p>
          <w:p w14:paraId="4FE928B5" w14:textId="5987E3C9" w:rsidR="00B32B21" w:rsidRDefault="00B32B21" w:rsidP="0087202E">
            <w:r>
              <w:t xml:space="preserve">V Brně dne </w:t>
            </w:r>
            <w:r w:rsidR="00427C89">
              <w:t>11.3.2026</w:t>
            </w:r>
          </w:p>
          <w:p w14:paraId="3ECB838B" w14:textId="77777777" w:rsidR="00B32B21" w:rsidRDefault="00B32B21" w:rsidP="0087202E"/>
          <w:p w14:paraId="20823288" w14:textId="77777777" w:rsidR="00B32B21" w:rsidRDefault="00B32B21" w:rsidP="0087202E">
            <w:pPr>
              <w:rPr>
                <w:b/>
              </w:rPr>
            </w:pPr>
            <w:r>
              <w:rPr>
                <w:b/>
              </w:rPr>
              <w:t>Ústav přístrojové techniky AV ČR, v. v. i.</w:t>
            </w:r>
          </w:p>
          <w:p w14:paraId="3DD94660" w14:textId="77777777" w:rsidR="00B32B21" w:rsidRDefault="00B32B21" w:rsidP="0087202E">
            <w:pPr>
              <w:rPr>
                <w:b/>
              </w:rPr>
            </w:pPr>
          </w:p>
          <w:p w14:paraId="536DA8D7" w14:textId="77777777" w:rsidR="00B32B21" w:rsidRDefault="00B32B21" w:rsidP="0087202E"/>
          <w:p w14:paraId="30F32363" w14:textId="77777777" w:rsidR="00B32B21" w:rsidRDefault="00B32B21" w:rsidP="0087202E">
            <w:pPr>
              <w:tabs>
                <w:tab w:val="left" w:pos="4536"/>
                <w:tab w:val="left" w:pos="4962"/>
                <w:tab w:val="left" w:pos="8931"/>
              </w:tabs>
            </w:pPr>
            <w:r>
              <w:tab/>
            </w:r>
          </w:p>
          <w:p w14:paraId="7AA15A4A" w14:textId="77777777" w:rsidR="00B32B21" w:rsidRDefault="00B32B21" w:rsidP="0087202E">
            <w:pPr>
              <w:tabs>
                <w:tab w:val="left" w:leader="underscore" w:pos="4536"/>
                <w:tab w:val="left" w:pos="4962"/>
                <w:tab w:val="left" w:leader="dot" w:pos="8931"/>
              </w:tabs>
              <w:rPr>
                <w:position w:val="10"/>
                <w:sz w:val="12"/>
              </w:rPr>
            </w:pPr>
            <w:r>
              <w:rPr>
                <w:position w:val="10"/>
                <w:sz w:val="12"/>
              </w:rPr>
              <w:tab/>
            </w:r>
          </w:p>
          <w:p w14:paraId="1B11B41C" w14:textId="77777777" w:rsidR="00B32B21" w:rsidRPr="00A726DD" w:rsidRDefault="00B32B21" w:rsidP="0087202E">
            <w:pPr>
              <w:spacing w:after="120"/>
              <w:rPr>
                <w:sz w:val="16"/>
                <w:szCs w:val="16"/>
              </w:rPr>
            </w:pPr>
            <w:r w:rsidRPr="00A726DD">
              <w:rPr>
                <w:sz w:val="16"/>
                <w:szCs w:val="16"/>
              </w:rPr>
              <w:t>vlastnoruční podpis</w:t>
            </w:r>
          </w:p>
          <w:p w14:paraId="113746F4" w14:textId="77777777" w:rsidR="00B32B21" w:rsidRPr="005B636C" w:rsidRDefault="00B32B21" w:rsidP="0087202E">
            <w:pPr>
              <w:tabs>
                <w:tab w:val="left" w:pos="851"/>
              </w:tabs>
              <w:rPr>
                <w:b/>
                <w:szCs w:val="18"/>
              </w:rPr>
            </w:pPr>
            <w:r w:rsidRPr="005B636C">
              <w:rPr>
                <w:b/>
                <w:szCs w:val="18"/>
              </w:rPr>
              <w:t>Jméno:</w:t>
            </w:r>
            <w:r w:rsidRPr="005B636C">
              <w:rPr>
                <w:b/>
                <w:szCs w:val="18"/>
              </w:rPr>
              <w:tab/>
            </w:r>
            <w:r w:rsidRPr="00FF4724">
              <w:rPr>
                <w:b/>
                <w:szCs w:val="18"/>
                <w:highlight w:val="black"/>
              </w:rPr>
              <w:t>prof. Ing. Josef Lazar, Dr.</w:t>
            </w:r>
          </w:p>
          <w:p w14:paraId="10A9BBA3" w14:textId="77777777" w:rsidR="00B32B21" w:rsidRPr="005B636C" w:rsidRDefault="00B32B21" w:rsidP="0087202E">
            <w:pPr>
              <w:ind w:left="851" w:hanging="851"/>
              <w:rPr>
                <w:b/>
                <w:szCs w:val="18"/>
              </w:rPr>
            </w:pPr>
            <w:r w:rsidRPr="005B636C">
              <w:rPr>
                <w:b/>
                <w:szCs w:val="18"/>
              </w:rPr>
              <w:t>Funkce:</w:t>
            </w:r>
            <w:r w:rsidRPr="005B636C">
              <w:rPr>
                <w:b/>
                <w:szCs w:val="18"/>
              </w:rPr>
              <w:tab/>
            </w:r>
            <w:r>
              <w:rPr>
                <w:b/>
                <w:szCs w:val="18"/>
              </w:rPr>
              <w:t>ředitel ústavu</w:t>
            </w:r>
          </w:p>
          <w:p w14:paraId="5A900A25" w14:textId="77777777" w:rsidR="00B32B21" w:rsidRDefault="00B32B21" w:rsidP="0087202E">
            <w:pPr>
              <w:tabs>
                <w:tab w:val="left" w:pos="1276"/>
              </w:tabs>
            </w:pPr>
          </w:p>
        </w:tc>
      </w:tr>
    </w:tbl>
    <w:p w14:paraId="729D6C22" w14:textId="77777777" w:rsidR="006219AF" w:rsidRDefault="006219AF" w:rsidP="00ED1F9B">
      <w:pPr>
        <w:rPr>
          <w:rFonts w:cs="Arial"/>
          <w:szCs w:val="18"/>
        </w:rPr>
      </w:pPr>
    </w:p>
    <w:p w14:paraId="1C4A4F76" w14:textId="77777777" w:rsidR="002B735D" w:rsidRPr="00661A60" w:rsidRDefault="002B735D" w:rsidP="005126A5">
      <w:pPr>
        <w:jc w:val="right"/>
        <w:rPr>
          <w:szCs w:val="18"/>
        </w:rPr>
      </w:pPr>
    </w:p>
    <w:p w14:paraId="69D72620" w14:textId="77777777" w:rsidR="00BA13F2" w:rsidRPr="00661A60" w:rsidRDefault="00BA13F2" w:rsidP="005126A5">
      <w:pPr>
        <w:spacing w:after="80"/>
        <w:sectPr w:rsidR="00BA13F2" w:rsidRPr="00661A60">
          <w:headerReference w:type="default" r:id="rId20"/>
          <w:footerReference w:type="default" r:id="rId21"/>
          <w:footnotePr>
            <w:numRestart w:val="eachSect"/>
          </w:footnotePr>
          <w:pgSz w:w="11907" w:h="16840" w:code="9"/>
          <w:pgMar w:top="2552" w:right="1134" w:bottom="1134" w:left="1134" w:header="454" w:footer="397" w:gutter="0"/>
          <w:pgNumType w:start="1"/>
          <w:cols w:space="708"/>
          <w:formProt w:val="0"/>
        </w:sectPr>
      </w:pPr>
    </w:p>
    <w:p w14:paraId="7DDE85AB" w14:textId="25D5A692" w:rsidR="000A17F2" w:rsidRPr="00661A60" w:rsidRDefault="000A17F2" w:rsidP="000A17F2">
      <w:pPr>
        <w:spacing w:after="120"/>
        <w:jc w:val="right"/>
        <w:rPr>
          <w:b/>
          <w:caps/>
          <w:szCs w:val="18"/>
        </w:rPr>
      </w:pPr>
      <w:r>
        <w:rPr>
          <w:b/>
          <w:caps/>
          <w:szCs w:val="18"/>
        </w:rPr>
        <w:lastRenderedPageBreak/>
        <w:t xml:space="preserve">Č. PORTFOLIA </w:t>
      </w:r>
      <w:r w:rsidR="00B32B21">
        <w:rPr>
          <w:b/>
          <w:caps/>
          <w:szCs w:val="18"/>
        </w:rPr>
        <w:t>1000107</w:t>
      </w:r>
    </w:p>
    <w:p w14:paraId="5CBAEE7A" w14:textId="77777777" w:rsidR="000A17F2" w:rsidRPr="00661A60" w:rsidRDefault="000A17F2" w:rsidP="000A17F2">
      <w:pPr>
        <w:spacing w:after="120"/>
        <w:jc w:val="center"/>
        <w:rPr>
          <w:b/>
          <w:caps/>
          <w:szCs w:val="18"/>
        </w:rPr>
      </w:pPr>
      <w:r>
        <w:rPr>
          <w:b/>
          <w:caps/>
          <w:szCs w:val="18"/>
        </w:rPr>
        <w:t>Podpisový vzor ke smlouvě</w:t>
      </w:r>
    </w:p>
    <w:p w14:paraId="0A5B93D1" w14:textId="77777777" w:rsidR="00660921" w:rsidRDefault="00660921" w:rsidP="000A17F2">
      <w:pPr>
        <w:overflowPunct/>
        <w:autoSpaceDE/>
        <w:autoSpaceDN/>
        <w:adjustRightInd/>
        <w:textAlignment w:val="auto"/>
        <w:outlineLvl w:val="1"/>
        <w:rPr>
          <w:rFonts w:eastAsia="SimSun" w:cs="Arial"/>
          <w:szCs w:val="18"/>
          <w:lang w:eastAsia="zh-CN"/>
        </w:rPr>
      </w:pPr>
    </w:p>
    <w:p w14:paraId="0352F955" w14:textId="77777777" w:rsidR="00B32B21" w:rsidRDefault="00B32B21" w:rsidP="00B32B21">
      <w:bookmarkStart w:id="69" w:name="hlava_4"/>
      <w:bookmarkEnd w:id="69"/>
      <w:r>
        <w:rPr>
          <w:b/>
        </w:rPr>
        <w:t>právnická osoba</w:t>
      </w:r>
      <w:r>
        <w:t xml:space="preserve"> (dále jen „</w:t>
      </w:r>
      <w:r w:rsidRPr="0040150E">
        <w:rPr>
          <w:b/>
        </w:rPr>
        <w:t>Klient</w:t>
      </w:r>
      <w:r>
        <w:t>“)</w:t>
      </w:r>
    </w:p>
    <w:tbl>
      <w:tblPr>
        <w:tblStyle w:val="Mkatabulky"/>
        <w:tblW w:w="0" w:type="auto"/>
        <w:tblBorders>
          <w:insideH w:val="single" w:sz="4" w:space="0" w:color="808080"/>
          <w:insideV w:val="single" w:sz="4" w:space="0" w:color="808080"/>
        </w:tblBorders>
        <w:tblLook w:val="01E0" w:firstRow="1" w:lastRow="1" w:firstColumn="1" w:lastColumn="1" w:noHBand="0" w:noVBand="0"/>
      </w:tblPr>
      <w:tblGrid>
        <w:gridCol w:w="2766"/>
        <w:gridCol w:w="6863"/>
      </w:tblGrid>
      <w:tr w:rsidR="00B32B21" w14:paraId="691C996C" w14:textId="77777777" w:rsidTr="0087202E">
        <w:tc>
          <w:tcPr>
            <w:tcW w:w="2802" w:type="dxa"/>
            <w:vAlign w:val="center"/>
          </w:tcPr>
          <w:p w14:paraId="2133D21A" w14:textId="77777777" w:rsidR="00B32B21" w:rsidRDefault="00B32B21" w:rsidP="0087202E">
            <w:pPr>
              <w:spacing w:before="40" w:after="40"/>
            </w:pPr>
            <w:r>
              <w:rPr>
                <w:sz w:val="16"/>
              </w:rPr>
              <w:t>Obchodní firma* / název**:</w:t>
            </w:r>
          </w:p>
        </w:tc>
        <w:tc>
          <w:tcPr>
            <w:tcW w:w="6977" w:type="dxa"/>
            <w:vAlign w:val="center"/>
          </w:tcPr>
          <w:p w14:paraId="5C0FE6F8" w14:textId="77777777" w:rsidR="00B32B21" w:rsidRPr="0095284A" w:rsidRDefault="00B32B21" w:rsidP="0087202E">
            <w:pPr>
              <w:spacing w:before="40" w:after="40"/>
              <w:rPr>
                <w:b/>
              </w:rPr>
            </w:pPr>
            <w:r>
              <w:rPr>
                <w:b/>
              </w:rPr>
              <w:t>Ústav přístrojové techniky AV ČR, v. v. i.</w:t>
            </w:r>
          </w:p>
        </w:tc>
      </w:tr>
      <w:tr w:rsidR="00B32B21" w14:paraId="7B8B218B" w14:textId="77777777" w:rsidTr="0087202E">
        <w:tc>
          <w:tcPr>
            <w:tcW w:w="2802" w:type="dxa"/>
            <w:vAlign w:val="center"/>
          </w:tcPr>
          <w:p w14:paraId="0936C291" w14:textId="77777777" w:rsidR="00B32B21" w:rsidRDefault="00B32B21" w:rsidP="0087202E">
            <w:pPr>
              <w:spacing w:before="40" w:after="40"/>
            </w:pPr>
            <w:r>
              <w:rPr>
                <w:sz w:val="16"/>
              </w:rPr>
              <w:t>Sídlo:</w:t>
            </w:r>
          </w:p>
        </w:tc>
        <w:tc>
          <w:tcPr>
            <w:tcW w:w="6977" w:type="dxa"/>
            <w:vAlign w:val="center"/>
          </w:tcPr>
          <w:p w14:paraId="14D2F198" w14:textId="77777777" w:rsidR="00B32B21" w:rsidRPr="0095284A" w:rsidRDefault="00B32B21" w:rsidP="0087202E">
            <w:pPr>
              <w:spacing w:before="40" w:after="40"/>
              <w:rPr>
                <w:b/>
              </w:rPr>
            </w:pPr>
            <w:r>
              <w:rPr>
                <w:b/>
              </w:rPr>
              <w:t>Královopolská 62/147, 612 00 Brno - Královo Pole</w:t>
            </w:r>
          </w:p>
        </w:tc>
      </w:tr>
      <w:tr w:rsidR="00B32B21" w14:paraId="7F7867E6" w14:textId="77777777" w:rsidTr="0087202E">
        <w:tc>
          <w:tcPr>
            <w:tcW w:w="2802" w:type="dxa"/>
            <w:vAlign w:val="center"/>
          </w:tcPr>
          <w:p w14:paraId="2392BCB8" w14:textId="77777777" w:rsidR="00B32B21" w:rsidRDefault="00B32B21" w:rsidP="0087202E">
            <w:pPr>
              <w:spacing w:before="40" w:after="40"/>
            </w:pPr>
            <w:r>
              <w:rPr>
                <w:sz w:val="16"/>
              </w:rPr>
              <w:t>IČO:</w:t>
            </w:r>
          </w:p>
        </w:tc>
        <w:tc>
          <w:tcPr>
            <w:tcW w:w="6977" w:type="dxa"/>
            <w:vAlign w:val="center"/>
          </w:tcPr>
          <w:p w14:paraId="4F5EB5FC" w14:textId="77777777" w:rsidR="00B32B21" w:rsidRPr="0095284A" w:rsidRDefault="00B32B21" w:rsidP="0087202E">
            <w:pPr>
              <w:spacing w:before="40" w:after="40"/>
              <w:rPr>
                <w:b/>
              </w:rPr>
            </w:pPr>
            <w:r>
              <w:rPr>
                <w:b/>
              </w:rPr>
              <w:t>68081731</w:t>
            </w:r>
          </w:p>
        </w:tc>
      </w:tr>
      <w:tr w:rsidR="00B32B21" w14:paraId="6FBC1527" w14:textId="77777777" w:rsidTr="0087202E">
        <w:tc>
          <w:tcPr>
            <w:tcW w:w="2802" w:type="dxa"/>
            <w:vAlign w:val="center"/>
          </w:tcPr>
          <w:p w14:paraId="4936DD36" w14:textId="77777777" w:rsidR="00B32B21" w:rsidRDefault="00B32B21" w:rsidP="0087202E">
            <w:pPr>
              <w:spacing w:before="40" w:after="40"/>
            </w:pPr>
            <w:r>
              <w:rPr>
                <w:sz w:val="16"/>
              </w:rPr>
              <w:t>Zápis v obchodním rejstříku či jiné evidenci, včetně spisové značky:</w:t>
            </w:r>
          </w:p>
        </w:tc>
        <w:tc>
          <w:tcPr>
            <w:tcW w:w="6977" w:type="dxa"/>
            <w:vAlign w:val="center"/>
          </w:tcPr>
          <w:p w14:paraId="58D147CB" w14:textId="77777777" w:rsidR="00B32B21" w:rsidRPr="0095284A" w:rsidRDefault="00B32B21" w:rsidP="0087202E">
            <w:pPr>
              <w:spacing w:before="40" w:after="40"/>
              <w:rPr>
                <w:b/>
              </w:rPr>
            </w:pPr>
            <w:r>
              <w:rPr>
                <w:b/>
              </w:rPr>
              <w:t>Společenská sml./zakladatelská list., číslo: ÚZL ÚPT ze dne 22.4.2024, Česká republika, Akademie věd české republiky</w:t>
            </w:r>
          </w:p>
        </w:tc>
      </w:tr>
    </w:tbl>
    <w:p w14:paraId="1D847447" w14:textId="77777777" w:rsidR="00B32B21" w:rsidRDefault="00B32B21" w:rsidP="00B32B21">
      <w:pPr>
        <w:rPr>
          <w:sz w:val="16"/>
        </w:rPr>
      </w:pPr>
      <w:r>
        <w:rPr>
          <w:sz w:val="16"/>
        </w:rPr>
        <w:t>*je-li Klient zapsán v obchodním rejstříku; **není-li Klient zapsán v obchodním rejstříku</w:t>
      </w:r>
    </w:p>
    <w:p w14:paraId="7D6D8C0D" w14:textId="77777777" w:rsidR="00B32B21" w:rsidRDefault="00B32B21" w:rsidP="00B32B21"/>
    <w:p w14:paraId="76427610" w14:textId="77777777" w:rsidR="000A17F2" w:rsidRDefault="000A17F2" w:rsidP="000A17F2">
      <w:pPr>
        <w:overflowPunct/>
        <w:autoSpaceDE/>
        <w:autoSpaceDN/>
        <w:adjustRightInd/>
        <w:textAlignment w:val="auto"/>
        <w:outlineLvl w:val="1"/>
        <w:rPr>
          <w:rFonts w:eastAsia="SimSun" w:cs="Arial"/>
          <w:szCs w:val="18"/>
          <w:lang w:eastAsia="zh-CN"/>
        </w:rPr>
      </w:pPr>
    </w:p>
    <w:p w14:paraId="6EB84C67" w14:textId="77777777" w:rsidR="000A17F2" w:rsidRDefault="000A17F2" w:rsidP="000A17F2">
      <w:pPr>
        <w:overflowPunct/>
        <w:autoSpaceDE/>
        <w:autoSpaceDN/>
        <w:adjustRightInd/>
        <w:textAlignment w:val="auto"/>
        <w:outlineLvl w:val="1"/>
        <w:rPr>
          <w:rFonts w:eastAsia="SimSun" w:cs="Arial"/>
          <w:szCs w:val="18"/>
          <w:lang w:eastAsia="zh-CN"/>
        </w:rPr>
      </w:pPr>
    </w:p>
    <w:p w14:paraId="2F5810B7" w14:textId="77777777" w:rsidR="000A17F2" w:rsidRPr="0039251D" w:rsidRDefault="000A17F2" w:rsidP="000A17F2">
      <w:pPr>
        <w:rPr>
          <w:rFonts w:cs="Arial"/>
          <w:szCs w:val="18"/>
        </w:rPr>
      </w:pPr>
      <w:r w:rsidRPr="0039251D">
        <w:rPr>
          <w:rFonts w:cs="Arial"/>
          <w:szCs w:val="18"/>
        </w:rPr>
        <w:t>Níže uvedené osoby berou na vědomí, že Banka je oprávněna pořizovat záznamy telefonické komunikace mezi nimi a</w:t>
      </w:r>
      <w:r>
        <w:rPr>
          <w:rFonts w:cs="Arial"/>
          <w:szCs w:val="18"/>
        </w:rPr>
        <w:t> </w:t>
      </w:r>
      <w:r w:rsidRPr="0039251D">
        <w:rPr>
          <w:rFonts w:cs="Arial"/>
          <w:szCs w:val="18"/>
        </w:rPr>
        <w:t>Bankou s tím, že takový záznam bude oběma stranami považován za průkazný materiál do maximálního rozsahu povoleného právními předpisy a za důkaz o obsahu Pokynu. Nahrávka může být jako důkaz použita i v řízení před soudem nebo jiným obdobným orgánem.</w:t>
      </w:r>
    </w:p>
    <w:p w14:paraId="60861BB6" w14:textId="77777777" w:rsidR="000A17F2" w:rsidRDefault="000A17F2" w:rsidP="000A17F2">
      <w:pPr>
        <w:overflowPunct/>
        <w:autoSpaceDE/>
        <w:autoSpaceDN/>
        <w:adjustRightInd/>
        <w:textAlignment w:val="auto"/>
        <w:outlineLvl w:val="1"/>
        <w:rPr>
          <w:rFonts w:eastAsia="SimSun" w:cs="Arial"/>
          <w:szCs w:val="18"/>
          <w:lang w:eastAsia="zh-CN"/>
        </w:rPr>
      </w:pPr>
    </w:p>
    <w:tbl>
      <w:tblPr>
        <w:tblW w:w="9781"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4A0" w:firstRow="1" w:lastRow="0" w:firstColumn="1" w:lastColumn="0" w:noHBand="0" w:noVBand="1"/>
      </w:tblPr>
      <w:tblGrid>
        <w:gridCol w:w="1843"/>
        <w:gridCol w:w="1701"/>
        <w:gridCol w:w="2694"/>
        <w:gridCol w:w="1134"/>
        <w:gridCol w:w="2409"/>
      </w:tblGrid>
      <w:tr w:rsidR="000A17F2" w:rsidRPr="00F464FC" w14:paraId="197DE161" w14:textId="77777777" w:rsidTr="00F464FC">
        <w:tc>
          <w:tcPr>
            <w:tcW w:w="1843" w:type="dxa"/>
            <w:shd w:val="clear" w:color="auto" w:fill="auto"/>
            <w:vAlign w:val="center"/>
          </w:tcPr>
          <w:p w14:paraId="13E21027" w14:textId="77777777" w:rsidR="000A17F2" w:rsidRPr="00F464FC" w:rsidRDefault="000A17F2" w:rsidP="00F464FC">
            <w:pPr>
              <w:jc w:val="left"/>
              <w:rPr>
                <w:rFonts w:cs="Arial"/>
                <w:sz w:val="16"/>
                <w:szCs w:val="16"/>
              </w:rPr>
            </w:pPr>
            <w:r w:rsidRPr="00F464FC">
              <w:rPr>
                <w:rFonts w:cs="Arial"/>
                <w:sz w:val="16"/>
                <w:szCs w:val="16"/>
              </w:rPr>
              <w:t>Jméno a příjmení</w:t>
            </w:r>
          </w:p>
        </w:tc>
        <w:tc>
          <w:tcPr>
            <w:tcW w:w="1701" w:type="dxa"/>
            <w:shd w:val="clear" w:color="auto" w:fill="auto"/>
            <w:vAlign w:val="center"/>
          </w:tcPr>
          <w:p w14:paraId="62926562" w14:textId="77777777" w:rsidR="000A17F2" w:rsidRPr="00F464FC" w:rsidRDefault="000A17F2" w:rsidP="00F464FC">
            <w:pPr>
              <w:jc w:val="left"/>
              <w:rPr>
                <w:rFonts w:cs="Arial"/>
                <w:sz w:val="16"/>
                <w:szCs w:val="16"/>
              </w:rPr>
            </w:pPr>
            <w:r w:rsidRPr="00F464FC">
              <w:rPr>
                <w:rFonts w:cs="Arial"/>
                <w:sz w:val="16"/>
                <w:szCs w:val="16"/>
              </w:rPr>
              <w:t>Rodné číslo (občané ČR) / Datum narození (občané jiných států)</w:t>
            </w:r>
          </w:p>
        </w:tc>
        <w:tc>
          <w:tcPr>
            <w:tcW w:w="2694" w:type="dxa"/>
            <w:shd w:val="clear" w:color="auto" w:fill="auto"/>
            <w:vAlign w:val="center"/>
          </w:tcPr>
          <w:p w14:paraId="254849CE" w14:textId="77777777" w:rsidR="000A17F2" w:rsidRPr="00F464FC" w:rsidRDefault="000A17F2" w:rsidP="00F464FC">
            <w:pPr>
              <w:jc w:val="left"/>
              <w:rPr>
                <w:rFonts w:cs="Arial"/>
                <w:sz w:val="16"/>
                <w:szCs w:val="16"/>
              </w:rPr>
            </w:pPr>
            <w:r w:rsidRPr="00F464FC">
              <w:rPr>
                <w:rFonts w:cs="Arial"/>
                <w:sz w:val="16"/>
                <w:szCs w:val="16"/>
              </w:rPr>
              <w:t>Adresa (trvalý pobyt)</w:t>
            </w:r>
          </w:p>
        </w:tc>
        <w:tc>
          <w:tcPr>
            <w:tcW w:w="1134" w:type="dxa"/>
            <w:shd w:val="clear" w:color="auto" w:fill="auto"/>
            <w:vAlign w:val="center"/>
          </w:tcPr>
          <w:p w14:paraId="61441836" w14:textId="77777777" w:rsidR="000A17F2" w:rsidRPr="00F464FC" w:rsidRDefault="000A17F2" w:rsidP="00F464FC">
            <w:pPr>
              <w:jc w:val="left"/>
              <w:rPr>
                <w:rFonts w:cs="Arial"/>
                <w:sz w:val="16"/>
                <w:szCs w:val="16"/>
              </w:rPr>
            </w:pPr>
            <w:r w:rsidRPr="00F464FC">
              <w:rPr>
                <w:rFonts w:cs="Arial"/>
                <w:sz w:val="16"/>
                <w:szCs w:val="16"/>
              </w:rPr>
              <w:t>Oprávnění</w:t>
            </w:r>
            <w:r w:rsidRPr="00F464FC">
              <w:rPr>
                <w:rFonts w:cs="Arial"/>
                <w:sz w:val="16"/>
                <w:szCs w:val="16"/>
                <w:vertAlign w:val="superscript"/>
              </w:rPr>
              <w:t>*)</w:t>
            </w:r>
          </w:p>
        </w:tc>
        <w:tc>
          <w:tcPr>
            <w:tcW w:w="2409" w:type="dxa"/>
            <w:shd w:val="clear" w:color="auto" w:fill="auto"/>
            <w:vAlign w:val="center"/>
          </w:tcPr>
          <w:p w14:paraId="0C61A830" w14:textId="77777777" w:rsidR="000A17F2" w:rsidRPr="00F464FC" w:rsidRDefault="000A17F2" w:rsidP="00F464FC">
            <w:pPr>
              <w:jc w:val="left"/>
              <w:rPr>
                <w:rFonts w:cs="Arial"/>
                <w:sz w:val="16"/>
                <w:szCs w:val="16"/>
              </w:rPr>
            </w:pPr>
            <w:r w:rsidRPr="00F464FC">
              <w:rPr>
                <w:rFonts w:cs="Arial"/>
                <w:sz w:val="16"/>
                <w:szCs w:val="16"/>
              </w:rPr>
              <w:t>Vlastnoruční podpis</w:t>
            </w:r>
            <w:bookmarkStart w:id="70" w:name="osoby"/>
            <w:bookmarkEnd w:id="70"/>
          </w:p>
        </w:tc>
      </w:tr>
      <w:tr w:rsidR="000A17F2" w:rsidRPr="0039251D" w14:paraId="7CB6932E" w14:textId="77777777" w:rsidTr="00F464FC">
        <w:tc>
          <w:tcPr>
            <w:tcW w:w="1843" w:type="dxa"/>
            <w:shd w:val="clear" w:color="auto" w:fill="auto"/>
          </w:tcPr>
          <w:p w14:paraId="0D3BF299" w14:textId="15430204" w:rsidR="000A17F2" w:rsidRPr="00FF4724" w:rsidRDefault="00B32B21" w:rsidP="00F464FC">
            <w:pPr>
              <w:spacing w:before="60" w:after="60"/>
              <w:rPr>
                <w:rFonts w:cs="Arial"/>
                <w:szCs w:val="18"/>
                <w:highlight w:val="black"/>
              </w:rPr>
            </w:pPr>
            <w:r w:rsidRPr="00FF4724">
              <w:rPr>
                <w:rFonts w:cs="Arial"/>
                <w:szCs w:val="18"/>
                <w:highlight w:val="black"/>
              </w:rPr>
              <w:t>prof. Ing. Josef Lazar, Dr.</w:t>
            </w:r>
          </w:p>
        </w:tc>
        <w:tc>
          <w:tcPr>
            <w:tcW w:w="1701" w:type="dxa"/>
            <w:shd w:val="clear" w:color="auto" w:fill="auto"/>
          </w:tcPr>
          <w:p w14:paraId="4FD69F70" w14:textId="7A08FAB9" w:rsidR="000A17F2" w:rsidRPr="00FF4724" w:rsidRDefault="00B32B21" w:rsidP="00F464FC">
            <w:pPr>
              <w:spacing w:before="60" w:after="60"/>
              <w:rPr>
                <w:rFonts w:cs="Arial"/>
                <w:szCs w:val="18"/>
                <w:highlight w:val="black"/>
              </w:rPr>
            </w:pPr>
            <w:r w:rsidRPr="00FF4724">
              <w:rPr>
                <w:rFonts w:cs="Arial"/>
                <w:szCs w:val="18"/>
                <w:highlight w:val="black"/>
              </w:rPr>
              <w:t>6512096833</w:t>
            </w:r>
          </w:p>
        </w:tc>
        <w:tc>
          <w:tcPr>
            <w:tcW w:w="2694" w:type="dxa"/>
            <w:shd w:val="clear" w:color="auto" w:fill="auto"/>
          </w:tcPr>
          <w:p w14:paraId="77AF6CF1" w14:textId="6884AD0D" w:rsidR="000A17F2" w:rsidRPr="00FF4724" w:rsidRDefault="00B32B21" w:rsidP="00F464FC">
            <w:pPr>
              <w:spacing w:before="60" w:after="60"/>
              <w:rPr>
                <w:rFonts w:cs="Arial"/>
                <w:szCs w:val="18"/>
                <w:highlight w:val="black"/>
              </w:rPr>
            </w:pPr>
            <w:r w:rsidRPr="00FF4724">
              <w:rPr>
                <w:rFonts w:cs="Arial"/>
                <w:szCs w:val="18"/>
                <w:highlight w:val="black"/>
              </w:rPr>
              <w:t>Herčíkova 2494/6, 612 00 Brno - Královo Pole</w:t>
            </w:r>
          </w:p>
        </w:tc>
        <w:tc>
          <w:tcPr>
            <w:tcW w:w="1134" w:type="dxa"/>
            <w:shd w:val="clear" w:color="auto" w:fill="auto"/>
          </w:tcPr>
          <w:p w14:paraId="1FF350EA" w14:textId="03E08714" w:rsidR="000A17F2" w:rsidRPr="00F464FC" w:rsidRDefault="00B32B21" w:rsidP="00F464FC">
            <w:pPr>
              <w:spacing w:before="60" w:after="60"/>
              <w:rPr>
                <w:rFonts w:cs="Arial"/>
                <w:szCs w:val="18"/>
              </w:rPr>
            </w:pPr>
            <w:r>
              <w:rPr>
                <w:rFonts w:cs="Arial"/>
                <w:szCs w:val="18"/>
              </w:rPr>
              <w:t>A</w:t>
            </w:r>
          </w:p>
        </w:tc>
        <w:tc>
          <w:tcPr>
            <w:tcW w:w="2409" w:type="dxa"/>
            <w:shd w:val="clear" w:color="auto" w:fill="auto"/>
          </w:tcPr>
          <w:p w14:paraId="5473E21F" w14:textId="77777777" w:rsidR="000A17F2" w:rsidRPr="00F464FC" w:rsidRDefault="000A17F2" w:rsidP="00F464FC">
            <w:pPr>
              <w:spacing w:before="60" w:after="60"/>
              <w:rPr>
                <w:rFonts w:cs="Arial"/>
                <w:szCs w:val="18"/>
              </w:rPr>
            </w:pPr>
          </w:p>
        </w:tc>
      </w:tr>
    </w:tbl>
    <w:p w14:paraId="03393657" w14:textId="77777777" w:rsidR="000A17F2" w:rsidRPr="0039251D" w:rsidRDefault="000A17F2" w:rsidP="000A17F2">
      <w:pPr>
        <w:tabs>
          <w:tab w:val="left" w:pos="426"/>
        </w:tabs>
        <w:ind w:left="426" w:hanging="426"/>
        <w:rPr>
          <w:rFonts w:cs="Arial"/>
          <w:szCs w:val="18"/>
        </w:rPr>
      </w:pPr>
      <w:r w:rsidRPr="000A17F2">
        <w:rPr>
          <w:rFonts w:cs="Arial"/>
          <w:szCs w:val="18"/>
          <w:vertAlign w:val="superscript"/>
        </w:rPr>
        <w:t>*)</w:t>
      </w:r>
      <w:r w:rsidRPr="0039251D">
        <w:rPr>
          <w:rFonts w:cs="Arial"/>
          <w:szCs w:val="18"/>
        </w:rPr>
        <w:tab/>
        <w:t>Oprávnění:</w:t>
      </w:r>
    </w:p>
    <w:p w14:paraId="44E64700" w14:textId="77777777" w:rsidR="000A17F2" w:rsidRPr="0039251D" w:rsidRDefault="000A17F2" w:rsidP="000A17F2">
      <w:pPr>
        <w:tabs>
          <w:tab w:val="left" w:pos="426"/>
        </w:tabs>
        <w:ind w:left="426" w:hanging="426"/>
        <w:rPr>
          <w:rFonts w:cs="Arial"/>
          <w:szCs w:val="18"/>
        </w:rPr>
      </w:pPr>
      <w:r w:rsidRPr="0039251D">
        <w:rPr>
          <w:rFonts w:cs="Arial"/>
          <w:szCs w:val="18"/>
        </w:rPr>
        <w:t>A)</w:t>
      </w:r>
      <w:r w:rsidRPr="0039251D">
        <w:rPr>
          <w:rFonts w:cs="Arial"/>
          <w:szCs w:val="18"/>
        </w:rPr>
        <w:tab/>
        <w:t>Osoba oprávněná udělovat Pokyny samostatně.</w:t>
      </w:r>
    </w:p>
    <w:p w14:paraId="513EA8F6" w14:textId="77777777" w:rsidR="000A17F2" w:rsidRPr="0039251D" w:rsidRDefault="000A17F2" w:rsidP="000A17F2">
      <w:pPr>
        <w:tabs>
          <w:tab w:val="left" w:pos="426"/>
        </w:tabs>
        <w:ind w:left="426" w:hanging="426"/>
        <w:rPr>
          <w:rFonts w:cs="Arial"/>
          <w:szCs w:val="18"/>
        </w:rPr>
      </w:pPr>
      <w:r w:rsidRPr="0039251D">
        <w:rPr>
          <w:rFonts w:cs="Arial"/>
          <w:szCs w:val="18"/>
        </w:rPr>
        <w:t>B)</w:t>
      </w:r>
      <w:r w:rsidRPr="0039251D">
        <w:rPr>
          <w:rFonts w:cs="Arial"/>
          <w:szCs w:val="18"/>
        </w:rPr>
        <w:tab/>
      </w:r>
      <w:bookmarkStart w:id="71" w:name="OLE_LINK3"/>
      <w:r w:rsidRPr="0039251D">
        <w:rPr>
          <w:rFonts w:cs="Arial"/>
          <w:szCs w:val="18"/>
        </w:rPr>
        <w:t>Osoba oprávněná udělovat Pokyny vždy společně s další osobou; v případě Pokynu uděleného telefonicky, prostřednictvím Online Portfolia nebo jinak elektronicky, je osoba oprávněna udělovat Pokyn jen samostatně</w:t>
      </w:r>
      <w:bookmarkEnd w:id="71"/>
      <w:r w:rsidRPr="0039251D">
        <w:rPr>
          <w:rFonts w:cs="Arial"/>
          <w:szCs w:val="18"/>
        </w:rPr>
        <w:t>.</w:t>
      </w:r>
    </w:p>
    <w:p w14:paraId="6BE4CDAA" w14:textId="77777777" w:rsidR="000A17F2" w:rsidRDefault="000A17F2" w:rsidP="000A17F2">
      <w:pPr>
        <w:rPr>
          <w:rFonts w:cs="Arial"/>
          <w:szCs w:val="18"/>
        </w:rPr>
      </w:pPr>
    </w:p>
    <w:p w14:paraId="43B2ECF7" w14:textId="77777777" w:rsidR="000A17F2" w:rsidRPr="0039251D" w:rsidRDefault="000A17F2" w:rsidP="000A17F2">
      <w:pPr>
        <w:rPr>
          <w:rFonts w:cs="Arial"/>
          <w:szCs w:val="18"/>
        </w:rPr>
      </w:pPr>
      <w:r w:rsidRPr="0039251D">
        <w:rPr>
          <w:rFonts w:cs="Arial"/>
          <w:szCs w:val="18"/>
        </w:rPr>
        <w:t>Tuto přílohu Podpisový vzor nelze aktualizovat částečně a jak</w:t>
      </w:r>
      <w:r>
        <w:rPr>
          <w:rFonts w:cs="Arial"/>
          <w:szCs w:val="18"/>
        </w:rPr>
        <w:t>oukoliv změnou</w:t>
      </w:r>
      <w:r w:rsidRPr="0039251D">
        <w:rPr>
          <w:rFonts w:cs="Arial"/>
          <w:szCs w:val="18"/>
        </w:rPr>
        <w:t xml:space="preserve"> </w:t>
      </w:r>
      <w:r>
        <w:rPr>
          <w:rFonts w:cs="Arial"/>
          <w:szCs w:val="18"/>
        </w:rPr>
        <w:t xml:space="preserve">se plně </w:t>
      </w:r>
      <w:r w:rsidRPr="0039251D">
        <w:rPr>
          <w:rFonts w:cs="Arial"/>
          <w:szCs w:val="18"/>
        </w:rPr>
        <w:t>nahrazuje předchozí Podpisový vzor.</w:t>
      </w:r>
    </w:p>
    <w:p w14:paraId="4239A376" w14:textId="77777777" w:rsidR="000A17F2" w:rsidRPr="0039251D" w:rsidRDefault="000A17F2" w:rsidP="000A17F2">
      <w:pPr>
        <w:rPr>
          <w:rFonts w:cs="Arial"/>
          <w:szCs w:val="18"/>
        </w:rPr>
      </w:pPr>
    </w:p>
    <w:p w14:paraId="3840B6A4" w14:textId="77777777" w:rsidR="000A17F2" w:rsidRDefault="000A17F2" w:rsidP="000A17F2">
      <w:pPr>
        <w:rPr>
          <w:rFonts w:cs="Arial"/>
          <w:szCs w:val="18"/>
        </w:rPr>
      </w:pPr>
      <w:r w:rsidRPr="0039251D">
        <w:rPr>
          <w:rFonts w:cs="Arial"/>
          <w:szCs w:val="18"/>
        </w:rPr>
        <w:t>V případě, že Klient nepodepisuje tuto přílohu v části Podpisového vzoru před zaměstnancem Banky a Podpisový vzor tak neobsahuje ověřovací doložku zaměstnance Banky, musí být podpis Klienta v části Podpisového vzoru úředně ověřen. Pokud si Klient nepřeje změnit či aktualizovat údaje v této příloze, příslušná pole nevyplňuje.</w:t>
      </w:r>
    </w:p>
    <w:p w14:paraId="25AB8413" w14:textId="77777777" w:rsidR="000A17F2" w:rsidRPr="0039251D" w:rsidRDefault="000A17F2" w:rsidP="000A17F2">
      <w:pPr>
        <w:rPr>
          <w:rFonts w:cs="Arial"/>
          <w:szCs w:val="18"/>
        </w:rPr>
      </w:pPr>
    </w:p>
    <w:p w14:paraId="3FF6A638" w14:textId="77777777" w:rsidR="000A17F2" w:rsidRPr="0039251D" w:rsidRDefault="000A17F2" w:rsidP="000A17F2">
      <w:pPr>
        <w:rPr>
          <w:rFonts w:cs="Arial"/>
          <w:b/>
          <w:szCs w:val="18"/>
        </w:rPr>
      </w:pPr>
      <w:r w:rsidRPr="0039251D">
        <w:rPr>
          <w:rFonts w:cs="Arial"/>
          <w:b/>
          <w:szCs w:val="18"/>
        </w:rPr>
        <w:t>Prohlášení klienta:</w:t>
      </w:r>
    </w:p>
    <w:p w14:paraId="74537999" w14:textId="77777777" w:rsidR="000A17F2" w:rsidRDefault="000A17F2" w:rsidP="000A17F2">
      <w:pPr>
        <w:rPr>
          <w:rFonts w:cs="Arial"/>
          <w:szCs w:val="18"/>
        </w:rPr>
      </w:pPr>
      <w:r w:rsidRPr="0039251D">
        <w:rPr>
          <w:rFonts w:cs="Arial"/>
          <w:szCs w:val="18"/>
        </w:rPr>
        <w:t>Pro případ, že některá z výše uvedených osob není statutárním orgánem Klienta oprávněným jednat za Klienta ve shora uvedených záležitostech samostatně nebo zákonným zástupcem Klienta nebo opatrovníkem Klienta, uděluje tímto Klient takové osobě plnou moc k jednání za Klienta v rozsahu vymezeném v této příloze.</w:t>
      </w:r>
    </w:p>
    <w:p w14:paraId="416CD8D2" w14:textId="77777777" w:rsidR="000A17F2" w:rsidRPr="0039251D" w:rsidRDefault="000A17F2" w:rsidP="000A17F2">
      <w:pPr>
        <w:rPr>
          <w:rFonts w:cs="Arial"/>
          <w:szCs w:val="18"/>
        </w:rPr>
      </w:pPr>
    </w:p>
    <w:p w14:paraId="07C6BC0C" w14:textId="77777777" w:rsidR="000A17F2" w:rsidRPr="0039251D" w:rsidRDefault="000A17F2" w:rsidP="000A17F2">
      <w:pPr>
        <w:rPr>
          <w:rFonts w:cs="Arial"/>
          <w:szCs w:val="18"/>
        </w:rPr>
      </w:pPr>
      <w:r w:rsidRPr="0039251D">
        <w:rPr>
          <w:rFonts w:cs="Arial"/>
          <w:szCs w:val="18"/>
        </w:rPr>
        <w:t>Klient tímto potvrzuje, že Podpisové vzory osob oprávněných jednat za Klienta jsou podepsány oprávněnými osobami, jejich podpisy jsou pravé, data narození nebo rodná čísla a adresy (trvalého pobytu) odpovídají skutečnosti. Klient bere na vědomí, že Banka neodpovídá za škody vzniklé z neoprávněně či nesprávně vyplněných údajů.</w:t>
      </w:r>
    </w:p>
    <w:p w14:paraId="6E28BDF9" w14:textId="77777777" w:rsidR="000A17F2" w:rsidRDefault="000A17F2" w:rsidP="000A17F2">
      <w:pPr>
        <w:rPr>
          <w:rFonts w:cs="Arial"/>
          <w:szCs w:val="18"/>
        </w:rPr>
      </w:pPr>
    </w:p>
    <w:tbl>
      <w:tblPr>
        <w:tblW w:w="0" w:type="auto"/>
        <w:tblLayout w:type="fixed"/>
        <w:tblCellMar>
          <w:left w:w="70" w:type="dxa"/>
          <w:right w:w="70" w:type="dxa"/>
        </w:tblCellMar>
        <w:tblLook w:val="0000" w:firstRow="0" w:lastRow="0" w:firstColumn="0" w:lastColumn="0" w:noHBand="0" w:noVBand="0"/>
      </w:tblPr>
      <w:tblGrid>
        <w:gridCol w:w="4820"/>
      </w:tblGrid>
      <w:tr w:rsidR="00B32B21" w14:paraId="0230553B" w14:textId="77777777" w:rsidTr="0087202E">
        <w:trPr>
          <w:cantSplit/>
        </w:trPr>
        <w:tc>
          <w:tcPr>
            <w:tcW w:w="4820" w:type="dxa"/>
          </w:tcPr>
          <w:p w14:paraId="2C2188C0" w14:textId="77777777" w:rsidR="00B32B21" w:rsidRDefault="00B32B21" w:rsidP="0087202E">
            <w:pPr>
              <w:rPr>
                <w:sz w:val="8"/>
              </w:rPr>
            </w:pPr>
            <w:bookmarkStart w:id="72" w:name="podpisy_4"/>
            <w:bookmarkEnd w:id="72"/>
          </w:p>
          <w:p w14:paraId="1D87EBA5" w14:textId="6D416242" w:rsidR="00B32B21" w:rsidRDefault="00B32B21" w:rsidP="0087202E">
            <w:r>
              <w:t xml:space="preserve">V Brně dne </w:t>
            </w:r>
            <w:r w:rsidR="00427C89">
              <w:t>11.3.2026</w:t>
            </w:r>
          </w:p>
          <w:p w14:paraId="0267CDC5" w14:textId="77777777" w:rsidR="00B32B21" w:rsidRDefault="00B32B21" w:rsidP="0087202E"/>
          <w:p w14:paraId="634DB437" w14:textId="77777777" w:rsidR="00B32B21" w:rsidRDefault="00B32B21" w:rsidP="0087202E">
            <w:pPr>
              <w:rPr>
                <w:b/>
              </w:rPr>
            </w:pPr>
            <w:r>
              <w:rPr>
                <w:b/>
              </w:rPr>
              <w:t>Ústav přístrojové techniky AV ČR, v. v. i.</w:t>
            </w:r>
          </w:p>
          <w:p w14:paraId="37077DEC" w14:textId="77777777" w:rsidR="00B32B21" w:rsidRDefault="00B32B21" w:rsidP="0087202E">
            <w:pPr>
              <w:rPr>
                <w:b/>
              </w:rPr>
            </w:pPr>
          </w:p>
          <w:p w14:paraId="35768C58" w14:textId="77777777" w:rsidR="00B32B21" w:rsidRDefault="00B32B21" w:rsidP="0087202E"/>
          <w:p w14:paraId="1FF2DBFF" w14:textId="77777777" w:rsidR="00B32B21" w:rsidRDefault="00B32B21" w:rsidP="0087202E">
            <w:pPr>
              <w:tabs>
                <w:tab w:val="left" w:pos="4536"/>
                <w:tab w:val="left" w:pos="4962"/>
                <w:tab w:val="left" w:pos="8931"/>
              </w:tabs>
            </w:pPr>
            <w:r>
              <w:tab/>
            </w:r>
          </w:p>
          <w:p w14:paraId="42EE78D0" w14:textId="77777777" w:rsidR="00B32B21" w:rsidRDefault="00B32B21" w:rsidP="0087202E">
            <w:pPr>
              <w:tabs>
                <w:tab w:val="left" w:leader="underscore" w:pos="4536"/>
                <w:tab w:val="left" w:pos="4962"/>
                <w:tab w:val="left" w:leader="dot" w:pos="8931"/>
              </w:tabs>
              <w:rPr>
                <w:position w:val="10"/>
                <w:sz w:val="12"/>
              </w:rPr>
            </w:pPr>
            <w:r>
              <w:rPr>
                <w:position w:val="10"/>
                <w:sz w:val="12"/>
              </w:rPr>
              <w:tab/>
            </w:r>
          </w:p>
          <w:p w14:paraId="519D9FB9" w14:textId="77777777" w:rsidR="00B32B21" w:rsidRPr="00A726DD" w:rsidRDefault="00B32B21" w:rsidP="0087202E">
            <w:pPr>
              <w:spacing w:after="120"/>
              <w:rPr>
                <w:sz w:val="16"/>
                <w:szCs w:val="16"/>
              </w:rPr>
            </w:pPr>
            <w:r w:rsidRPr="00A726DD">
              <w:rPr>
                <w:sz w:val="16"/>
                <w:szCs w:val="16"/>
              </w:rPr>
              <w:t>vlastnoruční podpis</w:t>
            </w:r>
          </w:p>
          <w:p w14:paraId="27056615" w14:textId="77777777" w:rsidR="00B32B21" w:rsidRPr="005B636C" w:rsidRDefault="00B32B21" w:rsidP="0087202E">
            <w:pPr>
              <w:tabs>
                <w:tab w:val="left" w:pos="851"/>
              </w:tabs>
              <w:rPr>
                <w:b/>
                <w:szCs w:val="18"/>
              </w:rPr>
            </w:pPr>
            <w:r w:rsidRPr="005B636C">
              <w:rPr>
                <w:b/>
                <w:szCs w:val="18"/>
              </w:rPr>
              <w:t>Jméno:</w:t>
            </w:r>
            <w:r w:rsidRPr="005B636C">
              <w:rPr>
                <w:b/>
                <w:szCs w:val="18"/>
              </w:rPr>
              <w:tab/>
            </w:r>
            <w:r w:rsidRPr="00FF4724">
              <w:rPr>
                <w:b/>
                <w:szCs w:val="18"/>
                <w:highlight w:val="black"/>
              </w:rPr>
              <w:t>prof. Ing. Josef Lazar, Dr.</w:t>
            </w:r>
          </w:p>
          <w:p w14:paraId="152A005C" w14:textId="77777777" w:rsidR="00B32B21" w:rsidRPr="005B636C" w:rsidRDefault="00B32B21" w:rsidP="0087202E">
            <w:pPr>
              <w:ind w:left="851" w:hanging="851"/>
              <w:rPr>
                <w:b/>
                <w:szCs w:val="18"/>
              </w:rPr>
            </w:pPr>
            <w:r w:rsidRPr="005B636C">
              <w:rPr>
                <w:b/>
                <w:szCs w:val="18"/>
              </w:rPr>
              <w:t>Funkce:</w:t>
            </w:r>
            <w:r w:rsidRPr="005B636C">
              <w:rPr>
                <w:b/>
                <w:szCs w:val="18"/>
              </w:rPr>
              <w:tab/>
            </w:r>
            <w:r>
              <w:rPr>
                <w:b/>
                <w:szCs w:val="18"/>
              </w:rPr>
              <w:t>ředitel ústavu</w:t>
            </w:r>
          </w:p>
          <w:p w14:paraId="075C7CE7" w14:textId="77777777" w:rsidR="00B32B21" w:rsidRDefault="00B32B21" w:rsidP="0087202E">
            <w:pPr>
              <w:tabs>
                <w:tab w:val="left" w:pos="1276"/>
              </w:tabs>
            </w:pPr>
          </w:p>
        </w:tc>
      </w:tr>
    </w:tbl>
    <w:p w14:paraId="2C0CDA57" w14:textId="77777777" w:rsidR="00BA13F2" w:rsidRPr="00661A60" w:rsidRDefault="00BA13F2" w:rsidP="000A17F2"/>
    <w:p w14:paraId="04211034" w14:textId="77777777" w:rsidR="00BA13F2" w:rsidRPr="00661A60" w:rsidRDefault="00BA13F2" w:rsidP="000A17F2">
      <w:pPr>
        <w:sectPr w:rsidR="00BA13F2" w:rsidRPr="00661A60">
          <w:headerReference w:type="default" r:id="rId22"/>
          <w:footerReference w:type="default" r:id="rId23"/>
          <w:pgSz w:w="11907" w:h="16840" w:code="9"/>
          <w:pgMar w:top="2552" w:right="1134" w:bottom="1134" w:left="1134" w:header="454" w:footer="397" w:gutter="0"/>
          <w:pgNumType w:start="1"/>
          <w:cols w:space="708"/>
          <w:formProt w:val="0"/>
        </w:sectPr>
      </w:pPr>
    </w:p>
    <w:p w14:paraId="505BAB33" w14:textId="77777777" w:rsidR="00E02C60" w:rsidRPr="00E02C60" w:rsidRDefault="00E02C60" w:rsidP="006D6C7C">
      <w:pPr>
        <w:pStyle w:val="Nadpis1"/>
        <w:numPr>
          <w:ilvl w:val="0"/>
          <w:numId w:val="13"/>
        </w:numPr>
        <w:tabs>
          <w:tab w:val="num" w:pos="425"/>
        </w:tabs>
        <w:ind w:left="425" w:hanging="425"/>
        <w:rPr>
          <w:rFonts w:cs="Arial"/>
          <w:sz w:val="16"/>
          <w:szCs w:val="16"/>
        </w:rPr>
      </w:pPr>
      <w:bookmarkStart w:id="73" w:name="_Ref197839648"/>
      <w:r w:rsidRPr="00E02C60">
        <w:rPr>
          <w:rFonts w:cs="Arial"/>
          <w:sz w:val="16"/>
          <w:szCs w:val="16"/>
        </w:rPr>
        <w:lastRenderedPageBreak/>
        <w:t>Úvodní ustanovení</w:t>
      </w:r>
    </w:p>
    <w:p w14:paraId="67C3A695"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Tyto Podmínky (dále jen </w:t>
      </w:r>
      <w:r w:rsidRPr="00E02C60">
        <w:rPr>
          <w:rFonts w:cs="Arial"/>
          <w:bCs/>
          <w:sz w:val="16"/>
          <w:szCs w:val="16"/>
        </w:rPr>
        <w:t>„</w:t>
      </w:r>
      <w:r w:rsidRPr="00E02C60">
        <w:rPr>
          <w:rFonts w:cs="Arial"/>
          <w:b/>
          <w:bCs/>
          <w:sz w:val="16"/>
          <w:szCs w:val="16"/>
        </w:rPr>
        <w:t>Podmínky</w:t>
      </w:r>
      <w:r w:rsidRPr="00E02C60">
        <w:rPr>
          <w:rFonts w:cs="Arial"/>
          <w:bCs/>
          <w:sz w:val="16"/>
          <w:szCs w:val="16"/>
        </w:rPr>
        <w:t>“</w:t>
      </w:r>
      <w:r w:rsidRPr="00E02C60">
        <w:rPr>
          <w:rFonts w:cs="Arial"/>
          <w:sz w:val="16"/>
          <w:szCs w:val="16"/>
        </w:rPr>
        <w:t>) představují Produktové podmínky ve smyslu Všeobecných podmínek. Podmínky tvoří součást Smlouvy o obstarávání koupě nebo prodeje investičních nástrojů a Klient je povinen se s nimi seznámit a dodržovat je.</w:t>
      </w:r>
    </w:p>
    <w:p w14:paraId="57DA80E9"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74" w:name="_Ref391978281"/>
      <w:r w:rsidRPr="00E02C60">
        <w:rPr>
          <w:rFonts w:cs="Arial"/>
          <w:sz w:val="16"/>
          <w:szCs w:val="16"/>
        </w:rPr>
        <w:t>Podmínky upravují práva a povinnosti společné všem Službám a současně zvláštní práva a povinnosti vztahující se ke konkrétní Službě.</w:t>
      </w:r>
    </w:p>
    <w:p w14:paraId="7490623A"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r w:rsidRPr="00E02C60">
        <w:rPr>
          <w:rFonts w:cs="Arial"/>
          <w:b/>
          <w:sz w:val="16"/>
          <w:szCs w:val="16"/>
        </w:rPr>
        <w:t>Služby</w:t>
      </w:r>
      <w:r w:rsidRPr="00E02C60">
        <w:rPr>
          <w:rFonts w:cs="Arial"/>
          <w:sz w:val="16"/>
          <w:szCs w:val="16"/>
        </w:rPr>
        <w:t xml:space="preserve"> poskytované Bankou podle Smlouvy jsou</w:t>
      </w:r>
      <w:bookmarkEnd w:id="74"/>
      <w:r w:rsidRPr="00E02C60">
        <w:rPr>
          <w:rFonts w:cs="Arial"/>
          <w:sz w:val="16"/>
          <w:szCs w:val="16"/>
        </w:rPr>
        <w:t xml:space="preserve"> zejména:</w:t>
      </w:r>
    </w:p>
    <w:p w14:paraId="62154760" w14:textId="358E64A9" w:rsidR="00E02C60" w:rsidRPr="00E02C60" w:rsidRDefault="00E02C60" w:rsidP="006D6C7C">
      <w:pPr>
        <w:pStyle w:val="Nadpis3"/>
        <w:numPr>
          <w:ilvl w:val="2"/>
          <w:numId w:val="13"/>
        </w:numPr>
        <w:tabs>
          <w:tab w:val="num" w:pos="992"/>
        </w:tabs>
        <w:spacing w:after="60"/>
        <w:ind w:left="851" w:hanging="425"/>
        <w:rPr>
          <w:rFonts w:cs="Arial"/>
          <w:sz w:val="16"/>
          <w:szCs w:val="16"/>
        </w:rPr>
      </w:pPr>
      <w:r w:rsidRPr="00E02C60">
        <w:rPr>
          <w:rFonts w:cs="Arial"/>
          <w:sz w:val="16"/>
          <w:szCs w:val="16"/>
          <w:u w:val="single"/>
        </w:rPr>
        <w:t>Obchody s Cennými papíry.</w:t>
      </w:r>
      <w:r w:rsidRPr="00E02C60">
        <w:rPr>
          <w:rFonts w:cs="Arial"/>
          <w:sz w:val="16"/>
          <w:szCs w:val="16"/>
        </w:rPr>
        <w:t xml:space="preserve"> Tyto Obchody jsou investiční službou dle ZPKT. Zvláštní podmínky pro tyto Obchody upravuje článek </w:t>
      </w:r>
      <w:r w:rsidRPr="00E02C60">
        <w:rPr>
          <w:rFonts w:cs="Arial"/>
          <w:sz w:val="16"/>
          <w:szCs w:val="16"/>
        </w:rPr>
        <w:fldChar w:fldCharType="begin"/>
      </w:r>
      <w:r w:rsidRPr="00E02C60">
        <w:rPr>
          <w:rFonts w:cs="Arial"/>
          <w:sz w:val="16"/>
          <w:szCs w:val="16"/>
        </w:rPr>
        <w:instrText xml:space="preserve"> REF _Ref405285236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5</w:t>
      </w:r>
      <w:r w:rsidRPr="00E02C60">
        <w:rPr>
          <w:rFonts w:cs="Arial"/>
          <w:sz w:val="16"/>
          <w:szCs w:val="16"/>
        </w:rPr>
        <w:fldChar w:fldCharType="end"/>
      </w:r>
    </w:p>
    <w:p w14:paraId="656014E6" w14:textId="6B2BAD80" w:rsidR="00E02C60" w:rsidRPr="00E02C60" w:rsidRDefault="00E02C60" w:rsidP="006D6C7C">
      <w:pPr>
        <w:pStyle w:val="Nadpis3"/>
        <w:numPr>
          <w:ilvl w:val="2"/>
          <w:numId w:val="13"/>
        </w:numPr>
        <w:tabs>
          <w:tab w:val="num" w:pos="992"/>
        </w:tabs>
        <w:ind w:left="851" w:hanging="425"/>
        <w:rPr>
          <w:rFonts w:cs="Arial"/>
          <w:sz w:val="16"/>
          <w:szCs w:val="16"/>
          <w:u w:val="single"/>
        </w:rPr>
      </w:pPr>
      <w:r w:rsidRPr="00E02C60">
        <w:rPr>
          <w:rFonts w:cs="Arial"/>
          <w:sz w:val="16"/>
          <w:szCs w:val="16"/>
          <w:u w:val="single"/>
        </w:rPr>
        <w:t>Obchody se Zlatem.</w:t>
      </w:r>
      <w:r w:rsidRPr="00E02C60">
        <w:rPr>
          <w:rFonts w:cs="Arial"/>
          <w:sz w:val="16"/>
          <w:szCs w:val="16"/>
        </w:rPr>
        <w:t xml:space="preserve"> Tyto Obchody nejsou investiční službou dle ZPKT. Zvláštní podmínky pro Obchody se Zlatem upravuje článek </w:t>
      </w:r>
      <w:r w:rsidRPr="00E02C60">
        <w:rPr>
          <w:rFonts w:cs="Arial"/>
          <w:sz w:val="16"/>
          <w:szCs w:val="16"/>
        </w:rPr>
        <w:fldChar w:fldCharType="begin"/>
      </w:r>
      <w:r w:rsidRPr="00E02C60">
        <w:rPr>
          <w:rFonts w:cs="Arial"/>
          <w:sz w:val="16"/>
          <w:szCs w:val="16"/>
        </w:rPr>
        <w:instrText xml:space="preserve"> REF _Ref405285246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6</w:t>
      </w:r>
      <w:r w:rsidRPr="00E02C60">
        <w:rPr>
          <w:rFonts w:cs="Arial"/>
          <w:sz w:val="16"/>
          <w:szCs w:val="16"/>
        </w:rPr>
        <w:fldChar w:fldCharType="end"/>
      </w:r>
      <w:r w:rsidRPr="00E02C60">
        <w:rPr>
          <w:rFonts w:cs="Arial"/>
          <w:sz w:val="16"/>
          <w:szCs w:val="16"/>
        </w:rPr>
        <w:t xml:space="preserve"> a jsou poskytovány bez ohledu na vyplnění Dotazníku investora.</w:t>
      </w:r>
    </w:p>
    <w:p w14:paraId="320EB264" w14:textId="77777777" w:rsidR="00820946" w:rsidRDefault="00E02C60" w:rsidP="00820946">
      <w:pPr>
        <w:pStyle w:val="Nadpis2"/>
        <w:numPr>
          <w:ilvl w:val="1"/>
          <w:numId w:val="13"/>
        </w:numPr>
        <w:tabs>
          <w:tab w:val="num" w:pos="425"/>
        </w:tabs>
        <w:ind w:left="425" w:hanging="425"/>
        <w:rPr>
          <w:rFonts w:cs="Arial"/>
          <w:sz w:val="16"/>
          <w:szCs w:val="16"/>
        </w:rPr>
      </w:pPr>
      <w:bookmarkStart w:id="75" w:name="_Ref401044517"/>
      <w:r w:rsidRPr="00E02C60">
        <w:rPr>
          <w:rFonts w:cs="Arial"/>
          <w:b/>
          <w:sz w:val="16"/>
          <w:szCs w:val="16"/>
        </w:rPr>
        <w:t xml:space="preserve">Před poskytováním Služeb </w:t>
      </w:r>
      <w:r w:rsidRPr="00E02C60">
        <w:rPr>
          <w:rFonts w:cs="Arial"/>
          <w:sz w:val="16"/>
          <w:szCs w:val="16"/>
        </w:rPr>
        <w:t xml:space="preserve">(s výjimkou Obchodů se Zlatem) Banka Klientovi předloží </w:t>
      </w:r>
      <w:r w:rsidRPr="00E02C60">
        <w:rPr>
          <w:rFonts w:cs="Arial"/>
          <w:b/>
          <w:sz w:val="16"/>
          <w:szCs w:val="16"/>
        </w:rPr>
        <w:t xml:space="preserve">Dotazník investora </w:t>
      </w:r>
      <w:r w:rsidRPr="00E02C60">
        <w:rPr>
          <w:rFonts w:cs="Arial"/>
          <w:sz w:val="16"/>
          <w:szCs w:val="16"/>
        </w:rPr>
        <w:t>a požádá ho o jeho vyplnění. Klient může vyplnění Dotazníku investora odmítnout. Bez vyplnění Dotazníku investora, pokud současně Klient výslovně neodmítnul jeho vyplnění, nebudou Klientovi Služby poskytovány.</w:t>
      </w:r>
      <w:bookmarkEnd w:id="75"/>
      <w:r w:rsidRPr="00E02C60">
        <w:rPr>
          <w:rFonts w:cs="Arial"/>
          <w:sz w:val="16"/>
          <w:szCs w:val="16"/>
        </w:rPr>
        <w:t xml:space="preserve"> Banka je oprávněna nepřijmout či odmítnout provedení Pokynu daného jí ústně prostřednictvím telefonu, pokud Klient odmítnul vyplnění Dotazníku investora.</w:t>
      </w:r>
    </w:p>
    <w:p w14:paraId="78DE8350" w14:textId="77777777" w:rsidR="00820946" w:rsidRPr="00820946" w:rsidRDefault="00820946" w:rsidP="00820946">
      <w:pPr>
        <w:pStyle w:val="Nadpis2"/>
        <w:numPr>
          <w:ilvl w:val="1"/>
          <w:numId w:val="13"/>
        </w:numPr>
        <w:tabs>
          <w:tab w:val="num" w:pos="425"/>
        </w:tabs>
        <w:ind w:left="425" w:hanging="425"/>
        <w:rPr>
          <w:rFonts w:cs="Arial"/>
          <w:sz w:val="16"/>
          <w:szCs w:val="16"/>
        </w:rPr>
      </w:pPr>
      <w:r w:rsidRPr="00820946">
        <w:rPr>
          <w:sz w:val="16"/>
          <w:szCs w:val="18"/>
        </w:rPr>
        <w:t xml:space="preserve">Pokud se na tom Banka a Klient dohodnou, Banka může vyplnit </w:t>
      </w:r>
      <w:r w:rsidRPr="00820946">
        <w:rPr>
          <w:b/>
          <w:bCs/>
          <w:sz w:val="16"/>
          <w:szCs w:val="18"/>
        </w:rPr>
        <w:t>Dotazník investora</w:t>
      </w:r>
      <w:r w:rsidRPr="00820946">
        <w:rPr>
          <w:sz w:val="16"/>
          <w:szCs w:val="18"/>
        </w:rPr>
        <w:t xml:space="preserve"> s Klientem prostřednictvím telefonu. V rámci telefonického hovoru Klient sdělí Bance všechny údaje a zodpoví všechny dotazy pracovníka Banky tak, aby Dotazník investora mohl být ze strany Banky považován za vyplněný. Následně pracovník Banky zašle Klientovi vyplněný Dotazník investora k potvrzení správnosti sdělených údajů a odpovědí prostřednictvím internetového či jiného přímého bankovnictví Banky. Klient je povinen zkontrolovat a potvrdit správnost sdělených údajů a odpovědí v Dotazníku investora tím, že je opatří Elektronickým podpisem vytvořeným na základě metody KB Klíč. Klient bere na vědomí a souhlasí s tím, že Dotazník investora, u kterého Klient nepotvrdil správnost sdělených údajů a odpovědí tímto postupem, nepůsobí vůči Bance žádné právní účinky.</w:t>
      </w:r>
    </w:p>
    <w:p w14:paraId="0B607DDD" w14:textId="77777777" w:rsidR="00820946" w:rsidRDefault="00820946" w:rsidP="00820946">
      <w:pPr>
        <w:pStyle w:val="Nadpis2"/>
        <w:numPr>
          <w:ilvl w:val="1"/>
          <w:numId w:val="13"/>
        </w:numPr>
        <w:tabs>
          <w:tab w:val="num" w:pos="425"/>
        </w:tabs>
        <w:ind w:left="425" w:hanging="425"/>
        <w:rPr>
          <w:rFonts w:cs="Arial"/>
          <w:sz w:val="16"/>
          <w:szCs w:val="16"/>
        </w:rPr>
      </w:pPr>
      <w:r w:rsidRPr="00820946">
        <w:rPr>
          <w:sz w:val="16"/>
          <w:szCs w:val="18"/>
        </w:rPr>
        <w:t>Strany souhlasí s tím, že Banka je oprávněna provádět záznam telefonního hovoru, ve kterém Klient či osoba jím pověřená vyplňuje Dotazník investora, případně si Klient či osoba jím pověřená a Banka sdělují jiné skutečnosti související se Smlouvou. Klient souhlasí s tím, že tento záznam může sloužit jako důkaz u soudu nebo orgánu dohledu o vyplnění konkrétního Dotazníku investora či obsahu konverzace mezi Klientem či osobou jím pověřenou a Bankou související se Smlouvou.</w:t>
      </w:r>
    </w:p>
    <w:p w14:paraId="0FC94D0C" w14:textId="77777777" w:rsidR="00820946" w:rsidRPr="00820946" w:rsidRDefault="00820946" w:rsidP="00820946">
      <w:pPr>
        <w:pStyle w:val="Nadpis2"/>
        <w:numPr>
          <w:ilvl w:val="1"/>
          <w:numId w:val="13"/>
        </w:numPr>
        <w:tabs>
          <w:tab w:val="num" w:pos="425"/>
        </w:tabs>
        <w:ind w:left="425" w:hanging="425"/>
        <w:rPr>
          <w:rFonts w:cs="Arial"/>
          <w:sz w:val="16"/>
          <w:szCs w:val="16"/>
        </w:rPr>
      </w:pPr>
      <w:r w:rsidRPr="00820946">
        <w:rPr>
          <w:sz w:val="16"/>
          <w:szCs w:val="16"/>
        </w:rPr>
        <w:t>Banka a Klient berou na vědomí a souhlasí s tím, že v případě nesrovnalostí údajů a/nebo odpovědí sdělených při vyplňování Dotazníku investora prostřednictvím telefonu a údajů a/nebo odpovědí potvrzených Klientem prostřednictvím Elektronického podpisu vytvořeného na základě metody KB Klíč mají přednost údaje a/nebo odpovědi potvrzené Klientem prostřednictvím Elektronického podpisu vytvořeného na základě metody KB Klíč.</w:t>
      </w:r>
    </w:p>
    <w:p w14:paraId="389D7CF5" w14:textId="32D0203A"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 xml:space="preserve">Výsledek </w:t>
      </w:r>
      <w:r w:rsidRPr="00E02C60">
        <w:rPr>
          <w:rFonts w:cs="Arial"/>
          <w:b/>
          <w:sz w:val="16"/>
          <w:szCs w:val="16"/>
        </w:rPr>
        <w:t>Dotazníku investora</w:t>
      </w:r>
      <w:r w:rsidRPr="00E02C60">
        <w:rPr>
          <w:rFonts w:cs="Arial"/>
          <w:sz w:val="16"/>
          <w:szCs w:val="16"/>
        </w:rPr>
        <w:t xml:space="preserve"> dle článku </w:t>
      </w:r>
      <w:r w:rsidRPr="00E02C60">
        <w:rPr>
          <w:rFonts w:cs="Arial"/>
          <w:sz w:val="16"/>
          <w:szCs w:val="16"/>
        </w:rPr>
        <w:fldChar w:fldCharType="begin"/>
      </w:r>
      <w:r w:rsidRPr="00E02C60">
        <w:rPr>
          <w:rFonts w:cs="Arial"/>
          <w:sz w:val="16"/>
          <w:szCs w:val="16"/>
        </w:rPr>
        <w:instrText xml:space="preserve"> REF _Ref401044517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1.4</w:t>
      </w:r>
      <w:r w:rsidRPr="00E02C60">
        <w:rPr>
          <w:rFonts w:cs="Arial"/>
          <w:sz w:val="16"/>
          <w:szCs w:val="16"/>
        </w:rPr>
        <w:fldChar w:fldCharType="end"/>
      </w:r>
      <w:r w:rsidRPr="00E02C60">
        <w:rPr>
          <w:rFonts w:cs="Arial"/>
          <w:sz w:val="16"/>
          <w:szCs w:val="16"/>
        </w:rPr>
        <w:t xml:space="preserve"> se mění vyplněním nového Dotazníku investora Klientem a následným předáním poučení souvisejících s tímto výsledkem Klientovi.</w:t>
      </w:r>
    </w:p>
    <w:p w14:paraId="0CCF944E"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Banka může </w:t>
      </w:r>
      <w:r w:rsidRPr="00E02C60">
        <w:rPr>
          <w:rFonts w:cs="Arial"/>
          <w:b/>
          <w:sz w:val="16"/>
          <w:szCs w:val="16"/>
        </w:rPr>
        <w:t xml:space="preserve">rozsah Služeb </w:t>
      </w:r>
      <w:r w:rsidRPr="00E02C60">
        <w:rPr>
          <w:rFonts w:cs="Arial"/>
          <w:sz w:val="16"/>
          <w:szCs w:val="16"/>
        </w:rPr>
        <w:t>poskytovaných podle Smlouvy průběžně měnit, a to způsobem uvedeným ve Všeobecných podmínkách.</w:t>
      </w:r>
    </w:p>
    <w:p w14:paraId="12792AE3"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Banka poskytuje Služby ve smyslu relevantních ustanovení </w:t>
      </w:r>
      <w:r w:rsidRPr="00E02C60">
        <w:rPr>
          <w:rFonts w:cs="Arial"/>
          <w:b/>
          <w:sz w:val="16"/>
          <w:szCs w:val="16"/>
        </w:rPr>
        <w:t>ZPKT</w:t>
      </w:r>
      <w:r w:rsidRPr="00E02C60">
        <w:rPr>
          <w:rFonts w:cs="Arial"/>
          <w:sz w:val="16"/>
          <w:szCs w:val="16"/>
        </w:rPr>
        <w:t xml:space="preserve"> s výjimkou Služeb, které nejsou investičními službami dle ZPKT či Nástrojů, které nejsou investičními nástroji dle ZPKT. Investiční poradenství poskytuje Banka pouze klientům, kteří za účelem poskytování investičního poradenství odpověděli na všechny otázky v testu vhodnosti a Banka odpovědi vyhodnotila jako odpovídající znalostem, zkušenostem, investičním cílům a finančnímu zázemí Klienta.</w:t>
      </w:r>
    </w:p>
    <w:p w14:paraId="4D6F02EE" w14:textId="0EEFFC32"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Pojmy</w:t>
      </w:r>
      <w:r w:rsidRPr="00E02C60">
        <w:rPr>
          <w:rFonts w:cs="Arial"/>
          <w:sz w:val="16"/>
          <w:szCs w:val="16"/>
        </w:rPr>
        <w:t xml:space="preserve"> s velkým počátečním písmenem jsou v těchto Podmínkách užívány ve významu uvedeném v článku </w:t>
      </w:r>
      <w:r w:rsidRPr="00E02C60">
        <w:rPr>
          <w:rFonts w:cs="Arial"/>
          <w:sz w:val="16"/>
          <w:szCs w:val="16"/>
        </w:rPr>
        <w:fldChar w:fldCharType="begin"/>
      </w:r>
      <w:r w:rsidRPr="00E02C60">
        <w:rPr>
          <w:rFonts w:cs="Arial"/>
          <w:sz w:val="16"/>
          <w:szCs w:val="16"/>
        </w:rPr>
        <w:instrText xml:space="preserve"> REF _Ref412647717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9</w:t>
      </w:r>
      <w:r w:rsidRPr="00E02C60">
        <w:rPr>
          <w:rFonts w:cs="Arial"/>
          <w:sz w:val="16"/>
          <w:szCs w:val="16"/>
        </w:rPr>
        <w:fldChar w:fldCharType="end"/>
      </w:r>
      <w:r w:rsidRPr="00E02C60">
        <w:rPr>
          <w:rFonts w:cs="Arial"/>
          <w:sz w:val="16"/>
          <w:szCs w:val="16"/>
        </w:rPr>
        <w:t>.</w:t>
      </w:r>
    </w:p>
    <w:p w14:paraId="36D054B4"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76" w:name="_Ref156126891"/>
      <w:bookmarkStart w:id="77" w:name="_Ref178427214"/>
      <w:r w:rsidRPr="00E02C60">
        <w:rPr>
          <w:rFonts w:cs="Arial"/>
          <w:sz w:val="16"/>
          <w:szCs w:val="16"/>
        </w:rPr>
        <w:t>Klient platí Bance za obstarání koupě nebo prodeje Nástrojů a za další služby poskytované Klientovi podle Smlouvy odměnu, která se skládá z poplatků Banky uvedených v Sazebníku</w:t>
      </w:r>
      <w:bookmarkEnd w:id="76"/>
      <w:r w:rsidRPr="00E02C60">
        <w:rPr>
          <w:rFonts w:cs="Arial"/>
          <w:sz w:val="16"/>
          <w:szCs w:val="16"/>
        </w:rPr>
        <w:t>.</w:t>
      </w:r>
      <w:bookmarkEnd w:id="77"/>
    </w:p>
    <w:p w14:paraId="714E5AF9"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78" w:name="_Ref178427255"/>
      <w:r w:rsidRPr="00E02C60">
        <w:rPr>
          <w:rFonts w:cs="Arial"/>
          <w:sz w:val="16"/>
          <w:szCs w:val="16"/>
        </w:rPr>
        <w:t>Klient nahradí na požádání Bance veškeré účelně vynaložené náklady, včetně všech poplatků třetích osob, které se podílí na poskytování Služeb Bankou dle Smlouvy, vzniklé v souvislosti s uzavřením, plněním, změnou, ukončením, nebo porušením Smlouvy a</w:t>
      </w:r>
      <w:r w:rsidR="00174F69">
        <w:rPr>
          <w:rFonts w:cs="Arial"/>
          <w:sz w:val="16"/>
          <w:szCs w:val="16"/>
          <w:lang w:val="cs-CZ"/>
        </w:rPr>
        <w:t> </w:t>
      </w:r>
      <w:r w:rsidRPr="00E02C60">
        <w:rPr>
          <w:rFonts w:cs="Arial"/>
          <w:sz w:val="16"/>
          <w:szCs w:val="16"/>
        </w:rPr>
        <w:t>veškerých smluv uzavřených na základě nebo v souvislosti se Smlouvou, jakož i veškeré náklady, které Banka vynaloží na ochranu nebo výkon jakéhokoli práva Banky podle Smlouvy a veškerých smluv uzavřených na základě nebo v souvislosti se Smlouvou. Náklady a</w:t>
      </w:r>
      <w:r w:rsidR="00174F69">
        <w:rPr>
          <w:rFonts w:cs="Arial"/>
          <w:sz w:val="16"/>
          <w:szCs w:val="16"/>
          <w:lang w:val="cs-CZ"/>
        </w:rPr>
        <w:t> </w:t>
      </w:r>
      <w:r w:rsidRPr="00E02C60">
        <w:rPr>
          <w:rFonts w:cs="Arial"/>
          <w:sz w:val="16"/>
          <w:szCs w:val="16"/>
        </w:rPr>
        <w:t>poplatky uvedené v první větě tohoto článku nebo jejich výše, které jsou spojeny s plněním předmětu Smlouvy, mohou být blíže popsány v Sazebníku.</w:t>
      </w:r>
      <w:bookmarkEnd w:id="78"/>
    </w:p>
    <w:p w14:paraId="6604FDA3"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79" w:name="_Ref87610875"/>
      <w:r w:rsidRPr="00E02C60">
        <w:rPr>
          <w:rFonts w:cs="Arial"/>
          <w:sz w:val="16"/>
          <w:szCs w:val="16"/>
        </w:rPr>
        <w:t>Odměna i Náklady jsou splatné v den Vypořádání obchodu, v den poskytnutí Služby nebo do pěti (5) Obchodních dnů od konce kalendářního měsíce bezprostředně následujícího kalendářní měsíc, ve kterém byla Služba poskytnuta.</w:t>
      </w:r>
      <w:bookmarkEnd w:id="79"/>
    </w:p>
    <w:p w14:paraId="688347BB"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Banka je v souvislosti s poskytováním investičních služeb oprávněna obdržet od třetích stran plnění, tzv. pobídky ve formě provizí. Tyto pobídky slouží ke zlepšení kvality služeb poskytovaných Bankou. </w:t>
      </w:r>
      <w:r w:rsidRPr="00E02C60" w:rsidDel="00FD506F">
        <w:rPr>
          <w:rFonts w:cs="Arial"/>
          <w:sz w:val="16"/>
          <w:szCs w:val="16"/>
        </w:rPr>
        <w:t xml:space="preserve">Přijímání takových pobídek není v rozporu s povinností Banky jednat v nejlepším zájmu Klienta. </w:t>
      </w:r>
      <w:r w:rsidRPr="00E02C60">
        <w:rPr>
          <w:rFonts w:cs="Arial"/>
          <w:sz w:val="16"/>
          <w:szCs w:val="16"/>
        </w:rPr>
        <w:t>Banka se zavazuje informovat Klienta o</w:t>
      </w:r>
      <w:r w:rsidR="00174F69">
        <w:rPr>
          <w:rFonts w:cs="Arial"/>
          <w:sz w:val="16"/>
          <w:szCs w:val="16"/>
          <w:lang w:val="cs-CZ"/>
        </w:rPr>
        <w:t> </w:t>
      </w:r>
      <w:r w:rsidRPr="00E02C60">
        <w:rPr>
          <w:rFonts w:cs="Arial"/>
          <w:sz w:val="16"/>
          <w:szCs w:val="16"/>
        </w:rPr>
        <w:t>přijatých nebo poskytnutých pobídkách v souladu s</w:t>
      </w:r>
      <w:r w:rsidR="00174F69">
        <w:rPr>
          <w:rFonts w:cs="Arial"/>
          <w:sz w:val="16"/>
          <w:szCs w:val="16"/>
          <w:lang w:val="cs-CZ"/>
        </w:rPr>
        <w:t> </w:t>
      </w:r>
      <w:r w:rsidRPr="00E02C60">
        <w:rPr>
          <w:rFonts w:cs="Arial"/>
          <w:sz w:val="16"/>
          <w:szCs w:val="16"/>
        </w:rPr>
        <w:t>právními předpisy. Banka nepřijímá pobídky v souvislosti se směrováním nebo zadáním Pokynu Klienta, která by mohla vést k porušení pravidel pro provádění Pokynů.</w:t>
      </w:r>
    </w:p>
    <w:p w14:paraId="0F63B1E5"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Ustanovení § 1401, § 1415 odst. 1 a § 1432 až 1437 občanského zákoníku</w:t>
      </w:r>
      <w:r w:rsidRPr="00E02C60">
        <w:rPr>
          <w:rStyle w:val="Znakapoznpodarou"/>
          <w:rFonts w:cs="Arial"/>
          <w:sz w:val="16"/>
          <w:szCs w:val="16"/>
        </w:rPr>
        <w:footnoteReference w:id="2"/>
      </w:r>
      <w:r w:rsidRPr="00E02C60">
        <w:rPr>
          <w:rFonts w:cs="Arial"/>
          <w:sz w:val="16"/>
          <w:szCs w:val="16"/>
        </w:rPr>
        <w:t xml:space="preserve"> </w:t>
      </w:r>
      <w:r w:rsidRPr="00E02C60">
        <w:rPr>
          <w:rFonts w:cs="Arial"/>
          <w:bCs/>
          <w:sz w:val="16"/>
          <w:szCs w:val="16"/>
        </w:rPr>
        <w:t>či jiná ustanovení, která je v</w:t>
      </w:r>
      <w:r w:rsidR="00174F69">
        <w:rPr>
          <w:rFonts w:cs="Arial"/>
          <w:bCs/>
          <w:sz w:val="16"/>
          <w:szCs w:val="16"/>
          <w:lang w:val="cs-CZ"/>
        </w:rPr>
        <w:t> </w:t>
      </w:r>
      <w:r w:rsidRPr="00E02C60">
        <w:rPr>
          <w:rFonts w:cs="Arial"/>
          <w:bCs/>
          <w:sz w:val="16"/>
          <w:szCs w:val="16"/>
        </w:rPr>
        <w:t xml:space="preserve">budoucnu nahradí, </w:t>
      </w:r>
      <w:r w:rsidRPr="00E02C60">
        <w:rPr>
          <w:rFonts w:cs="Arial"/>
          <w:sz w:val="16"/>
          <w:szCs w:val="16"/>
        </w:rPr>
        <w:t>se pro účely Smlouvy nepoužijí.</w:t>
      </w:r>
    </w:p>
    <w:p w14:paraId="7EAC5350"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80" w:name="_Ref405818790"/>
      <w:r w:rsidRPr="00E02C60">
        <w:rPr>
          <w:rFonts w:cs="Arial"/>
          <w:b/>
          <w:sz w:val="16"/>
          <w:szCs w:val="16"/>
        </w:rPr>
        <w:t xml:space="preserve">Doručování. </w:t>
      </w:r>
      <w:r w:rsidRPr="00E02C60">
        <w:rPr>
          <w:rFonts w:cs="Arial"/>
          <w:sz w:val="16"/>
          <w:szCs w:val="16"/>
        </w:rPr>
        <w:t>Elektronickému klientovi může Banka doručovat veškeré písemnosti a informace v souvislosti se Smlouvou e-mailem.</w:t>
      </w:r>
      <w:bookmarkEnd w:id="80"/>
    </w:p>
    <w:p w14:paraId="34051BF3" w14:textId="3507BB87" w:rsidR="00E02C60" w:rsidRPr="00E02C60" w:rsidRDefault="00E02C60" w:rsidP="006D6C7C">
      <w:pPr>
        <w:pStyle w:val="Nadpis2"/>
        <w:numPr>
          <w:ilvl w:val="1"/>
          <w:numId w:val="13"/>
        </w:numPr>
        <w:tabs>
          <w:tab w:val="num" w:pos="425"/>
        </w:tabs>
        <w:overflowPunct/>
        <w:ind w:left="426" w:hanging="426"/>
        <w:textAlignment w:val="auto"/>
        <w:rPr>
          <w:rFonts w:cs="Arial"/>
          <w:sz w:val="16"/>
          <w:szCs w:val="16"/>
        </w:rPr>
      </w:pPr>
      <w:bookmarkStart w:id="81" w:name="_Ref405285674"/>
      <w:r w:rsidRPr="00E02C60">
        <w:rPr>
          <w:rFonts w:cs="Arial"/>
          <w:sz w:val="16"/>
          <w:szCs w:val="16"/>
        </w:rPr>
        <w:t xml:space="preserve">Klientovi, který má sjednané internetové či jiné přímé bankovnictví Banky (včetně Online Portfolia, datové a jiné schránky v aplikaci Moje Banka nebo obdobné aplikaci), může Banka v případě, kdy nebude doručovat prostřednictvím emailu podle </w:t>
      </w:r>
      <w:r w:rsidRPr="00E02C60">
        <w:rPr>
          <w:rFonts w:cs="Arial"/>
          <w:sz w:val="16"/>
          <w:szCs w:val="16"/>
        </w:rPr>
        <w:fldChar w:fldCharType="begin"/>
      </w:r>
      <w:r w:rsidRPr="00E02C60">
        <w:rPr>
          <w:rFonts w:cs="Arial"/>
          <w:sz w:val="16"/>
          <w:szCs w:val="16"/>
        </w:rPr>
        <w:instrText xml:space="preserve"> REF _Ref405818790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1.17</w:t>
      </w:r>
      <w:r w:rsidRPr="00E02C60">
        <w:rPr>
          <w:rFonts w:cs="Arial"/>
          <w:sz w:val="16"/>
          <w:szCs w:val="16"/>
        </w:rPr>
        <w:fldChar w:fldCharType="end"/>
      </w:r>
      <w:r w:rsidRPr="00E02C60">
        <w:rPr>
          <w:rFonts w:cs="Arial"/>
          <w:sz w:val="16"/>
          <w:szCs w:val="16"/>
        </w:rPr>
        <w:t xml:space="preserve">, doručovat veškeré písemnosti a informace v souvislosti se Smlouvou (včetně </w:t>
      </w:r>
      <w:r w:rsidRPr="00E02C60">
        <w:rPr>
          <w:rFonts w:cs="Arial"/>
          <w:sz w:val="16"/>
          <w:szCs w:val="16"/>
        </w:rPr>
        <w:lastRenderedPageBreak/>
        <w:t xml:space="preserve">Reportů dle odst. </w:t>
      </w:r>
      <w:r w:rsidRPr="00E02C60">
        <w:rPr>
          <w:rFonts w:cs="Arial"/>
          <w:sz w:val="16"/>
          <w:szCs w:val="16"/>
        </w:rPr>
        <w:fldChar w:fldCharType="begin"/>
      </w:r>
      <w:r w:rsidRPr="00E02C60">
        <w:rPr>
          <w:rFonts w:cs="Arial"/>
          <w:sz w:val="16"/>
          <w:szCs w:val="16"/>
        </w:rPr>
        <w:instrText xml:space="preserve"> REF _Ref400959406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3.13</w:t>
      </w:r>
      <w:r w:rsidRPr="00E02C60">
        <w:rPr>
          <w:rFonts w:cs="Arial"/>
          <w:sz w:val="16"/>
          <w:szCs w:val="16"/>
        </w:rPr>
        <w:fldChar w:fldCharType="end"/>
      </w:r>
      <w:r w:rsidRPr="00E02C60">
        <w:rPr>
          <w:rFonts w:cs="Arial"/>
          <w:sz w:val="16"/>
          <w:szCs w:val="16"/>
        </w:rPr>
        <w:t>)</w:t>
      </w:r>
      <w:r w:rsidRPr="00E02C60">
        <w:rPr>
          <w:rFonts w:cs="Arial"/>
          <w:sz w:val="16"/>
          <w:szCs w:val="16"/>
          <w:lang w:eastAsia="cs-CZ"/>
        </w:rPr>
        <w:t xml:space="preserve"> prostřednictvím takového bankovnictví.</w:t>
      </w:r>
      <w:bookmarkEnd w:id="81"/>
    </w:p>
    <w:p w14:paraId="430E04BB" w14:textId="77777777" w:rsidR="00E02C60" w:rsidRPr="00E02C60" w:rsidRDefault="00E02C60" w:rsidP="006D6C7C">
      <w:pPr>
        <w:pStyle w:val="Nadpis2"/>
        <w:numPr>
          <w:ilvl w:val="1"/>
          <w:numId w:val="13"/>
        </w:numPr>
        <w:tabs>
          <w:tab w:val="num" w:pos="425"/>
        </w:tabs>
        <w:overflowPunct/>
        <w:ind w:left="426" w:hanging="426"/>
        <w:textAlignment w:val="auto"/>
        <w:rPr>
          <w:rFonts w:cs="Arial"/>
          <w:sz w:val="16"/>
          <w:szCs w:val="16"/>
        </w:rPr>
      </w:pPr>
      <w:r w:rsidRPr="00E02C60">
        <w:rPr>
          <w:rFonts w:cs="Arial"/>
          <w:sz w:val="16"/>
          <w:szCs w:val="16"/>
        </w:rPr>
        <w:t>Za účelem plnění povinností Banky v souvislosti se Smlouvou je Klient, který je právnickou osobou nebo fyzickou osobou podnikatelem jednajícím v souvislosti se svou podnikatelskou činností a který provádí obchody s nástroji obchodovatelnými na Převodním místě, povinen mít přidělené LEI (Legal Entity Identifier). Pokud nebude mít Klient LEI přidělené nebo nebude mít LEI platné a aktuální, je Banka oprávněna nepřijmout či neprovést obchodní pokyn a není povinna plnit své povinnosti na základě Smlouvy.</w:t>
      </w:r>
    </w:p>
    <w:p w14:paraId="0BD85068" w14:textId="77777777" w:rsidR="00E02C60" w:rsidRPr="00E02C60" w:rsidRDefault="00E02C60" w:rsidP="006D6C7C">
      <w:pPr>
        <w:pStyle w:val="Nadpis2"/>
        <w:numPr>
          <w:ilvl w:val="1"/>
          <w:numId w:val="13"/>
        </w:numPr>
        <w:tabs>
          <w:tab w:val="num" w:pos="425"/>
        </w:tabs>
        <w:overflowPunct/>
        <w:ind w:left="426" w:hanging="426"/>
        <w:textAlignment w:val="auto"/>
        <w:rPr>
          <w:rFonts w:cs="Arial"/>
          <w:b/>
          <w:bCs/>
          <w:sz w:val="16"/>
          <w:szCs w:val="16"/>
        </w:rPr>
      </w:pPr>
      <w:r w:rsidRPr="00E02C60">
        <w:rPr>
          <w:rFonts w:cs="Arial"/>
          <w:b/>
          <w:bCs/>
          <w:sz w:val="16"/>
          <w:szCs w:val="16"/>
        </w:rPr>
        <w:t>Podmínky používání Online Portfolia</w:t>
      </w:r>
      <w:r w:rsidRPr="00E02C60">
        <w:rPr>
          <w:rFonts w:cs="Arial"/>
          <w:sz w:val="16"/>
          <w:szCs w:val="16"/>
        </w:rPr>
        <w:t xml:space="preserve">. Používání Online Portfolia se řídí Podmínkami používání Online Portfolia dostupnými na internetové adrese: </w:t>
      </w:r>
      <w:hyperlink r:id="rId24" w:history="1">
        <w:r w:rsidRPr="00E02C60">
          <w:rPr>
            <w:rStyle w:val="Hypertextovodkaz"/>
            <w:rFonts w:cs="Arial"/>
            <w:sz w:val="16"/>
            <w:szCs w:val="16"/>
          </w:rPr>
          <w:t>http://trading.kb.cz/online_portfolio/podminky_pouzivani.pdf</w:t>
        </w:r>
      </w:hyperlink>
      <w:r w:rsidRPr="00E02C60">
        <w:rPr>
          <w:rFonts w:cs="Arial"/>
          <w:sz w:val="16"/>
          <w:szCs w:val="16"/>
        </w:rPr>
        <w:t xml:space="preserve"> nebo na jiné adrese, která tuto adresu nahradí, případně jinde na Internetové adrese. Pro používání Online Portfolia je třeba udělit souhlas s Podmínkami používání Online Portfolia při přihlášení do Online Portfolia. V případě nesouhlasu s Podmínkami používání Online Portfolia není možné Online Portfolio používat. </w:t>
      </w:r>
    </w:p>
    <w:p w14:paraId="04914A6D" w14:textId="5848FAFE" w:rsidR="00E02C60" w:rsidRPr="00C27A16" w:rsidRDefault="00C27A16" w:rsidP="006D6C7C">
      <w:pPr>
        <w:pStyle w:val="Nadpis2"/>
        <w:numPr>
          <w:ilvl w:val="1"/>
          <w:numId w:val="13"/>
        </w:numPr>
        <w:tabs>
          <w:tab w:val="num" w:pos="425"/>
        </w:tabs>
        <w:overflowPunct/>
        <w:ind w:left="426" w:hanging="426"/>
        <w:textAlignment w:val="auto"/>
        <w:rPr>
          <w:rFonts w:cs="Arial"/>
          <w:sz w:val="14"/>
          <w:szCs w:val="14"/>
        </w:rPr>
      </w:pPr>
      <w:r w:rsidRPr="00C27A16">
        <w:rPr>
          <w:sz w:val="16"/>
          <w:szCs w:val="18"/>
        </w:rPr>
        <w:t xml:space="preserve">V souladu se CSDR nabízí Banka svým zákazníkům volbu mezi souhrnným oddělením zákazníků a oddělením jednotlivých zákazníků. Bližší informace o těchto odděleních včetně informací o nákladech a rizicích spojených s oběma možnostmi poskytuje Banka na Internetové adrese (ke dni účinnosti těchto Podmínek je to konkrétně </w:t>
      </w:r>
      <w:hyperlink r:id="rId25" w:history="1">
        <w:r w:rsidRPr="00C27A16">
          <w:rPr>
            <w:rStyle w:val="Hypertextovodkaz"/>
            <w:sz w:val="16"/>
            <w:szCs w:val="18"/>
          </w:rPr>
          <w:t>https://www.kb.cz/cs/o-bance/regulace-investicniho-bankovnictvi/informace-k-csdr</w:t>
        </w:r>
      </w:hyperlink>
      <w:r w:rsidRPr="00C27A16">
        <w:rPr>
          <w:sz w:val="16"/>
          <w:szCs w:val="18"/>
        </w:rPr>
        <w:t>). Tyto informace Banka aktualizuje.</w:t>
      </w:r>
    </w:p>
    <w:p w14:paraId="54E0E441" w14:textId="77777777" w:rsidR="00E02C60" w:rsidRPr="00E02C60" w:rsidRDefault="00E02C60" w:rsidP="006D6C7C">
      <w:pPr>
        <w:pStyle w:val="Nadpis1"/>
        <w:numPr>
          <w:ilvl w:val="0"/>
          <w:numId w:val="13"/>
        </w:numPr>
        <w:tabs>
          <w:tab w:val="num" w:pos="425"/>
        </w:tabs>
        <w:ind w:left="431" w:hanging="431"/>
        <w:rPr>
          <w:rFonts w:cs="Arial"/>
          <w:sz w:val="16"/>
          <w:szCs w:val="16"/>
        </w:rPr>
      </w:pPr>
      <w:bookmarkStart w:id="82" w:name="_Ref395100625"/>
      <w:bookmarkStart w:id="83" w:name="_Ref222815996"/>
      <w:r w:rsidRPr="00E02C60">
        <w:rPr>
          <w:rFonts w:cs="Arial"/>
          <w:sz w:val="16"/>
          <w:szCs w:val="16"/>
        </w:rPr>
        <w:t>Informace o pravidlech pro provádění Pokynů</w:t>
      </w:r>
      <w:bookmarkEnd w:id="82"/>
    </w:p>
    <w:p w14:paraId="52A17558"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bookmarkStart w:id="84" w:name="_Ref185252741"/>
      <w:r w:rsidRPr="00E02C60">
        <w:rPr>
          <w:rFonts w:cs="Arial"/>
          <w:b/>
          <w:sz w:val="16"/>
          <w:szCs w:val="16"/>
        </w:rPr>
        <w:t>Obecná ustanovení</w:t>
      </w:r>
      <w:r w:rsidRPr="00E02C60">
        <w:rPr>
          <w:rFonts w:cs="Arial"/>
          <w:sz w:val="16"/>
          <w:szCs w:val="16"/>
        </w:rPr>
        <w:t>. Banka uspokojuje Pokyny svých klientů na příslušném Převodním místě za nejlepších možných podmínek, přičemž zejména zohledňuje:</w:t>
      </w:r>
    </w:p>
    <w:p w14:paraId="171F81BF" w14:textId="77777777" w:rsidR="00E02C60" w:rsidRPr="00E02C60" w:rsidRDefault="00E02C60" w:rsidP="006D6C7C">
      <w:pPr>
        <w:pStyle w:val="Nadpis3"/>
        <w:numPr>
          <w:ilvl w:val="0"/>
          <w:numId w:val="34"/>
        </w:numPr>
        <w:tabs>
          <w:tab w:val="left" w:pos="709"/>
        </w:tabs>
        <w:spacing w:after="60"/>
        <w:ind w:left="709" w:hanging="283"/>
        <w:rPr>
          <w:rFonts w:cs="Arial"/>
          <w:sz w:val="16"/>
          <w:szCs w:val="16"/>
        </w:rPr>
      </w:pPr>
      <w:r w:rsidRPr="00E02C60">
        <w:rPr>
          <w:rFonts w:cs="Arial"/>
          <w:sz w:val="16"/>
          <w:szCs w:val="16"/>
        </w:rPr>
        <w:t>cenu Nástrojů, kterou lze za daných tržních podmínek na příslušném Převodním místě dosáhnout;</w:t>
      </w:r>
    </w:p>
    <w:p w14:paraId="2EC12885" w14:textId="77777777" w:rsidR="00E02C60" w:rsidRPr="00E02C60" w:rsidRDefault="00E02C60" w:rsidP="006D6C7C">
      <w:pPr>
        <w:pStyle w:val="Nadpis3"/>
        <w:numPr>
          <w:ilvl w:val="0"/>
          <w:numId w:val="34"/>
        </w:numPr>
        <w:tabs>
          <w:tab w:val="left" w:pos="709"/>
        </w:tabs>
        <w:spacing w:after="60"/>
        <w:ind w:left="709" w:hanging="283"/>
        <w:rPr>
          <w:rFonts w:cs="Arial"/>
          <w:sz w:val="16"/>
          <w:szCs w:val="16"/>
        </w:rPr>
      </w:pPr>
      <w:r w:rsidRPr="00E02C60">
        <w:rPr>
          <w:rFonts w:cs="Arial"/>
          <w:sz w:val="16"/>
          <w:szCs w:val="16"/>
        </w:rPr>
        <w:t xml:space="preserve">Náklady;  </w:t>
      </w:r>
    </w:p>
    <w:p w14:paraId="433C4FA2" w14:textId="77777777" w:rsidR="00E02C60" w:rsidRPr="00E02C60" w:rsidRDefault="00E02C60" w:rsidP="006D6C7C">
      <w:pPr>
        <w:pStyle w:val="Nadpis3"/>
        <w:numPr>
          <w:ilvl w:val="0"/>
          <w:numId w:val="34"/>
        </w:numPr>
        <w:tabs>
          <w:tab w:val="left" w:pos="709"/>
        </w:tabs>
        <w:spacing w:after="60"/>
        <w:ind w:left="709" w:hanging="283"/>
        <w:rPr>
          <w:rFonts w:cs="Arial"/>
          <w:sz w:val="16"/>
          <w:szCs w:val="16"/>
        </w:rPr>
      </w:pPr>
      <w:r w:rsidRPr="00E02C60">
        <w:rPr>
          <w:rFonts w:cs="Arial"/>
          <w:sz w:val="16"/>
          <w:szCs w:val="16"/>
        </w:rPr>
        <w:t>rychlost, s jakou lze Pokyn provést po jeho přijetí;</w:t>
      </w:r>
    </w:p>
    <w:p w14:paraId="7BC7C11B" w14:textId="77777777" w:rsidR="00E02C60" w:rsidRPr="00E02C60" w:rsidRDefault="00E02C60" w:rsidP="006D6C7C">
      <w:pPr>
        <w:pStyle w:val="Nadpis3"/>
        <w:numPr>
          <w:ilvl w:val="0"/>
          <w:numId w:val="34"/>
        </w:numPr>
        <w:tabs>
          <w:tab w:val="left" w:pos="709"/>
        </w:tabs>
        <w:spacing w:after="60"/>
        <w:ind w:left="709" w:hanging="283"/>
        <w:rPr>
          <w:rFonts w:cs="Arial"/>
          <w:sz w:val="16"/>
          <w:szCs w:val="16"/>
        </w:rPr>
      </w:pPr>
      <w:r w:rsidRPr="00E02C60">
        <w:rPr>
          <w:rFonts w:cs="Arial"/>
          <w:sz w:val="16"/>
          <w:szCs w:val="16"/>
        </w:rPr>
        <w:t>pravděpodobnost provedení Pokynu, tj. pravděpodobnost, s jakou Banka bude schopna provést Pokyn v celém objemu. Na méně likvidních trzích může mít tento faktor rozhodující vliv;</w:t>
      </w:r>
    </w:p>
    <w:p w14:paraId="39481F0C" w14:textId="77777777" w:rsidR="00E02C60" w:rsidRPr="00E02C60" w:rsidRDefault="00E02C60" w:rsidP="006D6C7C">
      <w:pPr>
        <w:pStyle w:val="Nadpis3"/>
        <w:numPr>
          <w:ilvl w:val="0"/>
          <w:numId w:val="34"/>
        </w:numPr>
        <w:tabs>
          <w:tab w:val="left" w:pos="709"/>
        </w:tabs>
        <w:spacing w:after="60"/>
        <w:ind w:left="709" w:hanging="283"/>
        <w:rPr>
          <w:rFonts w:cs="Arial"/>
          <w:sz w:val="16"/>
          <w:szCs w:val="16"/>
        </w:rPr>
      </w:pPr>
      <w:r w:rsidRPr="00E02C60">
        <w:rPr>
          <w:rFonts w:cs="Arial"/>
          <w:sz w:val="16"/>
          <w:szCs w:val="16"/>
        </w:rPr>
        <w:t>objem požadovaného Obchodu, který může ovlivnit cenu a pravděpodobnost provedení Pokynu;</w:t>
      </w:r>
    </w:p>
    <w:p w14:paraId="1EDBDB1D" w14:textId="77777777" w:rsidR="00E02C60" w:rsidRPr="00E02C60" w:rsidRDefault="00E02C60" w:rsidP="006D6C7C">
      <w:pPr>
        <w:pStyle w:val="Nadpis3"/>
        <w:numPr>
          <w:ilvl w:val="0"/>
          <w:numId w:val="34"/>
        </w:numPr>
        <w:tabs>
          <w:tab w:val="left" w:pos="709"/>
        </w:tabs>
        <w:spacing w:after="60"/>
        <w:ind w:left="709" w:hanging="283"/>
        <w:rPr>
          <w:rFonts w:cs="Arial"/>
          <w:sz w:val="16"/>
          <w:szCs w:val="16"/>
        </w:rPr>
      </w:pPr>
      <w:r w:rsidRPr="00E02C60">
        <w:rPr>
          <w:rFonts w:cs="Arial"/>
          <w:sz w:val="16"/>
          <w:szCs w:val="16"/>
        </w:rPr>
        <w:t xml:space="preserve">podmínky a způsob Vypořádání obchodu, </w:t>
      </w:r>
    </w:p>
    <w:p w14:paraId="7371B382" w14:textId="77777777" w:rsidR="00E02C60" w:rsidRPr="00E02C60" w:rsidRDefault="00E02C60" w:rsidP="006D6C7C">
      <w:pPr>
        <w:pStyle w:val="Nadpis3"/>
        <w:numPr>
          <w:ilvl w:val="0"/>
          <w:numId w:val="34"/>
        </w:numPr>
        <w:tabs>
          <w:tab w:val="left" w:pos="709"/>
        </w:tabs>
        <w:spacing w:after="60"/>
        <w:ind w:left="709" w:hanging="283"/>
        <w:rPr>
          <w:rFonts w:cs="Arial"/>
          <w:sz w:val="16"/>
          <w:szCs w:val="16"/>
        </w:rPr>
      </w:pPr>
      <w:r w:rsidRPr="00E02C60">
        <w:rPr>
          <w:rFonts w:cs="Arial"/>
          <w:sz w:val="16"/>
          <w:szCs w:val="16"/>
        </w:rPr>
        <w:t xml:space="preserve">typ Pokynu, který může ovlivnit schopnost Banky dodržet pravidla pro provádění pokynů v plné míře (např. místo pro provedení Pokynu vybrané Klientem nepřijímá Klientem definovaný typ Pokynu); </w:t>
      </w:r>
    </w:p>
    <w:p w14:paraId="6C008978" w14:textId="77777777" w:rsidR="00E02C60" w:rsidRPr="00E02C60" w:rsidRDefault="00E02C60" w:rsidP="006D6C7C">
      <w:pPr>
        <w:pStyle w:val="Nadpis3"/>
        <w:numPr>
          <w:ilvl w:val="0"/>
          <w:numId w:val="34"/>
        </w:numPr>
        <w:tabs>
          <w:tab w:val="left" w:pos="709"/>
        </w:tabs>
        <w:ind w:left="709" w:hanging="283"/>
        <w:rPr>
          <w:rFonts w:cs="Arial"/>
          <w:sz w:val="16"/>
          <w:szCs w:val="16"/>
        </w:rPr>
      </w:pPr>
      <w:r w:rsidRPr="00E02C60">
        <w:rPr>
          <w:rFonts w:cs="Arial"/>
          <w:sz w:val="16"/>
          <w:szCs w:val="16"/>
        </w:rPr>
        <w:t>další faktory významné pro uspokojení pokynů za nejlepších podmínek.</w:t>
      </w:r>
    </w:p>
    <w:p w14:paraId="6BA6BB8C"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r w:rsidRPr="00E02C60">
        <w:rPr>
          <w:rFonts w:cs="Arial"/>
          <w:sz w:val="16"/>
          <w:szCs w:val="16"/>
        </w:rPr>
        <w:t xml:space="preserve">Pro stanovení relativní důležitosti faktorů uvedených v bodě 2.1 zohledňuje Banka následující kritéria: </w:t>
      </w:r>
    </w:p>
    <w:p w14:paraId="7675ECE8" w14:textId="77777777" w:rsidR="00E02C60" w:rsidRPr="00E02C60" w:rsidRDefault="00E02C60" w:rsidP="006D6C7C">
      <w:pPr>
        <w:pStyle w:val="Odstavecseseznamem"/>
        <w:numPr>
          <w:ilvl w:val="0"/>
          <w:numId w:val="35"/>
        </w:numPr>
        <w:tabs>
          <w:tab w:val="left" w:pos="709"/>
        </w:tabs>
        <w:spacing w:after="60"/>
        <w:ind w:left="709" w:hanging="283"/>
        <w:contextualSpacing w:val="0"/>
        <w:rPr>
          <w:sz w:val="16"/>
          <w:szCs w:val="16"/>
        </w:rPr>
      </w:pPr>
      <w:r w:rsidRPr="00E02C60">
        <w:rPr>
          <w:sz w:val="16"/>
          <w:szCs w:val="16"/>
        </w:rPr>
        <w:t>charakteristiku zákazníka včetně jeho kategorizace, tj. zda jde o neprofesionálního, nebo profesionálního zákazníka;</w:t>
      </w:r>
    </w:p>
    <w:p w14:paraId="250E74A6" w14:textId="77777777" w:rsidR="00E02C60" w:rsidRPr="00E02C60" w:rsidRDefault="00E02C60" w:rsidP="006D6C7C">
      <w:pPr>
        <w:pStyle w:val="Odstavecseseznamem"/>
        <w:numPr>
          <w:ilvl w:val="0"/>
          <w:numId w:val="35"/>
        </w:numPr>
        <w:tabs>
          <w:tab w:val="left" w:pos="709"/>
        </w:tabs>
        <w:spacing w:after="60"/>
        <w:ind w:left="709" w:hanging="283"/>
        <w:contextualSpacing w:val="0"/>
        <w:rPr>
          <w:sz w:val="16"/>
          <w:szCs w:val="16"/>
        </w:rPr>
      </w:pPr>
      <w:r w:rsidRPr="00E02C60">
        <w:rPr>
          <w:sz w:val="16"/>
          <w:szCs w:val="16"/>
        </w:rPr>
        <w:t>charakteristiku Pokynu zákazníka včetně údaje, zda je Pokyn spojen s obchodem zajišťujícím financování (SFT);</w:t>
      </w:r>
    </w:p>
    <w:p w14:paraId="369DBB3A" w14:textId="77777777" w:rsidR="00E02C60" w:rsidRPr="00E02C60" w:rsidRDefault="00E02C60" w:rsidP="006D6C7C">
      <w:pPr>
        <w:pStyle w:val="Odstavecseseznamem"/>
        <w:numPr>
          <w:ilvl w:val="0"/>
          <w:numId w:val="35"/>
        </w:numPr>
        <w:tabs>
          <w:tab w:val="left" w:pos="709"/>
        </w:tabs>
        <w:spacing w:after="60"/>
        <w:ind w:left="709" w:hanging="283"/>
        <w:contextualSpacing w:val="0"/>
        <w:rPr>
          <w:sz w:val="16"/>
          <w:szCs w:val="16"/>
        </w:rPr>
      </w:pPr>
      <w:r w:rsidRPr="00E02C60">
        <w:rPr>
          <w:sz w:val="16"/>
          <w:szCs w:val="16"/>
        </w:rPr>
        <w:t>charakteristické rysy Nástrojů, které jsou předmětem tohoto Pokynu;</w:t>
      </w:r>
    </w:p>
    <w:p w14:paraId="5C247F61" w14:textId="77777777" w:rsidR="00E02C60" w:rsidRPr="00E02C60" w:rsidRDefault="00E02C60" w:rsidP="006D6C7C">
      <w:pPr>
        <w:pStyle w:val="Odstavecseseznamem"/>
        <w:numPr>
          <w:ilvl w:val="0"/>
          <w:numId w:val="35"/>
        </w:numPr>
        <w:tabs>
          <w:tab w:val="left" w:pos="709"/>
        </w:tabs>
        <w:spacing w:after="120"/>
        <w:ind w:left="709" w:hanging="283"/>
        <w:rPr>
          <w:sz w:val="16"/>
          <w:szCs w:val="16"/>
        </w:rPr>
      </w:pPr>
      <w:r w:rsidRPr="00E02C60">
        <w:rPr>
          <w:sz w:val="16"/>
          <w:szCs w:val="16"/>
        </w:rPr>
        <w:t>charakteristiku Převodních míst, do nichž lze tento Pokyn nasměrovat.</w:t>
      </w:r>
    </w:p>
    <w:p w14:paraId="7F3787DF"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provádí pokyny Klienta ve vztahu k pokynům ostatních klientů podle časové priority jejich přijetí.</w:t>
      </w:r>
    </w:p>
    <w:p w14:paraId="10647BD6"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Zákazník, který není profesionální</w:t>
      </w:r>
      <w:r w:rsidRPr="00E02C60">
        <w:rPr>
          <w:rFonts w:cs="Arial"/>
          <w:sz w:val="16"/>
          <w:szCs w:val="16"/>
        </w:rPr>
        <w:t xml:space="preserve">. Při provádění pokynů za nejlepších možných podmínek zákazníků, kteří nejsou profesionální, jsou rozhodujícími kritérii především cena Nástroje a veškeré Náklady spojené s provedením a vypořádáním obchodu. Ostatní faktory jako rychlost, pravděpodobnost provedení a vypořádání, velikost a typ Pokynu apod. mají prioritu pouze v případě, že z celkového hlediska přinesou Klientovi nejlepší možný výsledek provedení Pokynu. </w:t>
      </w:r>
    </w:p>
    <w:p w14:paraId="79EF8419"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 xml:space="preserve">Profesionální zákazník. </w:t>
      </w:r>
      <w:r w:rsidRPr="00E02C60">
        <w:rPr>
          <w:rFonts w:cs="Arial"/>
          <w:sz w:val="16"/>
          <w:szCs w:val="16"/>
        </w:rPr>
        <w:t xml:space="preserve">Při provádění pokynů za nejlepších možných podmínek profesionálních zákazníků jsou zohledňována i další kritéria, přesto cena a Náklady jsou rozhodujícími parametry. Dalšími důležitými kritérii jsou rychlost a pravděpodobnost provedení Pokynu. Ostatní kritéria jsou posuzována v závislosti na typu Nástroje. </w:t>
      </w:r>
    </w:p>
    <w:p w14:paraId="74ABBE98" w14:textId="77777777" w:rsidR="00E02C60" w:rsidRPr="00E02C60" w:rsidRDefault="00E02C60" w:rsidP="006D6C7C">
      <w:pPr>
        <w:pStyle w:val="Nadpis2"/>
        <w:numPr>
          <w:ilvl w:val="1"/>
          <w:numId w:val="13"/>
        </w:numPr>
        <w:tabs>
          <w:tab w:val="num" w:pos="425"/>
        </w:tabs>
        <w:spacing w:after="60"/>
        <w:ind w:left="425" w:hanging="426"/>
        <w:rPr>
          <w:rFonts w:cs="Arial"/>
          <w:sz w:val="16"/>
          <w:szCs w:val="16"/>
        </w:rPr>
      </w:pPr>
      <w:r w:rsidRPr="00E02C60">
        <w:rPr>
          <w:rFonts w:cs="Arial"/>
          <w:b/>
          <w:sz w:val="16"/>
          <w:szCs w:val="16"/>
        </w:rPr>
        <w:t>Výběr Převodního místa.</w:t>
      </w:r>
      <w:r w:rsidRPr="00E02C60">
        <w:rPr>
          <w:rFonts w:cs="Arial"/>
          <w:sz w:val="16"/>
          <w:szCs w:val="16"/>
        </w:rPr>
        <w:t xml:space="preserve"> Banka uspokojuje pokyny svých klientů z pravidla na takových Převodních místech, kde je likvidita daného Nástroje, jehož se Pokyn týká, nejvyšší. Tato Převodní místa zpravidla splňují podmínku nejnižší ceny a Nákladů provedení Pokynu, zároveň vysoká likvidita zajišťuje uspokojení Pokynu Klienta v požadovaném objemu bez prodlení. V případě, kdy by likvidita Nástroje byla stejná na více místech, rozhoduje Banka o umístnění Pokynu na základě kritérií popsaných v předchozích bodech. </w:t>
      </w:r>
    </w:p>
    <w:p w14:paraId="7BBBD5CF" w14:textId="77777777" w:rsidR="00E02C60" w:rsidRPr="00E02C60" w:rsidRDefault="00E02C60" w:rsidP="00E02C60">
      <w:pPr>
        <w:pStyle w:val="Nadpis2"/>
        <w:numPr>
          <w:ilvl w:val="0"/>
          <w:numId w:val="0"/>
        </w:numPr>
        <w:spacing w:after="60"/>
        <w:ind w:left="425"/>
        <w:rPr>
          <w:rFonts w:cs="Arial"/>
          <w:sz w:val="16"/>
          <w:szCs w:val="16"/>
        </w:rPr>
      </w:pPr>
      <w:r w:rsidRPr="00E02C60">
        <w:rPr>
          <w:rFonts w:cs="Arial"/>
          <w:sz w:val="16"/>
          <w:szCs w:val="16"/>
        </w:rPr>
        <w:t xml:space="preserve">Jestliže je likvidita Nástroje nedostatečná a Klientův Pokyn by za stávajících tržních podmínek nebyl uspokojen, Banka nakoupí Nástroj na vlastní účet a následně jej převede na účet Klienta. Banka se rozhoduje o Převodním místě na základě ceny konkrétního Nástroje. Banka je tímto postupem u nelikvidních Nástrojů schopna dosáhnout lepší ceny pro Klienta a uspokojit jeho Pokyn v plném rozsahu bez zbytečného prodlení. Za tento způsob provádění Pokynu nehradí Klient žádné dodatečné poplatky nad rámec poplatků stanovených v Sazebníku. </w:t>
      </w:r>
    </w:p>
    <w:p w14:paraId="70066B7E" w14:textId="77777777" w:rsidR="00E02C60" w:rsidRPr="00E02C60" w:rsidRDefault="00E02C60" w:rsidP="00E02C60">
      <w:pPr>
        <w:pStyle w:val="Nadpis2"/>
        <w:numPr>
          <w:ilvl w:val="0"/>
          <w:numId w:val="0"/>
        </w:numPr>
        <w:spacing w:after="60"/>
        <w:ind w:left="425"/>
        <w:rPr>
          <w:rFonts w:cs="Arial"/>
          <w:sz w:val="16"/>
          <w:szCs w:val="16"/>
        </w:rPr>
      </w:pPr>
      <w:r w:rsidRPr="00E02C60">
        <w:rPr>
          <w:rFonts w:cs="Arial"/>
          <w:sz w:val="16"/>
          <w:szCs w:val="16"/>
        </w:rPr>
        <w:t>Klient souhlasí s tím, že Banka je oprávněna, za účelem provedení Pokynu podle podmínek příslušného Převodního místa, provést pro Klienta nákup Nástroje i na svůj účet a následně jej převést na účet Klienta nebo na jiný účet podle instrukce Klienta.</w:t>
      </w:r>
    </w:p>
    <w:p w14:paraId="4156C65F" w14:textId="77777777" w:rsidR="00E02C60" w:rsidRPr="00E02C60" w:rsidRDefault="00E02C60" w:rsidP="00E02C60">
      <w:pPr>
        <w:spacing w:after="120"/>
        <w:ind w:left="425"/>
        <w:rPr>
          <w:rFonts w:cs="Arial"/>
          <w:sz w:val="16"/>
          <w:szCs w:val="16"/>
        </w:rPr>
      </w:pPr>
      <w:r w:rsidRPr="00E02C60">
        <w:rPr>
          <w:rFonts w:cs="Arial"/>
          <w:sz w:val="16"/>
          <w:szCs w:val="16"/>
        </w:rPr>
        <w:t xml:space="preserve">Výčet Převodních míst je dostupný na www.kb.cz/mifid2. </w:t>
      </w:r>
    </w:p>
    <w:p w14:paraId="3904FF42"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 xml:space="preserve">Výslovný příkaz klienta. </w:t>
      </w:r>
      <w:r w:rsidRPr="00E02C60">
        <w:rPr>
          <w:rFonts w:cs="Arial"/>
          <w:sz w:val="16"/>
          <w:szCs w:val="16"/>
        </w:rPr>
        <w:t>Banka bude při provádění pokynů postupovat v souladu s příkazy Klienta. Banka upozorňuje Klienta, že výslovný příkaz Klienta týkající se provedení Pokynu (např. stanovení limitní ceny, určení Převodního místa, na němž má být Pokyn proveden, stanovení typu Pokynu apod.) může Bance zabránit v provedení Pokynu v souladu s těmito pravidly.</w:t>
      </w:r>
      <w:bookmarkEnd w:id="84"/>
      <w:r w:rsidRPr="00E02C60">
        <w:rPr>
          <w:rFonts w:cs="Arial"/>
          <w:sz w:val="16"/>
          <w:szCs w:val="16"/>
        </w:rPr>
        <w:t xml:space="preserve"> Klient, který podává Bance upřesňující příkaz týkající se provedení Pokynu, si je vědom tohoto rizika a Banka jej nebude znovu upozorňovat pokaždé, kdy Klient bance upřesňující příkaz sdělí. Banka provede Pokyn Klienta v souladu s těmito pravidly s ohledem na kritéria, která Klient svým příkazem neupřesní.</w:t>
      </w:r>
    </w:p>
    <w:p w14:paraId="0FC14B2A"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Vzhledem ke komplexnosti a proměnlivosti finančních trhů nemůže Banka zajistit nejlepší možný výsledek pro každý jednotlivý Pokyn. Cílem těchto pravidel pro provádění pokynů je dosahovat trvale vysokého podílu pokynů provedených s nejlepším možným výsledkem. </w:t>
      </w:r>
    </w:p>
    <w:p w14:paraId="056D48FA"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r w:rsidRPr="00E02C60">
        <w:rPr>
          <w:rFonts w:cs="Arial"/>
          <w:sz w:val="16"/>
          <w:szCs w:val="16"/>
        </w:rPr>
        <w:lastRenderedPageBreak/>
        <w:t xml:space="preserve">Pravidla provádění pokynů a jejich efektivitu Banka přezkoumává minimálně jednou ročně a také po každé významné změně situace na finančních trzích nebo změně jiného faktoru, schopného ovlivnit dosažení nejlepšího možného výsledku pro Klienta. Banka jednou ročně uveřejní </w:t>
      </w:r>
    </w:p>
    <w:p w14:paraId="4C955392" w14:textId="77777777" w:rsidR="00E02C60" w:rsidRPr="00E02C60" w:rsidRDefault="00E02C60" w:rsidP="006D6C7C">
      <w:pPr>
        <w:pStyle w:val="Nadpis2"/>
        <w:numPr>
          <w:ilvl w:val="0"/>
          <w:numId w:val="36"/>
        </w:numPr>
        <w:tabs>
          <w:tab w:val="left" w:pos="709"/>
        </w:tabs>
        <w:spacing w:after="60"/>
        <w:ind w:left="709" w:hanging="283"/>
        <w:rPr>
          <w:rFonts w:cs="Arial"/>
          <w:sz w:val="16"/>
          <w:szCs w:val="16"/>
        </w:rPr>
      </w:pPr>
      <w:r w:rsidRPr="00E02C60">
        <w:rPr>
          <w:rFonts w:cs="Arial"/>
          <w:sz w:val="16"/>
          <w:szCs w:val="16"/>
        </w:rPr>
        <w:t>5 Převodních míst, na kterých prováděla pokyny klientů v posledním kalendářním roce, a které jsou pro ni nejdůležitější z hlediska objemů provedených obchodů, a</w:t>
      </w:r>
    </w:p>
    <w:p w14:paraId="17B3DD16" w14:textId="77777777" w:rsidR="00E02C60" w:rsidRPr="00E02C60" w:rsidRDefault="00E02C60" w:rsidP="006D6C7C">
      <w:pPr>
        <w:pStyle w:val="Nadpis2"/>
        <w:numPr>
          <w:ilvl w:val="0"/>
          <w:numId w:val="36"/>
        </w:numPr>
        <w:tabs>
          <w:tab w:val="left" w:pos="709"/>
        </w:tabs>
        <w:spacing w:after="60"/>
        <w:ind w:left="709" w:hanging="283"/>
        <w:rPr>
          <w:rFonts w:cs="Arial"/>
          <w:sz w:val="16"/>
          <w:szCs w:val="16"/>
        </w:rPr>
      </w:pPr>
      <w:r w:rsidRPr="00E02C60">
        <w:rPr>
          <w:rFonts w:cs="Arial"/>
          <w:sz w:val="16"/>
          <w:szCs w:val="16"/>
        </w:rPr>
        <w:t>shrnutí a závěry analýzy vyplývající ze sledování kvality provádění obchodů s Nástroji na Převodních místech, na kterých prováděla pokyny zákazníků v posledním kalendářním roce.</w:t>
      </w:r>
    </w:p>
    <w:p w14:paraId="6A354EAF" w14:textId="77777777" w:rsidR="00E02C60" w:rsidRPr="00E02C60" w:rsidRDefault="00E02C60" w:rsidP="00E02C60">
      <w:pPr>
        <w:spacing w:after="120"/>
        <w:ind w:left="425"/>
        <w:rPr>
          <w:rFonts w:cs="Arial"/>
          <w:sz w:val="16"/>
          <w:szCs w:val="16"/>
        </w:rPr>
      </w:pPr>
      <w:r w:rsidRPr="00E02C60">
        <w:rPr>
          <w:rFonts w:cs="Arial"/>
          <w:sz w:val="16"/>
          <w:szCs w:val="16"/>
        </w:rPr>
        <w:t xml:space="preserve">Tyto informace Banka uveřejní na webových stránkách Banky </w:t>
      </w:r>
      <w:hyperlink r:id="rId26" w:history="1">
        <w:r w:rsidRPr="00E02C60">
          <w:rPr>
            <w:rStyle w:val="Hypertextovodkaz"/>
            <w:rFonts w:cs="Arial"/>
            <w:sz w:val="16"/>
            <w:szCs w:val="16"/>
          </w:rPr>
          <w:t>www.kb.cz/mifid2</w:t>
        </w:r>
      </w:hyperlink>
      <w:r w:rsidRPr="00E02C60">
        <w:rPr>
          <w:rFonts w:cs="Arial"/>
          <w:sz w:val="16"/>
          <w:szCs w:val="16"/>
        </w:rPr>
        <w:t>.</w:t>
      </w:r>
    </w:p>
    <w:p w14:paraId="1A188A89" w14:textId="77777777" w:rsidR="00E02C60" w:rsidRPr="00E02C60" w:rsidRDefault="00E02C60" w:rsidP="006D6C7C">
      <w:pPr>
        <w:pStyle w:val="Nadpis2"/>
        <w:numPr>
          <w:ilvl w:val="1"/>
          <w:numId w:val="13"/>
        </w:numPr>
        <w:tabs>
          <w:tab w:val="num" w:pos="425"/>
        </w:tabs>
        <w:overflowPunct/>
        <w:spacing w:after="60"/>
        <w:ind w:left="426" w:hanging="426"/>
        <w:textAlignment w:val="auto"/>
        <w:rPr>
          <w:rFonts w:cs="Arial"/>
          <w:sz w:val="16"/>
          <w:szCs w:val="16"/>
        </w:rPr>
      </w:pPr>
      <w:r w:rsidRPr="00E02C60">
        <w:rPr>
          <w:rFonts w:cs="Arial"/>
          <w:b/>
          <w:sz w:val="16"/>
          <w:szCs w:val="16"/>
        </w:rPr>
        <w:t>Způsob podávání Pokynů</w:t>
      </w:r>
      <w:r w:rsidRPr="00E02C60">
        <w:rPr>
          <w:rFonts w:cs="Arial"/>
          <w:sz w:val="16"/>
          <w:szCs w:val="16"/>
        </w:rPr>
        <w:t>. Klient bude dávat Bance Pokyny:</w:t>
      </w:r>
    </w:p>
    <w:p w14:paraId="3A876005" w14:textId="77777777" w:rsidR="00E02C60" w:rsidRPr="00E02C60" w:rsidRDefault="00E02C60" w:rsidP="006D6C7C">
      <w:pPr>
        <w:numPr>
          <w:ilvl w:val="0"/>
          <w:numId w:val="25"/>
        </w:numPr>
        <w:tabs>
          <w:tab w:val="clear" w:pos="2932"/>
        </w:tabs>
        <w:spacing w:after="60"/>
        <w:ind w:left="709" w:hanging="283"/>
        <w:rPr>
          <w:rFonts w:cs="Arial"/>
          <w:sz w:val="16"/>
          <w:szCs w:val="16"/>
        </w:rPr>
      </w:pPr>
      <w:bookmarkStart w:id="85" w:name="_Hlk137825277"/>
      <w:r w:rsidRPr="00E02C60">
        <w:rPr>
          <w:rFonts w:cs="Arial"/>
          <w:b/>
          <w:sz w:val="16"/>
          <w:szCs w:val="16"/>
        </w:rPr>
        <w:t>ústně prostřednictvím telefonu</w:t>
      </w:r>
      <w:bookmarkEnd w:id="85"/>
      <w:r w:rsidRPr="00E02C60">
        <w:rPr>
          <w:rFonts w:cs="Arial"/>
          <w:sz w:val="16"/>
          <w:szCs w:val="16"/>
        </w:rPr>
        <w:t>, a to pokud takový Pokyn Banka akceptuje,</w:t>
      </w:r>
    </w:p>
    <w:p w14:paraId="767B66C5" w14:textId="77777777" w:rsidR="00E02C60" w:rsidRPr="00E02C60" w:rsidRDefault="00E02C60" w:rsidP="006D6C7C">
      <w:pPr>
        <w:numPr>
          <w:ilvl w:val="0"/>
          <w:numId w:val="25"/>
        </w:numPr>
        <w:tabs>
          <w:tab w:val="clear" w:pos="2932"/>
        </w:tabs>
        <w:spacing w:after="60"/>
        <w:ind w:left="709" w:hanging="283"/>
        <w:rPr>
          <w:rFonts w:cs="Arial"/>
          <w:sz w:val="16"/>
          <w:szCs w:val="16"/>
        </w:rPr>
      </w:pPr>
      <w:bookmarkStart w:id="86" w:name="_Ref405823910"/>
      <w:r w:rsidRPr="00E02C60">
        <w:rPr>
          <w:rFonts w:cs="Arial"/>
          <w:b/>
          <w:sz w:val="16"/>
          <w:szCs w:val="16"/>
        </w:rPr>
        <w:t>osobně, a to písemně</w:t>
      </w:r>
      <w:r w:rsidRPr="00E02C60">
        <w:rPr>
          <w:rFonts w:cs="Arial"/>
          <w:sz w:val="16"/>
          <w:szCs w:val="16"/>
        </w:rPr>
        <w:t xml:space="preserve"> na formuláři Banky v obchodním místě Banky, které to umožňuje,</w:t>
      </w:r>
      <w:bookmarkEnd w:id="86"/>
    </w:p>
    <w:p w14:paraId="7722944A" w14:textId="77777777" w:rsidR="00E02C60" w:rsidRPr="00E02C60" w:rsidRDefault="00E02C60" w:rsidP="006D6C7C">
      <w:pPr>
        <w:numPr>
          <w:ilvl w:val="0"/>
          <w:numId w:val="25"/>
        </w:numPr>
        <w:tabs>
          <w:tab w:val="clear" w:pos="2932"/>
        </w:tabs>
        <w:spacing w:after="60"/>
        <w:ind w:left="709" w:hanging="283"/>
        <w:rPr>
          <w:rStyle w:val="ARIEL9"/>
          <w:sz w:val="16"/>
          <w:szCs w:val="16"/>
        </w:rPr>
      </w:pPr>
      <w:r w:rsidRPr="00E02C60">
        <w:rPr>
          <w:rStyle w:val="ARIEL9"/>
          <w:b/>
          <w:sz w:val="16"/>
          <w:szCs w:val="16"/>
        </w:rPr>
        <w:t xml:space="preserve">e-mailem, </w:t>
      </w:r>
      <w:r w:rsidRPr="00E02C60">
        <w:rPr>
          <w:rStyle w:val="ARIEL9"/>
          <w:sz w:val="16"/>
          <w:szCs w:val="16"/>
        </w:rPr>
        <w:t>pokud Banka předem oznámí, že takový Pokyn akceptuje;</w:t>
      </w:r>
    </w:p>
    <w:p w14:paraId="049FDD7D" w14:textId="77777777" w:rsidR="00E02C60" w:rsidRPr="00E02C60" w:rsidRDefault="00E02C60" w:rsidP="006D6C7C">
      <w:pPr>
        <w:numPr>
          <w:ilvl w:val="0"/>
          <w:numId w:val="25"/>
        </w:numPr>
        <w:tabs>
          <w:tab w:val="clear" w:pos="2932"/>
        </w:tabs>
        <w:spacing w:after="60"/>
        <w:ind w:left="709" w:hanging="283"/>
        <w:rPr>
          <w:rStyle w:val="ARIEL9"/>
          <w:sz w:val="16"/>
          <w:szCs w:val="16"/>
        </w:rPr>
      </w:pPr>
      <w:r w:rsidRPr="00E02C60">
        <w:rPr>
          <w:rStyle w:val="ARIEL9"/>
          <w:sz w:val="16"/>
          <w:szCs w:val="16"/>
        </w:rPr>
        <w:t xml:space="preserve">prostřednictvím </w:t>
      </w:r>
      <w:r w:rsidRPr="00E02C60">
        <w:rPr>
          <w:rStyle w:val="ARIEL9"/>
          <w:b/>
          <w:sz w:val="16"/>
          <w:szCs w:val="16"/>
        </w:rPr>
        <w:t>Online Portfolia</w:t>
      </w:r>
      <w:r w:rsidRPr="00E02C60">
        <w:rPr>
          <w:rStyle w:val="ARIEL9"/>
          <w:sz w:val="16"/>
          <w:szCs w:val="16"/>
        </w:rPr>
        <w:t>, anebo</w:t>
      </w:r>
    </w:p>
    <w:p w14:paraId="0400A89B" w14:textId="77777777" w:rsidR="00E02C60" w:rsidRPr="00E02C60" w:rsidRDefault="00E02C60" w:rsidP="006D6C7C">
      <w:pPr>
        <w:numPr>
          <w:ilvl w:val="0"/>
          <w:numId w:val="25"/>
        </w:numPr>
        <w:tabs>
          <w:tab w:val="clear" w:pos="2932"/>
        </w:tabs>
        <w:spacing w:after="60"/>
        <w:ind w:left="709" w:hanging="283"/>
        <w:rPr>
          <w:rStyle w:val="ARIEL9"/>
          <w:sz w:val="16"/>
          <w:szCs w:val="16"/>
        </w:rPr>
      </w:pPr>
      <w:bookmarkStart w:id="87" w:name="_Ref405823911"/>
      <w:r w:rsidRPr="00E02C60">
        <w:rPr>
          <w:rStyle w:val="ARIEL9"/>
          <w:b/>
          <w:sz w:val="16"/>
          <w:szCs w:val="16"/>
        </w:rPr>
        <w:t>jiným způsobem</w:t>
      </w:r>
      <w:r w:rsidRPr="00E02C60">
        <w:rPr>
          <w:rStyle w:val="ARIEL9"/>
          <w:sz w:val="16"/>
          <w:szCs w:val="16"/>
        </w:rPr>
        <w:t>, který Banka sdělí Klientovi,</w:t>
      </w:r>
      <w:bookmarkEnd w:id="87"/>
    </w:p>
    <w:p w14:paraId="2850EB85" w14:textId="77777777" w:rsidR="00E02C60" w:rsidRPr="00E02C60" w:rsidRDefault="00E02C60" w:rsidP="00E02C60">
      <w:pPr>
        <w:spacing w:after="60"/>
        <w:ind w:left="426"/>
        <w:rPr>
          <w:rFonts w:cs="Arial"/>
          <w:sz w:val="16"/>
          <w:szCs w:val="16"/>
        </w:rPr>
      </w:pPr>
      <w:r w:rsidRPr="00E02C60">
        <w:rPr>
          <w:rFonts w:cs="Arial"/>
          <w:sz w:val="16"/>
          <w:szCs w:val="16"/>
        </w:rPr>
        <w:t xml:space="preserve">pokud Smlouva nestanoví </w:t>
      </w:r>
      <w:r w:rsidRPr="00E02C60">
        <w:rPr>
          <w:rFonts w:cs="Arial"/>
          <w:b/>
          <w:sz w:val="16"/>
          <w:szCs w:val="16"/>
        </w:rPr>
        <w:t xml:space="preserve">pro určitý Pokyn </w:t>
      </w:r>
      <w:r w:rsidRPr="00E02C60">
        <w:rPr>
          <w:rFonts w:cs="Arial"/>
          <w:sz w:val="16"/>
          <w:szCs w:val="16"/>
        </w:rPr>
        <w:t>konkrétní formu.</w:t>
      </w:r>
    </w:p>
    <w:p w14:paraId="43682369" w14:textId="77777777" w:rsidR="00E02C60" w:rsidRPr="00E02C60" w:rsidRDefault="00E02C60" w:rsidP="00E02C60">
      <w:pPr>
        <w:spacing w:after="120"/>
        <w:ind w:left="425" w:firstLine="1"/>
        <w:rPr>
          <w:rFonts w:cs="Arial"/>
          <w:sz w:val="16"/>
          <w:szCs w:val="16"/>
        </w:rPr>
      </w:pPr>
      <w:r w:rsidRPr="00E02C60">
        <w:rPr>
          <w:rFonts w:cs="Arial"/>
          <w:sz w:val="16"/>
          <w:szCs w:val="16"/>
        </w:rPr>
        <w:t>Pokyn je účinný a závazný od data uvedeného Klientem v Pokynu, pokud to Banka u příslušného Pokynu umožňuje. V případě, že Klient datum účinnosti v Pokynu neuvede, je Pokyn závazný počínaje okamžikem jeho sdělení Bance, pokud je Pokyn sdělován Bance prostřednictvím telefonu, nebo okamžikem jeho doručení nebo předání Bance způsobem dle Smlouvy, pokud je Pokyn Bance sdělován písemně, a to do dne určeného Klientem, maximálně však po nejdelší dobu platnosti Pokynu uvedenou v Podmínkách.</w:t>
      </w:r>
    </w:p>
    <w:p w14:paraId="0D2341AC"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 xml:space="preserve">Způsob podávání Pokynů. </w:t>
      </w:r>
      <w:r w:rsidRPr="00E02C60">
        <w:rPr>
          <w:rFonts w:cs="Arial"/>
          <w:sz w:val="16"/>
          <w:szCs w:val="16"/>
        </w:rPr>
        <w:t>Na základě souhlasu Banky je Klient oprávněn dát jakýkoliv Pokyn také v jiné než písemné či ústní telefonické formě. Banka je oprávněna, avšak nikoliv povinna, přijmout jakýkoliv Pokyn, který byl podán jiným než Smlouvou předepsaným způsobem.</w:t>
      </w:r>
    </w:p>
    <w:p w14:paraId="1C9B24C0"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Formuláře Banky.</w:t>
      </w:r>
      <w:r w:rsidRPr="00E02C60">
        <w:rPr>
          <w:rFonts w:cs="Arial"/>
          <w:sz w:val="16"/>
          <w:szCs w:val="16"/>
        </w:rPr>
        <w:t xml:space="preserve"> Klient je povinen používat k Pokynům příslušné formuláře Banky, které Banka poskytuje. V případě, že Klient nepodá Pokyn na příslušném formuláři Banky, je Banka oprávněna takový Pokyn neprovést.</w:t>
      </w:r>
    </w:p>
    <w:p w14:paraId="06DD953F"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Náležitosti Pokynů.</w:t>
      </w:r>
      <w:r w:rsidRPr="00E02C60">
        <w:rPr>
          <w:rFonts w:cs="Arial"/>
          <w:sz w:val="16"/>
          <w:szCs w:val="16"/>
        </w:rPr>
        <w:t xml:space="preserve"> Pokyn musí obsahovat veškeré rozhodné náležitosti požadované Bankou dle Smlouvy. Banka může Klienta požádat, aby Pokyn obsahoval náležitosti a údaje, které Banka určí, byť i nad rámec údajů určených ve Smlouvě či ve formuláři Banky, a vyhrazuje si právo na základě své úvahy nepřijmout nebo neprovést Pokyn v případě, kdy je neúplný a takové náležitosti a údaje neobsahuje.</w:t>
      </w:r>
    </w:p>
    <w:p w14:paraId="7DB34DE7"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je oprávněna v jednotlivém případě na základě své úvahy akceptovat a provést i neúplný Pokyn.</w:t>
      </w:r>
    </w:p>
    <w:p w14:paraId="62C083B6"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Kontaktní údaje Banky pro účely Pokynů.</w:t>
      </w:r>
      <w:r w:rsidRPr="00E02C60">
        <w:rPr>
          <w:rFonts w:cs="Arial"/>
          <w:sz w:val="16"/>
          <w:szCs w:val="16"/>
        </w:rPr>
        <w:t xml:space="preserve"> Klient je při podávání Pokynů dle Smlouvy povinen používat a dodržovat spojení (kontakty, osoby, účty, obchodní místa Banky, případně jiná spojení) a pravidla určená pro příslušný Pokyn či Službu, která jsou uvedená v Kontaktních údajích Banky či v Podmínkách a která byla za tímto účelem zveřejněna nebo byla Klientovi za tímto účelem sdělena. Banka je oprávněna, avšak není povinna, </w:t>
      </w:r>
      <w:r w:rsidRPr="00E02C60">
        <w:rPr>
          <w:rFonts w:cs="Arial"/>
          <w:sz w:val="16"/>
          <w:szCs w:val="16"/>
        </w:rPr>
        <w:t>přijmout Pokyn daný ji bez dodržení určeného spojení a pravidel a v případě, že takový Pokyn přijme, bude se jednat o platně podaný Pokyn.</w:t>
      </w:r>
    </w:p>
    <w:p w14:paraId="0E89D36F"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je oprávněna požádat, aby Klient bez zbytečného odkladu potvrdil Pokyn daný jí telefonicky zasláním písemného znění Pokynu, a to osobně, prostřednictvím kurýrní služby nebo doporučeným dopisem s dodejkou. V takovém případě je Pokyn daný Bance prostřednictvím telefonu závazný pro Klienta, ale Banka není povinna Pokyn provést dříve, než jej Klient potvrdí způsobem stanoveným v předchozí větě.</w:t>
      </w:r>
    </w:p>
    <w:p w14:paraId="5880F588"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Strany berou na vědomí, že Banka je oprávněna provádět záznam telefonního hovoru, při kterém jí Klient či osoba jím pověřená dává Pokyn, případně si Klient či osoba jím pověřená a Banka sdělují jiné skutečnosti související se Smlouvou. Klient bere na vědomí, že tento záznam může sloužit jako důkaz u soudu nebo orgánu dohledu o obsahu konkrétního Pokynu či obsahu konverzace mezi Klientem či osobou jím pověřenou a Bankou související se Smlouvou.</w:t>
      </w:r>
    </w:p>
    <w:p w14:paraId="665842B0"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je oprávněna při každém zadání Pokynu či žádosti o provedení jiného úkonu požadovat, aby Klient prokázal svou totožnost způsobem uspokojivým pro Banku; Banka je rovněž oprávněna požadovat, aby Klient prokázal svou totožnost také smluveným heslem nebo za pomoci technických identifikačních prostředků, pokud je má Klient k dispozici (dále jen „</w:t>
      </w:r>
      <w:r w:rsidRPr="00E02C60">
        <w:rPr>
          <w:rFonts w:cs="Arial"/>
          <w:b/>
          <w:sz w:val="16"/>
          <w:szCs w:val="16"/>
        </w:rPr>
        <w:t>Autorizace</w:t>
      </w:r>
      <w:r w:rsidRPr="00E02C60">
        <w:rPr>
          <w:rFonts w:cs="Arial"/>
          <w:sz w:val="16"/>
          <w:szCs w:val="16"/>
        </w:rPr>
        <w:t>“). Neprovedení Autorizace Bankou nemá vliv na platnost Pokynu. V případě pochybností o totožnosti osoby uvedené v Podpisovém vzoru není Banka povinna Pokyn provést.</w:t>
      </w:r>
    </w:p>
    <w:p w14:paraId="6303436F"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Pokyn za Klienta je Bance oprávněna udělit pouze osoba uvedená v Podpisovém vzoru, a to způsobem v něm uvedeným. Pokud za Klienta jedná osoba neuvedená v Podpisovém vzoru je Banka oprávněna požadovat plnou moc vystavenou Klientem s úředně ověřenými podpisy. Klient je povinen zajistit, aby se všechny osoby jednající za Klienta v souvislosti se Smlouvou, tj. osoby uvedené i neuvedené v Podpisovém vzoru, seznámily se Smlouvou, včetně těchto Podmínek a dodržovali její ustanovení.</w:t>
      </w:r>
    </w:p>
    <w:p w14:paraId="0F3EEFF0"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V případě Pokynu k obstarání koupě nebo prodeje Nástrojů Banka nezkoumá oprávnění Klienta Nástroje koupit či prodat s výjimkami uvedenými v těchto Podmínkách. Po obdržení Pokynu Banka provede činnosti nezbytné k obstarání koupě nebo prodeje podle Pokynu. Banka je oprávněna obstarat koupi nebo prodej Nástrojů tím, že Klientovi prodá Nástroj ze svého majetku nebo od Klienta Nástroj koupí na vlastní účet.</w:t>
      </w:r>
    </w:p>
    <w:p w14:paraId="7C879244"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88" w:name="_Hlk66780134"/>
      <w:r w:rsidRPr="00E02C60">
        <w:rPr>
          <w:rFonts w:cs="Arial"/>
          <w:b/>
          <w:sz w:val="16"/>
          <w:szCs w:val="16"/>
        </w:rPr>
        <w:t>Slučování Pokynů</w:t>
      </w:r>
      <w:r w:rsidRPr="00E02C60">
        <w:rPr>
          <w:rFonts w:cs="Arial"/>
          <w:sz w:val="16"/>
          <w:szCs w:val="16"/>
        </w:rPr>
        <w:t xml:space="preserve">. Banka je oprávněna sloučit více Pokynů svých klientů při stejné cenové podmínce, přičemž v tomto případě provede objednávku na svůj účet pro klienty Banky (v případě Cenných papírů Investičních fondů na účet klientů Banky) a při následném uspokojování Pokynů klientů Banky respektuje časovou prioritu podaných Pokynů. Banka provádí slučování Pokynů, pouze pokud není pravděpodobné, že sloučení Pokynů bude pro Klienta nebo jiné klienty méně výhodné, než jejich samostatné provedení. Banka upozorňuje Klienta, že přes dodržení pravidel pro provádění Pokynů, může být pro Klienta sloučení Pokynů s ohledem na daný Pokyn nevýhodné. V případě, kdy dojde pouze k částečnému uspokojení sloučených Pokynů, jsou jednotlivé Pokyny klientů uspokojovány dle časové posloupnosti, v níž Banka Pokyny od klientů obdržela. Banka je oprávněna slučovat Pokyny klientů s pokyny na vlastní účet. V takovém případě upřednostňuje Banka vždy uspokojení Pokynů klientů před pokyny na vlastní účet.  </w:t>
      </w:r>
    </w:p>
    <w:bookmarkEnd w:id="88"/>
    <w:p w14:paraId="780330DD"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lastRenderedPageBreak/>
        <w:t>Banka upozorňuje Klienta, že bude-li Převodním místem nebo Dodavatelem nebo jinou osobou pozastaveno obchodování s některými nebo se všemi Nástroji registrovanými nebo obchodovanými na daném Převodním místě, a během této doby pozastavení uplyne doba platnosti Pokynu, Pokyn nebude proveden. Podmínky uvedené v předchozí větě neplatí v případě, že se Bance podaří realizovat Pokyn za stejných nebo lepších podmínek prostřednictvím třetí osoby v případech stanovených těmito Podmínkami.</w:t>
      </w:r>
    </w:p>
    <w:p w14:paraId="2D76795C"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V případě poruchy informačního systému, telekomunikačních zařízení a záznamových zařízení, sdělí Banka Klientovi, na jeho požádání informaci o postupu a způsobu komunikace. Banka a Klient se mohou dohodnout na jiném postupu.</w:t>
      </w:r>
    </w:p>
    <w:p w14:paraId="351A87A1"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upozorňuje Klienta, že v případě elektronické komunikace (především prostřednictvím mobilních telefonů, elektronické pošty a internetu) může dojít ke ztrátě, zničení, neúplnému nebo opožděnému doručení, neoprávněnému získání, použití nebo zneužití přenášených dat. Banka i Klient jsou při vzájemné komunikaci povinni postupovat vždy tak, aby tato rizika byla omezena. Banka upozorňuje Klienta, že termíny uváděné v těchto Podmínkách jsou platné za předpokladu, že zpracování Pokynu nebrání technické problémy systému, prostřednictvím kterého dochází k provedení Pokynu.</w:t>
      </w:r>
    </w:p>
    <w:p w14:paraId="55D1F0B9"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může Pokyn sdělený Bance zrušit nebo změnit za předpokladu, že podmínky příslušného obchodního systému, Dodavatele či příslušné jiné osoby jeho zrušení nebo změnu umožňují. Banka umožní Klientovi Pokyn změnit nebo zrušit, pokud je to z operačních, technických či personálních důvodů možné a pokud Banka již neučinila nevratné kroky k provedení Pokynu.</w:t>
      </w:r>
    </w:p>
    <w:p w14:paraId="720CBCC0"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bookmarkStart w:id="89" w:name="_Ref183340915"/>
      <w:r w:rsidRPr="00E02C60">
        <w:rPr>
          <w:rFonts w:cs="Arial"/>
          <w:sz w:val="16"/>
          <w:szCs w:val="16"/>
        </w:rPr>
        <w:t>Banka provede pouze takové Pokyny, u kterých byla úspěšně provedena Validace pokynu, s výjimkou uvedenou pod písmenem c) tohoto odstavce.</w:t>
      </w:r>
      <w:bookmarkEnd w:id="89"/>
    </w:p>
    <w:p w14:paraId="6DB1FFE4" w14:textId="77777777" w:rsidR="00E02C60" w:rsidRPr="00E02C60" w:rsidRDefault="00E02C60" w:rsidP="006D6C7C">
      <w:pPr>
        <w:numPr>
          <w:ilvl w:val="2"/>
          <w:numId w:val="12"/>
        </w:numPr>
        <w:tabs>
          <w:tab w:val="clear" w:pos="0"/>
          <w:tab w:val="num" w:pos="709"/>
        </w:tabs>
        <w:spacing w:after="60"/>
        <w:ind w:left="709" w:hanging="283"/>
        <w:rPr>
          <w:rFonts w:cs="Arial"/>
          <w:sz w:val="16"/>
          <w:szCs w:val="16"/>
        </w:rPr>
      </w:pPr>
      <w:r w:rsidRPr="00E02C60">
        <w:rPr>
          <w:rFonts w:cs="Arial"/>
          <w:sz w:val="16"/>
          <w:szCs w:val="16"/>
        </w:rPr>
        <w:t xml:space="preserve">V případě Pokynu k obstarání koupě Nástroje s Cenovým limitem „za co nejlépe“ je Banka oprávněna za účelem provedení Validace pokynu požadovat po Klientovi dodání peněžních prostředků na Podúčet hotovosti v takové výši, aby se peněžní prostředky na Podúčtu hotovosti příslušného Portfoliového účtu rovnaly před Validací pokynu částce odpovídající výši Dluhů zjištěné k okamžiku podání Pokynu navýšené o 25 %, přičemž Banka je oprávněna určit i výši nižší, a to i s ohledem na způsob, kterým Klient takový Pokyn podá; v případě Pokynu k obstarání koupě Nástroje s Cenovým limitem stanoveným konkrétní částkou se peněžní prostředky na Podúčtu hotovosti musí při Validaci pokynu rovnat výši Dluhů. </w:t>
      </w:r>
    </w:p>
    <w:p w14:paraId="60B2CEA1" w14:textId="77777777" w:rsidR="00E02C60" w:rsidRPr="00E02C60" w:rsidRDefault="00E02C60" w:rsidP="006D6C7C">
      <w:pPr>
        <w:numPr>
          <w:ilvl w:val="2"/>
          <w:numId w:val="12"/>
        </w:numPr>
        <w:tabs>
          <w:tab w:val="clear" w:pos="0"/>
          <w:tab w:val="num" w:pos="709"/>
        </w:tabs>
        <w:spacing w:after="60"/>
        <w:ind w:left="709" w:hanging="283"/>
        <w:rPr>
          <w:rFonts w:cs="Arial"/>
          <w:sz w:val="16"/>
          <w:szCs w:val="16"/>
        </w:rPr>
      </w:pPr>
      <w:r w:rsidRPr="00E02C60">
        <w:rPr>
          <w:rFonts w:cs="Arial"/>
          <w:sz w:val="16"/>
          <w:szCs w:val="16"/>
        </w:rPr>
        <w:t>Validace Pokynu k obstarání prodeje nebo koupě Nástrojů zahrnuje i peněžní prostředky, nebo Nástroje z Obchodů, které byly k okamžiku provedení Validace pokynu uzavřeny, ale u kterých v té době nebylo doposud provedeno Vypořádání obchodu, pokud Vypořádání obchodu bude uskutečněno dříve, než bude uskutečněno Vypořádání obchodu uzavřeného na základě Pokynu, který je validován.</w:t>
      </w:r>
      <w:bookmarkStart w:id="90" w:name="_Ref156271566"/>
    </w:p>
    <w:p w14:paraId="46ADD99E" w14:textId="77777777" w:rsidR="00E02C60" w:rsidRPr="00E02C60" w:rsidRDefault="00E02C60" w:rsidP="006D6C7C">
      <w:pPr>
        <w:numPr>
          <w:ilvl w:val="2"/>
          <w:numId w:val="12"/>
        </w:numPr>
        <w:tabs>
          <w:tab w:val="clear" w:pos="0"/>
          <w:tab w:val="num" w:pos="709"/>
        </w:tabs>
        <w:spacing w:after="60"/>
        <w:ind w:left="709" w:hanging="283"/>
        <w:rPr>
          <w:rFonts w:cs="Arial"/>
          <w:sz w:val="16"/>
          <w:szCs w:val="16"/>
        </w:rPr>
      </w:pPr>
      <w:r w:rsidRPr="00E02C60">
        <w:rPr>
          <w:rFonts w:cs="Arial"/>
          <w:sz w:val="16"/>
          <w:szCs w:val="16"/>
        </w:rPr>
        <w:t>Banka je oprávněna zahrnout pro účely validace Obchodních pokynů krytí peněžními prostředky, Nástroje, u kterých lze odůvodněně očekávat, že se stanou součástí Portfoliového účtu. U Neobchodních pokynů Validace pokynu zahrnuje pouze aktuální stav na Portfoliovém účtu, a to za předpokladu, že v okamžiku Validace pokynu nebyl podán jiný Pokyn směřující ke snížení Hotovosti nebo množství Nástrojů evidovaných na Portfoliovém účtu.</w:t>
      </w:r>
      <w:bookmarkEnd w:id="90"/>
    </w:p>
    <w:p w14:paraId="16826827" w14:textId="77777777" w:rsidR="00E02C60" w:rsidRPr="00E02C60" w:rsidRDefault="00E02C60" w:rsidP="006D6C7C">
      <w:pPr>
        <w:numPr>
          <w:ilvl w:val="2"/>
          <w:numId w:val="12"/>
        </w:numPr>
        <w:tabs>
          <w:tab w:val="clear" w:pos="0"/>
          <w:tab w:val="num" w:pos="709"/>
        </w:tabs>
        <w:spacing w:after="60"/>
        <w:ind w:left="709" w:hanging="284"/>
        <w:rPr>
          <w:rFonts w:cs="Arial"/>
          <w:sz w:val="16"/>
          <w:szCs w:val="16"/>
        </w:rPr>
      </w:pPr>
      <w:r w:rsidRPr="00E02C60">
        <w:rPr>
          <w:rFonts w:cs="Arial"/>
          <w:sz w:val="16"/>
          <w:szCs w:val="16"/>
        </w:rPr>
        <w:t xml:space="preserve">V případě, že Klient podá Pokyn k obstarání koupě Nástroje denominovaného v jiné měně, než v jaké má Klient na Podúčtu hotovosti peněžní prostředky, jiným způsobem než prostřednictvím Online Portfolia, Banka pro účely Validace pokynu přepočte cizí měnu na jinou cizí měnu aktuálním </w:t>
      </w:r>
      <w:r w:rsidRPr="00E02C60">
        <w:rPr>
          <w:rFonts w:cs="Arial"/>
          <w:b/>
          <w:sz w:val="16"/>
          <w:szCs w:val="16"/>
        </w:rPr>
        <w:t>kurzem podle kurzovního lístku Banky upraveným o volatilitu</w:t>
      </w:r>
      <w:r w:rsidRPr="00E02C60">
        <w:rPr>
          <w:rFonts w:cs="Arial"/>
          <w:sz w:val="16"/>
          <w:szCs w:val="16"/>
        </w:rPr>
        <w:t xml:space="preserve"> měny vypočtenou Bankou, a to k předpokládanému dni Vypořádání obchodu.</w:t>
      </w:r>
    </w:p>
    <w:p w14:paraId="23E26D45" w14:textId="77777777" w:rsidR="00E02C60" w:rsidRPr="00E02C60" w:rsidRDefault="00E02C60" w:rsidP="006D6C7C">
      <w:pPr>
        <w:numPr>
          <w:ilvl w:val="2"/>
          <w:numId w:val="12"/>
        </w:numPr>
        <w:tabs>
          <w:tab w:val="clear" w:pos="0"/>
          <w:tab w:val="num" w:pos="709"/>
        </w:tabs>
        <w:spacing w:after="120"/>
        <w:ind w:left="709" w:hanging="283"/>
        <w:rPr>
          <w:rFonts w:cs="Arial"/>
          <w:sz w:val="16"/>
          <w:szCs w:val="16"/>
        </w:rPr>
      </w:pPr>
      <w:r w:rsidRPr="00E02C60">
        <w:rPr>
          <w:rFonts w:cs="Arial"/>
          <w:sz w:val="16"/>
          <w:szCs w:val="16"/>
        </w:rPr>
        <w:t>V případě, že Klient podá Pokyn k obstarání koupě Nástroje prostřednictvím Online Portfolia, Banka pro účely Validace pokynu kontroluje dostatek peněžních prostředků na Podúčtu hotovosti v měně, ve které má být koupě Nástroje obstarána, a zároveň kontroluje celkový zůstatek peněžních prostředků na Podúčtu hotovosti bez ohledu na měnu, přičemž platí, že celkový zůstatek peněžních prostředků na Podúčtu hotovosti bez ohledu na měnu musí být vždy vyšší než částka uvedená v příslušném Pokynu k obstarání koupě Nástroje.</w:t>
      </w:r>
    </w:p>
    <w:p w14:paraId="4086C662" w14:textId="3B37D330" w:rsidR="00E02C60" w:rsidRPr="00E02C60" w:rsidRDefault="00E02C60" w:rsidP="006D6C7C">
      <w:pPr>
        <w:pStyle w:val="Nadpis2"/>
        <w:numPr>
          <w:ilvl w:val="1"/>
          <w:numId w:val="13"/>
        </w:numPr>
        <w:tabs>
          <w:tab w:val="num" w:pos="425"/>
        </w:tabs>
        <w:ind w:left="426" w:hanging="426"/>
        <w:rPr>
          <w:rFonts w:cs="Arial"/>
          <w:sz w:val="16"/>
          <w:szCs w:val="16"/>
        </w:rPr>
      </w:pPr>
      <w:bookmarkStart w:id="91" w:name="_Ref396144388"/>
      <w:r w:rsidRPr="00E02C60">
        <w:rPr>
          <w:rFonts w:cs="Arial"/>
          <w:sz w:val="16"/>
          <w:szCs w:val="16"/>
        </w:rPr>
        <w:t xml:space="preserve">V případě, že Klient podá </w:t>
      </w:r>
      <w:r w:rsidRPr="00E02C60">
        <w:rPr>
          <w:rFonts w:cs="Arial"/>
          <w:b/>
          <w:sz w:val="16"/>
          <w:szCs w:val="16"/>
        </w:rPr>
        <w:t xml:space="preserve">Pokyn k nákupu </w:t>
      </w:r>
      <w:r w:rsidRPr="00E02C60">
        <w:rPr>
          <w:rFonts w:cs="Arial"/>
          <w:sz w:val="16"/>
          <w:szCs w:val="16"/>
        </w:rPr>
        <w:t>Nástroje</w:t>
      </w:r>
      <w:r w:rsidRPr="00E02C60">
        <w:rPr>
          <w:rFonts w:cs="Arial"/>
          <w:b/>
          <w:sz w:val="16"/>
          <w:szCs w:val="16"/>
        </w:rPr>
        <w:t xml:space="preserve"> denominovaného v jiné měně</w:t>
      </w:r>
      <w:r w:rsidRPr="00E02C60">
        <w:rPr>
          <w:rFonts w:cs="Arial"/>
          <w:sz w:val="16"/>
          <w:szCs w:val="16"/>
        </w:rPr>
        <w:t xml:space="preserve">, než v jaké má Klient na Podúčtu hotovosti peněžní prostředky, Banka provede </w:t>
      </w:r>
      <w:r w:rsidRPr="00E02C60">
        <w:rPr>
          <w:rFonts w:cs="Arial"/>
          <w:b/>
          <w:sz w:val="16"/>
          <w:szCs w:val="16"/>
        </w:rPr>
        <w:t xml:space="preserve">konverzi měny </w:t>
      </w:r>
      <w:r w:rsidRPr="00E02C60">
        <w:rPr>
          <w:rFonts w:cs="Arial"/>
          <w:sz w:val="16"/>
          <w:szCs w:val="16"/>
        </w:rPr>
        <w:t xml:space="preserve">na žádost Klienta. Konverze měny je prováděna po uzavření Obchodu a před jeho vypořádáním způsobem určeným dle odstavce </w:t>
      </w:r>
      <w:r w:rsidRPr="00E02C60">
        <w:rPr>
          <w:rFonts w:cs="Arial"/>
          <w:sz w:val="16"/>
          <w:szCs w:val="16"/>
        </w:rPr>
        <w:fldChar w:fldCharType="begin"/>
      </w:r>
      <w:r w:rsidRPr="00E02C60">
        <w:rPr>
          <w:rFonts w:cs="Arial"/>
          <w:sz w:val="16"/>
          <w:szCs w:val="16"/>
        </w:rPr>
        <w:instrText xml:space="preserve"> REF _Ref502739547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2.28</w:t>
      </w:r>
      <w:r w:rsidRPr="00E02C60">
        <w:rPr>
          <w:rFonts w:cs="Arial"/>
          <w:sz w:val="16"/>
          <w:szCs w:val="16"/>
        </w:rPr>
        <w:fldChar w:fldCharType="end"/>
      </w:r>
      <w:r w:rsidRPr="00E02C60">
        <w:rPr>
          <w:rFonts w:cs="Arial"/>
          <w:sz w:val="16"/>
          <w:szCs w:val="16"/>
        </w:rPr>
        <w:t xml:space="preserve"> pro konverzi měn, pokud se smluvní strany nedohodnou jinak.</w:t>
      </w:r>
      <w:bookmarkEnd w:id="91"/>
      <w:r w:rsidRPr="00E02C60">
        <w:rPr>
          <w:rFonts w:cs="Arial"/>
          <w:sz w:val="16"/>
          <w:szCs w:val="16"/>
        </w:rPr>
        <w:t xml:space="preserve"> </w:t>
      </w:r>
    </w:p>
    <w:p w14:paraId="0D758109"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92" w:name="_Ref502739547"/>
      <w:r w:rsidRPr="00E02C60">
        <w:rPr>
          <w:rFonts w:cs="Arial"/>
          <w:sz w:val="16"/>
          <w:szCs w:val="16"/>
        </w:rPr>
        <w:t>Banka a Klient mohou uzavřít obchod, jehož obsahem je pevně sjednaný nákup nebo prodej peněžních prostředků v jedné měně za určité množství peněžních prostředků v jiné měně, a to za kurz, který si ujednají v okamžiku uzavření takového obchodu s tím, že tento obchod bude vypořádán nejpozději druhý Obchodní den po jeho uzavření (ve Smlouvě jako „</w:t>
      </w:r>
      <w:r w:rsidRPr="00E02C60">
        <w:rPr>
          <w:rFonts w:cs="Arial"/>
          <w:b/>
          <w:sz w:val="16"/>
          <w:szCs w:val="16"/>
        </w:rPr>
        <w:t>Spot</w:t>
      </w:r>
      <w:r w:rsidRPr="00E02C60">
        <w:rPr>
          <w:rFonts w:cs="Arial"/>
          <w:sz w:val="16"/>
          <w:szCs w:val="16"/>
        </w:rPr>
        <w:t>“).</w:t>
      </w:r>
      <w:bookmarkEnd w:id="92"/>
      <w:r w:rsidRPr="00E02C60">
        <w:rPr>
          <w:rFonts w:cs="Arial"/>
          <w:sz w:val="16"/>
          <w:szCs w:val="16"/>
        </w:rPr>
        <w:t xml:space="preserve"> </w:t>
      </w:r>
    </w:p>
    <w:p w14:paraId="6FE3EB2B"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93" w:name="_Ref400957600"/>
      <w:bookmarkStart w:id="94" w:name="_Hlk66780185"/>
      <w:r w:rsidRPr="00E02C60">
        <w:rPr>
          <w:rFonts w:cs="Arial"/>
          <w:sz w:val="16"/>
          <w:szCs w:val="16"/>
        </w:rPr>
        <w:t>Pokud kurz uvedený v předcházejícím odstavci nebude ujednán, Banka použije pro přepočet kurz zjištěný způsobem uvedeným ve Všeobecných podmínkách pro přepočet měn. Platební transakce uskutečněné v souvislosti s vypořádáním Spotů a konverzí měn se řídí Oznámením o provádění platebního styku. Smlouva s Podmínkami je v rozsahu upravujícím uzavírání Spotů Smlouvou o Platebních službách, jak je definována ve Všeobecných podmínkách.</w:t>
      </w:r>
      <w:bookmarkEnd w:id="93"/>
    </w:p>
    <w:bookmarkEnd w:id="94"/>
    <w:p w14:paraId="15C1B39B"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Dojde-li v době od Validace pokynu do provedení konverze měny k pohybu příslušných měnových kurzů v neprospěch Klienta, může se stát, že Klient nebude mít v důsledku těchto kurzových pohybů na Podúčtu hotovosti dostatek peněžních prostředků k uhrazení Dluhů a po zaúčtování Obchodu bude Podúčet hotovosti vykazovat debetní zůstatek.</w:t>
      </w:r>
    </w:p>
    <w:p w14:paraId="4313F2D6"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Provádění Pokynů podléhá právním předpisům a obchodním podmínkám, které platí pro obchodování s Nástroji na Převodním místě, na němž se s příslušnými Nástroji obchoduje. Na Pokyny se rovněž vztahují příslušná pravidla obchodování a předpisy daného Převodního místa. Banka poskytne Klientovi tato pravidla a předpisy na základě jeho žádosti.</w:t>
      </w:r>
    </w:p>
    <w:p w14:paraId="6F57D80D"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Banka respektuje podmínky, které si Klient stanovil při podání Pokynu na obstarání nákupu či prodeje Nástroje, tyto podmínky při uspokojování Pokynu považuje za závazné. Banka se po provedení úspěšné Validace pokynu zavazuje bez zbytečného odkladu uskutečnit činnost směřující k odeslání Pokynu na příslušné Převodní místo. Banka si vyhrazuje právo pozastavit provedení Pokynu v případě důvodného podezření, že aktiva Klienta pochází z nelegální činnosti nebo v jiných případech stanovených </w:t>
      </w:r>
      <w:r w:rsidRPr="00E02C60">
        <w:rPr>
          <w:rFonts w:cs="Arial"/>
          <w:sz w:val="16"/>
          <w:szCs w:val="16"/>
        </w:rPr>
        <w:lastRenderedPageBreak/>
        <w:t>Smlouvou. V případě, že se důvodné podezření potvrdí, pozastavený Pokyn Banka neprovede.</w:t>
      </w:r>
    </w:p>
    <w:p w14:paraId="18086289"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upozorňuje Klienta, že termíny zde uváděné jsou platné za předpokladu, že zpracování Pokynu nebrání technické problémy systému, prostřednictvím kterého dochází k provedení Pokynu.</w:t>
      </w:r>
    </w:p>
    <w:p w14:paraId="14B8E655"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při zpracovávání pokynů klientů Banky respektuje časovou prioritu jejich podání.</w:t>
      </w:r>
    </w:p>
    <w:p w14:paraId="14690613"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95" w:name="_Ref53997919"/>
      <w:bookmarkStart w:id="96" w:name="_Hlk66780276"/>
      <w:r w:rsidRPr="00E02C60">
        <w:rPr>
          <w:rFonts w:cs="Arial"/>
          <w:b/>
          <w:sz w:val="16"/>
          <w:szCs w:val="16"/>
        </w:rPr>
        <w:t xml:space="preserve">Odmítnutí provedení Pokynu. </w:t>
      </w:r>
      <w:r w:rsidRPr="00E02C60">
        <w:rPr>
          <w:rFonts w:cs="Arial"/>
          <w:sz w:val="16"/>
          <w:szCs w:val="16"/>
        </w:rPr>
        <w:t xml:space="preserve">Banka je oprávněna odmítnout provedení Pokynu, pokud by jeho provedení bylo v </w:t>
      </w:r>
      <w:r w:rsidRPr="00E02C60">
        <w:rPr>
          <w:rFonts w:cs="Arial"/>
          <w:b/>
          <w:sz w:val="16"/>
          <w:szCs w:val="16"/>
        </w:rPr>
        <w:t>rozporu s právními předpisy, pravidly příslušného Převodního místa,</w:t>
      </w:r>
      <w:r w:rsidRPr="00E02C60">
        <w:rPr>
          <w:rFonts w:cs="Arial"/>
          <w:sz w:val="16"/>
          <w:szCs w:val="16"/>
        </w:rPr>
        <w:t xml:space="preserve"> statutem příslušného investičního či jiného fondu, obchodní politikou Banky, SG či její finanční skupiny nebo jiného subjektu, který se na zpracování Pokynu podílí, nebo by jeho provedením mohlo dojít ke </w:t>
      </w:r>
      <w:r w:rsidRPr="00E02C60">
        <w:rPr>
          <w:rFonts w:cs="Arial"/>
          <w:b/>
          <w:sz w:val="16"/>
          <w:szCs w:val="16"/>
        </w:rPr>
        <w:t>střetu zájmů</w:t>
      </w:r>
      <w:r w:rsidRPr="00E02C60">
        <w:rPr>
          <w:rFonts w:cs="Arial"/>
          <w:sz w:val="16"/>
          <w:szCs w:val="16"/>
        </w:rPr>
        <w:t xml:space="preserve"> mezi Bankou a Klientem nebo mezi klienty Banky navzájem, v důsledku provedení Pokynu by mohlo dojít k </w:t>
      </w:r>
      <w:r w:rsidRPr="00E02C60">
        <w:rPr>
          <w:rFonts w:cs="Arial"/>
          <w:b/>
          <w:sz w:val="16"/>
          <w:szCs w:val="16"/>
        </w:rPr>
        <w:t>manipulaci s trhem, porušení Sankcí nebo</w:t>
      </w:r>
      <w:r w:rsidRPr="00E02C60">
        <w:rPr>
          <w:rFonts w:cs="Arial"/>
          <w:sz w:val="16"/>
          <w:szCs w:val="16"/>
        </w:rPr>
        <w:t xml:space="preserve"> Klient nevyplnil příslušný Dotazník investora a výslovně neodmítnul jeho vyplnění.</w:t>
      </w:r>
      <w:bookmarkEnd w:id="95"/>
      <w:r w:rsidRPr="00E02C60">
        <w:rPr>
          <w:rFonts w:cs="Arial"/>
          <w:sz w:val="16"/>
          <w:szCs w:val="16"/>
        </w:rPr>
        <w:t xml:space="preserve"> Banka je oprávněna odmítnout provedení Pokynu daného jí ústně prostřednictvím telefonu, pokud Klient odmítnul vyplnění Dotazníku investora.</w:t>
      </w:r>
    </w:p>
    <w:bookmarkEnd w:id="96"/>
    <w:p w14:paraId="1C1ACD6A"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Pokud skutečně dojde ke střetu zájmů mezi klienty Banky navzájem, Banka tyto klienty telefonicky informuje. Banka je oprávněna </w:t>
      </w:r>
      <w:r w:rsidRPr="00E02C60">
        <w:rPr>
          <w:rFonts w:cs="Arial"/>
          <w:b/>
          <w:sz w:val="16"/>
          <w:szCs w:val="16"/>
        </w:rPr>
        <w:t>odmítnout</w:t>
      </w:r>
      <w:r w:rsidRPr="00E02C60">
        <w:rPr>
          <w:rFonts w:cs="Arial"/>
          <w:sz w:val="16"/>
          <w:szCs w:val="16"/>
        </w:rPr>
        <w:t xml:space="preserve"> provedení Pokynu, pokud má – s ohledem na obvyklou praxi na trhu, cenu Nástroje, objem, dopad Pokynu na likviditu či volatilitu trhu nebo na průhlednost trhu – důvodné podezření, že by provedením Pokynu mohlo dojít k </w:t>
      </w:r>
      <w:r w:rsidRPr="00E02C60">
        <w:rPr>
          <w:rFonts w:cs="Arial"/>
          <w:b/>
          <w:sz w:val="16"/>
          <w:szCs w:val="16"/>
        </w:rPr>
        <w:t>manipulaci s trhem</w:t>
      </w:r>
      <w:r w:rsidRPr="00E02C60">
        <w:rPr>
          <w:rFonts w:cs="Arial"/>
          <w:sz w:val="16"/>
          <w:szCs w:val="16"/>
        </w:rPr>
        <w:t>. Banka je oprávněna požadovat po Klientovi vysvětlení účelu Pokynu, a pokud i přes vysvětlení Klienta bude mít důvodné podezření, že provedením Pokynu by mohlo dojít k manipulaci s trhem, nesmí Pokyn provést. Tuto povinnost Bance ukládají příslušná ustanovení ZPKT.</w:t>
      </w:r>
    </w:p>
    <w:p w14:paraId="4B470C10"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Banka je oprávněna </w:t>
      </w:r>
      <w:r w:rsidRPr="00E02C60">
        <w:rPr>
          <w:rFonts w:cs="Arial"/>
          <w:b/>
          <w:sz w:val="16"/>
          <w:szCs w:val="16"/>
        </w:rPr>
        <w:t>odmítnout</w:t>
      </w:r>
      <w:r w:rsidRPr="00E02C60">
        <w:rPr>
          <w:rFonts w:cs="Arial"/>
          <w:sz w:val="16"/>
          <w:szCs w:val="16"/>
        </w:rPr>
        <w:t xml:space="preserve"> provedení Pokynu, v případě, že ohledně Klienta bylo zahájeno </w:t>
      </w:r>
      <w:r w:rsidRPr="00E02C60">
        <w:rPr>
          <w:rFonts w:cs="Arial"/>
          <w:b/>
          <w:sz w:val="16"/>
          <w:szCs w:val="16"/>
        </w:rPr>
        <w:t>insolvenční řízení</w:t>
      </w:r>
      <w:r w:rsidRPr="00E02C60">
        <w:rPr>
          <w:rFonts w:cs="Arial"/>
          <w:sz w:val="16"/>
          <w:szCs w:val="16"/>
        </w:rPr>
        <w:t>, soudem byl zamítnut insolvenční návrh pro nedostatek majetku Klienta jakožto dlužníka, u soudu je zahájeno insolvenční či jiné řízení, které má obdobné právní účinky, a to včetně řízení zahájeného podle jakéhokoli zahraničního práva (například řízení o konkursu, vyrovnání, reorganizaci nebo oddlužení) nebo je nařízen výkon rozhodnutí (exekuce) týkající se majetku Klienta nebo podstatné části majetku Klienta.</w:t>
      </w:r>
    </w:p>
    <w:p w14:paraId="7FA69042"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Banka je oprávněna </w:t>
      </w:r>
      <w:r w:rsidRPr="00E02C60">
        <w:rPr>
          <w:rFonts w:cs="Arial"/>
          <w:b/>
          <w:sz w:val="16"/>
          <w:szCs w:val="16"/>
        </w:rPr>
        <w:t>odmítnout</w:t>
      </w:r>
      <w:r w:rsidRPr="00E02C60">
        <w:rPr>
          <w:rFonts w:cs="Arial"/>
          <w:sz w:val="16"/>
          <w:szCs w:val="16"/>
        </w:rPr>
        <w:t xml:space="preserve"> provedení jakéhokoliv Pokynu směřujícího k převodu Nástroje, který je </w:t>
      </w:r>
      <w:r w:rsidRPr="00E02C60">
        <w:rPr>
          <w:rFonts w:cs="Arial"/>
          <w:b/>
          <w:sz w:val="16"/>
          <w:szCs w:val="16"/>
        </w:rPr>
        <w:t>zastavený</w:t>
      </w:r>
      <w:r w:rsidRPr="00E02C60">
        <w:rPr>
          <w:rFonts w:cs="Arial"/>
          <w:sz w:val="16"/>
          <w:szCs w:val="16"/>
        </w:rPr>
        <w:t>, s výjimkou případů stanovených právními předpisy či vedoucích k realizaci zástavního práva.</w:t>
      </w:r>
    </w:p>
    <w:p w14:paraId="33F93B00"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97" w:name="_Ref53997922"/>
      <w:r w:rsidRPr="00E02C60">
        <w:rPr>
          <w:rFonts w:cs="Arial"/>
          <w:sz w:val="16"/>
          <w:szCs w:val="16"/>
        </w:rPr>
        <w:t xml:space="preserve">Banka je oprávněna </w:t>
      </w:r>
      <w:r w:rsidRPr="00E02C60">
        <w:rPr>
          <w:rFonts w:cs="Arial"/>
          <w:b/>
          <w:sz w:val="16"/>
          <w:szCs w:val="16"/>
        </w:rPr>
        <w:t>odmítnou</w:t>
      </w:r>
      <w:r w:rsidRPr="00E02C60">
        <w:rPr>
          <w:rFonts w:cs="Arial"/>
          <w:sz w:val="16"/>
          <w:szCs w:val="16"/>
        </w:rPr>
        <w:t xml:space="preserve">t provedení Pokynu týkajícího se Nástrojů, které jsou </w:t>
      </w:r>
      <w:r w:rsidRPr="00E02C60">
        <w:rPr>
          <w:rFonts w:cs="Arial"/>
          <w:b/>
          <w:sz w:val="16"/>
          <w:szCs w:val="16"/>
        </w:rPr>
        <w:t>evidovány na interním bankovním</w:t>
      </w:r>
      <w:r w:rsidRPr="00E02C60">
        <w:rPr>
          <w:rFonts w:cs="Arial"/>
          <w:sz w:val="16"/>
          <w:szCs w:val="16"/>
        </w:rPr>
        <w:t xml:space="preserve"> seznamu Banky jako Nástroje ztracené, odcizené nebo jsou v takovém seznamu označeny jiným způsobem, který znemožňuje Vypořádání obchodu s nimi.</w:t>
      </w:r>
      <w:bookmarkEnd w:id="97"/>
    </w:p>
    <w:p w14:paraId="7B592EC3"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bookmarkStart w:id="98" w:name="_Ref53997925"/>
      <w:r w:rsidRPr="00E02C60">
        <w:rPr>
          <w:rFonts w:cs="Arial"/>
          <w:b/>
          <w:sz w:val="16"/>
          <w:szCs w:val="16"/>
        </w:rPr>
        <w:t xml:space="preserve">Nepřijetí Pokynu. </w:t>
      </w:r>
      <w:r w:rsidRPr="00E02C60">
        <w:rPr>
          <w:rFonts w:cs="Arial"/>
          <w:sz w:val="16"/>
          <w:szCs w:val="16"/>
        </w:rPr>
        <w:t>Banka je oprávněna nepřijmout Pokyn pokud:</w:t>
      </w:r>
      <w:bookmarkEnd w:id="98"/>
    </w:p>
    <w:p w14:paraId="2763DEC9" w14:textId="77777777" w:rsidR="00E02C60" w:rsidRPr="00E02C60" w:rsidRDefault="00E02C60" w:rsidP="006D6C7C">
      <w:pPr>
        <w:pStyle w:val="Nadpis3"/>
        <w:numPr>
          <w:ilvl w:val="2"/>
          <w:numId w:val="20"/>
        </w:numPr>
        <w:tabs>
          <w:tab w:val="left" w:pos="709"/>
        </w:tabs>
        <w:spacing w:after="60"/>
        <w:ind w:hanging="294"/>
        <w:rPr>
          <w:rFonts w:cs="Arial"/>
          <w:sz w:val="16"/>
          <w:szCs w:val="16"/>
        </w:rPr>
      </w:pPr>
      <w:r w:rsidRPr="00E02C60">
        <w:rPr>
          <w:rFonts w:cs="Arial"/>
          <w:sz w:val="16"/>
          <w:szCs w:val="16"/>
        </w:rPr>
        <w:t>neobsahuje veškeré potřebné údaje nebo je jinak neúplný, nesprávný, neurčitý nebo nesrozumitelný nebo o jehož pravosti má Banka opodstatněné pochybnosti;</w:t>
      </w:r>
    </w:p>
    <w:p w14:paraId="3D6686E2" w14:textId="77777777" w:rsidR="00E02C60" w:rsidRPr="00E02C60" w:rsidRDefault="00E02C60" w:rsidP="006D6C7C">
      <w:pPr>
        <w:pStyle w:val="Nadpis3"/>
        <w:numPr>
          <w:ilvl w:val="2"/>
          <w:numId w:val="20"/>
        </w:numPr>
        <w:tabs>
          <w:tab w:val="left" w:pos="709"/>
        </w:tabs>
        <w:spacing w:after="60"/>
        <w:ind w:hanging="294"/>
        <w:rPr>
          <w:rFonts w:cs="Arial"/>
          <w:sz w:val="16"/>
          <w:szCs w:val="16"/>
        </w:rPr>
      </w:pPr>
      <w:r w:rsidRPr="00E02C60">
        <w:rPr>
          <w:rFonts w:cs="Arial"/>
          <w:sz w:val="16"/>
          <w:szCs w:val="16"/>
        </w:rPr>
        <w:t>je Pokyn podán z jiného důvodu v rozporu se Smlouvou;</w:t>
      </w:r>
    </w:p>
    <w:p w14:paraId="215158FB" w14:textId="77777777" w:rsidR="00E02C60" w:rsidRPr="00E02C60" w:rsidRDefault="00E02C60" w:rsidP="006D6C7C">
      <w:pPr>
        <w:pStyle w:val="Nadpis3"/>
        <w:numPr>
          <w:ilvl w:val="2"/>
          <w:numId w:val="20"/>
        </w:numPr>
        <w:tabs>
          <w:tab w:val="left" w:pos="709"/>
        </w:tabs>
        <w:spacing w:after="60"/>
        <w:ind w:hanging="294"/>
        <w:rPr>
          <w:rFonts w:cs="Arial"/>
          <w:sz w:val="16"/>
          <w:szCs w:val="16"/>
        </w:rPr>
      </w:pPr>
      <w:r w:rsidRPr="00E02C60">
        <w:rPr>
          <w:rFonts w:cs="Arial"/>
          <w:sz w:val="16"/>
          <w:szCs w:val="16"/>
        </w:rPr>
        <w:t>dojde k poruše na komunikačních kanálech mezi Bankou a osobami podílejícími se na provedení Obchodu;</w:t>
      </w:r>
    </w:p>
    <w:p w14:paraId="48CF5699" w14:textId="77777777" w:rsidR="00E02C60" w:rsidRPr="00E02C60" w:rsidRDefault="00E02C60" w:rsidP="006D6C7C">
      <w:pPr>
        <w:pStyle w:val="Nadpis3"/>
        <w:numPr>
          <w:ilvl w:val="2"/>
          <w:numId w:val="20"/>
        </w:numPr>
        <w:tabs>
          <w:tab w:val="left" w:pos="709"/>
        </w:tabs>
        <w:spacing w:after="60"/>
        <w:ind w:hanging="294"/>
        <w:rPr>
          <w:rFonts w:cs="Arial"/>
          <w:sz w:val="16"/>
          <w:szCs w:val="16"/>
        </w:rPr>
      </w:pPr>
      <w:bookmarkStart w:id="99" w:name="_Hlk66780428"/>
      <w:r w:rsidRPr="00E02C60">
        <w:rPr>
          <w:rFonts w:cs="Arial"/>
          <w:sz w:val="16"/>
          <w:szCs w:val="16"/>
        </w:rPr>
        <w:t>Klient nevyplnil příslušný Dotazník investora a výslovně neodmítnul jeho vyplnění; Banka je oprávněna nepřijmout Pokyn daný jí ústně prostřednictvím telefonu, pokud Klient odmítnul vyplnění Dotazníku investora;</w:t>
      </w:r>
    </w:p>
    <w:bookmarkEnd w:id="99"/>
    <w:p w14:paraId="5539F503" w14:textId="77777777" w:rsidR="00E02C60" w:rsidRPr="00E02C60" w:rsidRDefault="00E02C60" w:rsidP="006D6C7C">
      <w:pPr>
        <w:pStyle w:val="Nadpis3"/>
        <w:numPr>
          <w:ilvl w:val="2"/>
          <w:numId w:val="20"/>
        </w:numPr>
        <w:tabs>
          <w:tab w:val="left" w:pos="709"/>
        </w:tabs>
        <w:spacing w:after="60"/>
        <w:ind w:hanging="294"/>
        <w:rPr>
          <w:rFonts w:cs="Arial"/>
          <w:sz w:val="16"/>
          <w:szCs w:val="16"/>
        </w:rPr>
      </w:pPr>
      <w:r w:rsidRPr="00E02C60">
        <w:rPr>
          <w:rFonts w:cs="Arial"/>
          <w:sz w:val="16"/>
          <w:szCs w:val="16"/>
        </w:rPr>
        <w:t>by přijetí Pokynu znamenalo pro Banku či Správce evidence další právní, daňové, oznamovací (reporting) či jiné povinnosti, které by byly nad rámec běžných povinností Banky jako účastníka Správce evidence či Správce evidence samotného;</w:t>
      </w:r>
    </w:p>
    <w:p w14:paraId="2B794E3B" w14:textId="77777777" w:rsidR="00E02C60" w:rsidRPr="00E02C60" w:rsidRDefault="00E02C60" w:rsidP="006D6C7C">
      <w:pPr>
        <w:pStyle w:val="Nadpis3"/>
        <w:numPr>
          <w:ilvl w:val="2"/>
          <w:numId w:val="20"/>
        </w:numPr>
        <w:tabs>
          <w:tab w:val="left" w:pos="709"/>
        </w:tabs>
        <w:spacing w:after="60"/>
        <w:ind w:hanging="294"/>
        <w:rPr>
          <w:rFonts w:cs="Arial"/>
          <w:sz w:val="16"/>
          <w:szCs w:val="16"/>
        </w:rPr>
      </w:pPr>
      <w:r w:rsidRPr="00E02C60">
        <w:rPr>
          <w:rFonts w:cs="Arial"/>
          <w:sz w:val="16"/>
          <w:szCs w:val="16"/>
        </w:rPr>
        <w:t>by Banka nebyla schopna provést Pokyn z operačních, technických či personálních důvodů;</w:t>
      </w:r>
    </w:p>
    <w:p w14:paraId="67BAF49D" w14:textId="77777777" w:rsidR="00E02C60" w:rsidRPr="00E02C60" w:rsidRDefault="00E02C60" w:rsidP="006D6C7C">
      <w:pPr>
        <w:pStyle w:val="Nadpis3"/>
        <w:numPr>
          <w:ilvl w:val="2"/>
          <w:numId w:val="20"/>
        </w:numPr>
        <w:tabs>
          <w:tab w:val="left" w:pos="709"/>
        </w:tabs>
        <w:spacing w:after="60"/>
        <w:ind w:hanging="294"/>
        <w:rPr>
          <w:rFonts w:cs="Arial"/>
          <w:sz w:val="16"/>
          <w:szCs w:val="16"/>
        </w:rPr>
      </w:pPr>
      <w:bookmarkStart w:id="100" w:name="_Hlk66780444"/>
      <w:r w:rsidRPr="00E02C60">
        <w:rPr>
          <w:rFonts w:cs="Arial"/>
          <w:sz w:val="16"/>
          <w:szCs w:val="16"/>
        </w:rPr>
        <w:t>by jeho přijetí bylo v rozporu s právními předpisy, statutem příslušného investičního či jiného fondu, obchodní politikou Banky, SG nebo finanční skupiny SG;</w:t>
      </w:r>
    </w:p>
    <w:p w14:paraId="0A471A4F" w14:textId="77777777" w:rsidR="00E02C60" w:rsidRPr="00E02C60" w:rsidRDefault="00E02C60" w:rsidP="006D6C7C">
      <w:pPr>
        <w:pStyle w:val="Nadpis3"/>
        <w:numPr>
          <w:ilvl w:val="2"/>
          <w:numId w:val="20"/>
        </w:numPr>
        <w:tabs>
          <w:tab w:val="left" w:pos="709"/>
        </w:tabs>
        <w:ind w:hanging="294"/>
        <w:rPr>
          <w:rFonts w:cs="Arial"/>
          <w:sz w:val="16"/>
          <w:szCs w:val="16"/>
        </w:rPr>
      </w:pPr>
      <w:r w:rsidRPr="00E02C60">
        <w:rPr>
          <w:rFonts w:cs="Arial"/>
          <w:sz w:val="16"/>
          <w:szCs w:val="16"/>
        </w:rPr>
        <w:t>by se Pokyn týkal Nástroje, který je předmětem Sankcí nebo na který Sankce jinak, byť nepřímo, doléhají.</w:t>
      </w:r>
    </w:p>
    <w:p w14:paraId="64C8F20F" w14:textId="77777777" w:rsidR="00E02C60" w:rsidRPr="00E02C60" w:rsidRDefault="00E02C60" w:rsidP="006D6C7C">
      <w:pPr>
        <w:pStyle w:val="Nadpis2"/>
        <w:numPr>
          <w:ilvl w:val="1"/>
          <w:numId w:val="13"/>
        </w:numPr>
        <w:tabs>
          <w:tab w:val="num" w:pos="425"/>
        </w:tabs>
        <w:ind w:left="425" w:hanging="425"/>
        <w:rPr>
          <w:rFonts w:cs="Arial"/>
          <w:sz w:val="16"/>
          <w:szCs w:val="16"/>
        </w:rPr>
      </w:pPr>
      <w:bookmarkStart w:id="101" w:name="_Hlk91670364"/>
      <w:bookmarkEnd w:id="100"/>
      <w:r w:rsidRPr="00E02C60">
        <w:rPr>
          <w:rFonts w:cs="Arial"/>
          <w:sz w:val="16"/>
          <w:szCs w:val="16"/>
        </w:rPr>
        <w:t xml:space="preserve">Pokud </w:t>
      </w:r>
      <w:bookmarkStart w:id="102" w:name="_Hlk91539190"/>
      <w:r w:rsidRPr="00E02C60">
        <w:rPr>
          <w:rFonts w:cs="Arial"/>
          <w:sz w:val="16"/>
          <w:szCs w:val="16"/>
        </w:rPr>
        <w:t xml:space="preserve">Klient Bance neposkytne či odmítne poskytnout dostatečnou součinnost, dokumenty nebo informace v rozsahu stanoveném Bankou nebo z jiného důvodu nelze provést identifikaci a kontrolu Klienta, v důsledku čehož Banka nemůže vůči Klientovi uplatnit řádně a v plném rozsahu </w:t>
      </w:r>
      <w:bookmarkStart w:id="103" w:name="_Hlk91535894"/>
      <w:r w:rsidRPr="00E02C60">
        <w:rPr>
          <w:rFonts w:cs="Arial"/>
          <w:sz w:val="16"/>
          <w:szCs w:val="16"/>
        </w:rPr>
        <w:t>příslušná opatření proti legalizaci výnosů z trestné činnosti a financování terorismu vyplývající z právních a vnitřních předpis</w:t>
      </w:r>
      <w:bookmarkEnd w:id="103"/>
      <w:r w:rsidRPr="00E02C60">
        <w:rPr>
          <w:rFonts w:cs="Arial"/>
          <w:sz w:val="16"/>
          <w:szCs w:val="16"/>
        </w:rPr>
        <w:t>ů</w:t>
      </w:r>
      <w:bookmarkEnd w:id="102"/>
      <w:r w:rsidRPr="00E02C60">
        <w:rPr>
          <w:rStyle w:val="Znakapoznpodarou"/>
          <w:rFonts w:cs="Arial"/>
          <w:sz w:val="16"/>
          <w:szCs w:val="16"/>
        </w:rPr>
        <w:footnoteReference w:id="3"/>
      </w:r>
      <w:r w:rsidRPr="00E02C60">
        <w:rPr>
          <w:rFonts w:cs="Arial"/>
          <w:sz w:val="16"/>
          <w:szCs w:val="16"/>
        </w:rPr>
        <w:t>, je Banka oprávněna nepřijmout, odmítnout nebo pozastavit provedení jakéhokoliv Pokynu směřujícího k obstarání koupě Cenného papíru, účasti v primární aukci při vydávání Cenného papíru, k výběru Hotovosti z Podúčtu hotovosti, převodu či přechodu Cenného papíru na Podúčet cenných papírů, uplatnění práv (dle odst. 5.22.5), zápisu nebo změně zástavního práva nebo PPN k Cennému papíru nebo jakéhokoliv jiného obdobného pokynu.</w:t>
      </w:r>
      <w:bookmarkEnd w:id="101"/>
    </w:p>
    <w:p w14:paraId="0BFB0D7B"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Banka </w:t>
      </w:r>
      <w:r w:rsidRPr="00E02C60">
        <w:rPr>
          <w:rFonts w:cs="Arial"/>
          <w:b/>
          <w:sz w:val="16"/>
          <w:szCs w:val="16"/>
        </w:rPr>
        <w:t>oznámí Klientovi nepřijetí nebo odmítnutí</w:t>
      </w:r>
      <w:r w:rsidRPr="00E02C60">
        <w:rPr>
          <w:rFonts w:cs="Arial"/>
          <w:sz w:val="16"/>
          <w:szCs w:val="16"/>
        </w:rPr>
        <w:t xml:space="preserve"> Pokynu způsobem, jakým byl Pokyn Bance podán nebo písemně, a to bez zbytečného odkladu po obdržení Pokynu Bankou.</w:t>
      </w:r>
    </w:p>
    <w:p w14:paraId="3940EDF8"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104" w:name="_Ref183689103"/>
      <w:r w:rsidRPr="00E02C60">
        <w:rPr>
          <w:rFonts w:cs="Arial"/>
          <w:b/>
          <w:sz w:val="16"/>
          <w:szCs w:val="16"/>
        </w:rPr>
        <w:t xml:space="preserve">Informace o stavu Pokynu. </w:t>
      </w:r>
      <w:r w:rsidRPr="00E02C60">
        <w:rPr>
          <w:rFonts w:cs="Arial"/>
          <w:sz w:val="16"/>
          <w:szCs w:val="16"/>
        </w:rPr>
        <w:t>Banka je povinna informovat Klienta o provedení Pokynu nejpozději následující Obchodní den po provedení Obchodního pokynu anebo, pokud Banka dostává potvrzení o provedení Obchodního pokynu od třetí strany, nejpozději první Obchodní den po obdržení potvrzení od této třetí strany, a to prostřednictvím Reportu nebo Online Portfolia.</w:t>
      </w:r>
      <w:bookmarkEnd w:id="104"/>
    </w:p>
    <w:p w14:paraId="0AF6051C" w14:textId="0F57CB8D" w:rsidR="00E02C60" w:rsidRPr="00E02C60" w:rsidRDefault="00E02C60" w:rsidP="006D6C7C">
      <w:pPr>
        <w:pStyle w:val="Nadpis2"/>
        <w:numPr>
          <w:ilvl w:val="1"/>
          <w:numId w:val="13"/>
        </w:numPr>
        <w:tabs>
          <w:tab w:val="num" w:pos="425"/>
        </w:tabs>
        <w:ind w:left="426" w:hanging="426"/>
        <w:rPr>
          <w:rFonts w:cs="Arial"/>
          <w:sz w:val="16"/>
          <w:szCs w:val="16"/>
        </w:rPr>
      </w:pPr>
      <w:bookmarkStart w:id="105" w:name="_Hlk91670693"/>
      <w:r w:rsidRPr="00E02C60">
        <w:rPr>
          <w:rFonts w:cs="Arial"/>
          <w:sz w:val="16"/>
          <w:szCs w:val="16"/>
        </w:rPr>
        <w:t xml:space="preserve">V případě potíží se zpracováním Obchodního pokynu Banka Klienta informuje bez zbytečného odkladu poté, co se o potížích dozví, a to způsobem uvedeným v odstavci </w:t>
      </w:r>
      <w:bookmarkEnd w:id="105"/>
      <w:r w:rsidRPr="00E02C60">
        <w:rPr>
          <w:rFonts w:cs="Arial"/>
          <w:sz w:val="16"/>
          <w:szCs w:val="16"/>
        </w:rPr>
        <w:fldChar w:fldCharType="begin"/>
      </w:r>
      <w:r w:rsidRPr="00E02C60">
        <w:rPr>
          <w:rFonts w:cs="Arial"/>
          <w:sz w:val="16"/>
          <w:szCs w:val="16"/>
        </w:rPr>
        <w:instrText xml:space="preserve"> REF _Ref183689103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2.43</w:t>
      </w:r>
      <w:r w:rsidRPr="00E02C60">
        <w:rPr>
          <w:rFonts w:cs="Arial"/>
          <w:sz w:val="16"/>
          <w:szCs w:val="16"/>
        </w:rPr>
        <w:fldChar w:fldCharType="end"/>
      </w:r>
      <w:r w:rsidRPr="00E02C60">
        <w:rPr>
          <w:rFonts w:cs="Arial"/>
          <w:sz w:val="16"/>
          <w:szCs w:val="16"/>
        </w:rPr>
        <w:t>.</w:t>
      </w:r>
    </w:p>
    <w:p w14:paraId="1B2EB7A0"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Na žádost Klienta bude Banka bez zbytečného </w:t>
      </w:r>
      <w:r w:rsidRPr="00E02C60">
        <w:rPr>
          <w:rFonts w:cs="Arial"/>
          <w:b/>
          <w:sz w:val="16"/>
          <w:szCs w:val="16"/>
        </w:rPr>
        <w:t>odkladu informovat Klienta o stavu neprovedeného Pokynu</w:t>
      </w:r>
      <w:r w:rsidRPr="00E02C60">
        <w:rPr>
          <w:rFonts w:cs="Arial"/>
          <w:sz w:val="16"/>
          <w:szCs w:val="16"/>
        </w:rPr>
        <w:t>.</w:t>
      </w:r>
    </w:p>
    <w:p w14:paraId="6A472E4B" w14:textId="77777777" w:rsidR="00E02C60" w:rsidRPr="00E02C60" w:rsidRDefault="00E02C60" w:rsidP="006D6C7C">
      <w:pPr>
        <w:pStyle w:val="Nadpis1"/>
        <w:numPr>
          <w:ilvl w:val="0"/>
          <w:numId w:val="13"/>
        </w:numPr>
        <w:tabs>
          <w:tab w:val="num" w:pos="425"/>
        </w:tabs>
        <w:ind w:left="425" w:hanging="425"/>
        <w:rPr>
          <w:rFonts w:cs="Arial"/>
          <w:sz w:val="16"/>
          <w:szCs w:val="16"/>
        </w:rPr>
      </w:pPr>
      <w:r w:rsidRPr="00E02C60">
        <w:rPr>
          <w:rFonts w:cs="Arial"/>
          <w:sz w:val="16"/>
          <w:szCs w:val="16"/>
        </w:rPr>
        <w:t>Portfoliový účet a vypořádání obchodů</w:t>
      </w:r>
    </w:p>
    <w:p w14:paraId="47C7E3CA"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b/>
          <w:sz w:val="16"/>
          <w:szCs w:val="16"/>
        </w:rPr>
        <w:t>Portfoliový účet.</w:t>
      </w:r>
      <w:r w:rsidRPr="00E02C60">
        <w:rPr>
          <w:rFonts w:cs="Arial"/>
          <w:sz w:val="16"/>
          <w:szCs w:val="16"/>
        </w:rPr>
        <w:t xml:space="preserve"> Banka zřídí a povede pro Klienta Portfoliový účet, a to na jméno Klienta. Klient se zavazuje poskytnout Bance všechny nezbytné informace pro jeho založení. Klient je povinen udržovat na Portfoliovém účtu peněžní prostředky nezbytné pro úhradu poplatků.</w:t>
      </w:r>
    </w:p>
    <w:p w14:paraId="5A7A8F7A"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b/>
          <w:sz w:val="16"/>
          <w:szCs w:val="16"/>
        </w:rPr>
        <w:lastRenderedPageBreak/>
        <w:t>Podúčet hotovosti</w:t>
      </w:r>
      <w:r w:rsidRPr="00E02C60">
        <w:rPr>
          <w:rFonts w:cs="Arial"/>
          <w:sz w:val="16"/>
          <w:szCs w:val="16"/>
        </w:rPr>
        <w:t xml:space="preserve"> neslouží k provádění běžného platebního styku Klienta.</w:t>
      </w:r>
    </w:p>
    <w:p w14:paraId="2ADF2605"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 xml:space="preserve">Klient vkládá peněžní prostředky na Podúčet hotovosti formou bankovního převodu, a to na účty uvedené v Kontaktních údajích Banky, nebo složením hotovosti, a to na účty, které Banka sdělí Klientovi ve svém obchodním místě, přičemž v příslušném platebním příkazu Klient vždy uvede symbol (identifikátor) uvedený v Kontaktních údajích Klienta. </w:t>
      </w:r>
    </w:p>
    <w:p w14:paraId="4DC25A78"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Peněžní prostředky vložené Klientem budou na Podúčet hotovosti připsány k datu jejich připsání na účet Banky.</w:t>
      </w:r>
    </w:p>
    <w:p w14:paraId="34158077"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Klient může nakládat s peněžními prostředky počínaje okamžikem jejich připsání na Podúčet hotovosti, pokud Smlouva nestanoví jinak.</w:t>
      </w:r>
    </w:p>
    <w:p w14:paraId="37EE2B06"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Klient může převést peněžní prostředky z Podúčtu hotovosti pouze na Peněžní účet, který je uveden v Kontaktních údajích Klienta v okamžiku zaúčtování tohoto převodu Bankou.</w:t>
      </w:r>
    </w:p>
    <w:p w14:paraId="46F55E32"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Pokud zůstatek Hotovosti nedosahuje výše Dluhů, je Klient povinen doplnit Hotovost o částku postačující ke krytí Dluhů. Klient může písemně udělit Bance za účelem plnění Smlouvy právo inkasa peněžních prostředků z Peněžního účtu, pokud Banka v dané měně může inkaso akceptovat. Na základě inkasa Banka bude oprávněna sama převádět peněžní prostředky z Peněžního účtu ve prospěch Bankou zvoleného účtu, a to na základě uděleného Pokynu, a to v částce uvedené v Pokynu a bez ohledu na případné jiné příkazy k nakládání s peněžními prostředky na Peněžním účtu podané Klientem nebo jinými osobami oprávněnými nakládat s peněžními prostředky na Peněžním účtu. Inkaso je možné udělit Bance pouze písemně prostřednictvím formuláře Banky. Banka není povinna informovat Klienta o provedení inkasa podle tohoto odstavce.</w:t>
      </w:r>
    </w:p>
    <w:p w14:paraId="4E2B75E9"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106" w:name="_Hlk91670907"/>
      <w:r w:rsidRPr="00E02C60">
        <w:rPr>
          <w:rFonts w:cs="Arial"/>
          <w:sz w:val="16"/>
          <w:szCs w:val="16"/>
        </w:rPr>
        <w:t>Zůstatky Hotovosti budou úročeny příslušnou úrokovou sazbou vyhlašovanou Bankou pro běžné účty pro občany vedené v Kč nebo pro běžné účty vedené v cizí měně prostřednictvím Oznámení o úrokových sazbách, pokud si strany Smlouvy nesjednají jinou výši, a to ve standardu dle obchodních zvyklostí pro danou měnu, přičemž úroky budou připisovány na Portfoliový účet k poslednímu dni kalendářního měsíce. Případný debetní zůstatek na Portfoliovém účtu vzniklý v důsledku zúčtování dluhů Klienta vůči Bance v souvislosti se Smlouvou bude úročen sazbou vyhlašovanou Bankou pro nepovolený debet na příslušném běžném účtu.</w:t>
      </w:r>
    </w:p>
    <w:bookmarkEnd w:id="106"/>
    <w:p w14:paraId="74574C00"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Hotovost bude připsána na Portfoliový účet v den, kdy bude Bance umožněno s Hotovostí nakládat. Nástroje budou připsány na Portfoliový účet v den, kdy Banka získá k Nástrojům přístup, nebo bezprostředně následující Obchodní den. Klient je oprávněn nakládat s Hotovostí nebo Nástroji počínaje dnem jejich připsání na Portfoliový účet.</w:t>
      </w:r>
    </w:p>
    <w:p w14:paraId="540B8C77"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Klient souhlasí, že Banka je oprávněna provést bez dalšího předchozího oznámení úhradu dluhů Klienta vůči Bance vzniklých v souvislosti se Smlouvou z peněžních prostředků evidovaných na Podúčtu hotovosti, nebo provést úhradu svého dluhu vůči Klientovi vzniklého v souvislosti se Smlouvou připsáním dlužné částky na Podúčet hotovosti. Není-li na Podúčtu hotovosti dostatek peněžních prostředků, Banka je oprávněna provést úhradu této dlužné částky z jiných účtů Klienta vedených Bankou, a to bez dalšího souhlasu Klienta. Pro přepočet bude použit kurz zjištěný způsobem uvedeným ve Všeobecných podmínkách. Klient souhlasí, že Banka je oprávněna provést úhradu dluhů Klienta vůči Bance podle první věty tohoto odstavce i v případě, že v důsledku zúčtování těchto </w:t>
      </w:r>
      <w:r w:rsidRPr="00E02C60">
        <w:rPr>
          <w:rFonts w:cs="Arial"/>
          <w:sz w:val="16"/>
          <w:szCs w:val="16"/>
        </w:rPr>
        <w:t>dluhů bude zůstatek na Podúčtu hotovosti vykazovat debetní zůstatek.</w:t>
      </w:r>
    </w:p>
    <w:p w14:paraId="5A18A3CB"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 xml:space="preserve">Banka není oprávněna využívat Nástroje vedené na Podúčtu cenných papírů k </w:t>
      </w:r>
      <w:r w:rsidRPr="00E02C60">
        <w:rPr>
          <w:rFonts w:cs="Arial"/>
          <w:b/>
          <w:sz w:val="16"/>
          <w:szCs w:val="16"/>
        </w:rPr>
        <w:t>obchodům na vlastní účet.</w:t>
      </w:r>
    </w:p>
    <w:p w14:paraId="7E509888"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 xml:space="preserve">Banka bude zasílat Klientovi </w:t>
      </w:r>
      <w:r w:rsidRPr="00E02C60">
        <w:rPr>
          <w:rFonts w:cs="Arial"/>
          <w:b/>
          <w:sz w:val="16"/>
          <w:szCs w:val="16"/>
        </w:rPr>
        <w:t>výpis stavu</w:t>
      </w:r>
      <w:r w:rsidRPr="00E02C60">
        <w:rPr>
          <w:rFonts w:cs="Arial"/>
          <w:sz w:val="16"/>
          <w:szCs w:val="16"/>
        </w:rPr>
        <w:t xml:space="preserve"> Portfoliového účtu obsahující informace o stavech a pohybech na Podúčtu hotovosti a Podúčtu cenných papírů, a to formou a s četností, které si Klient zvolí v Kontaktních údajích Klienta. Banka bude zasílat Klientovi </w:t>
      </w:r>
      <w:r w:rsidRPr="00E02C60">
        <w:rPr>
          <w:rFonts w:cs="Arial"/>
          <w:b/>
          <w:sz w:val="16"/>
          <w:szCs w:val="16"/>
        </w:rPr>
        <w:t>roční výpis nákladů</w:t>
      </w:r>
      <w:r w:rsidRPr="00E02C60">
        <w:rPr>
          <w:rFonts w:cs="Arial"/>
          <w:sz w:val="16"/>
          <w:szCs w:val="16"/>
        </w:rPr>
        <w:t xml:space="preserve"> formou, kterou si Klient zvolí v Kontaktních údajích Klienta </w:t>
      </w:r>
      <w:bookmarkStart w:id="107" w:name="_Hlk71288078"/>
      <w:r w:rsidRPr="00E02C60">
        <w:rPr>
          <w:rFonts w:cs="Arial"/>
          <w:sz w:val="16"/>
          <w:szCs w:val="16"/>
        </w:rPr>
        <w:t>(výpis stavu Portfoliového účtu a roční výpis nákladů dále jen „</w:t>
      </w:r>
      <w:r w:rsidRPr="00E02C60">
        <w:rPr>
          <w:rFonts w:cs="Arial"/>
          <w:b/>
          <w:bCs/>
          <w:sz w:val="16"/>
          <w:szCs w:val="16"/>
        </w:rPr>
        <w:t>Výpisy</w:t>
      </w:r>
      <w:r w:rsidRPr="00E02C60">
        <w:rPr>
          <w:rFonts w:cs="Arial"/>
          <w:sz w:val="16"/>
          <w:szCs w:val="16"/>
        </w:rPr>
        <w:t>“)</w:t>
      </w:r>
      <w:bookmarkEnd w:id="107"/>
      <w:r w:rsidRPr="00E02C60">
        <w:rPr>
          <w:rFonts w:cs="Arial"/>
          <w:sz w:val="16"/>
          <w:szCs w:val="16"/>
        </w:rPr>
        <w:t>.</w:t>
      </w:r>
    </w:p>
    <w:p w14:paraId="74F887EC" w14:textId="77777777" w:rsidR="00E02C60" w:rsidRPr="00E02C60" w:rsidRDefault="00E02C60" w:rsidP="006D6C7C">
      <w:pPr>
        <w:pStyle w:val="Nadpis2"/>
        <w:numPr>
          <w:ilvl w:val="1"/>
          <w:numId w:val="13"/>
        </w:numPr>
        <w:tabs>
          <w:tab w:val="num" w:pos="425"/>
        </w:tabs>
        <w:ind w:left="425" w:hanging="425"/>
        <w:rPr>
          <w:rFonts w:cs="Arial"/>
          <w:sz w:val="16"/>
          <w:szCs w:val="16"/>
        </w:rPr>
      </w:pPr>
      <w:bookmarkStart w:id="108" w:name="_Ref400959406"/>
      <w:r w:rsidRPr="00E02C60">
        <w:rPr>
          <w:rFonts w:cs="Arial"/>
          <w:sz w:val="16"/>
          <w:szCs w:val="16"/>
        </w:rPr>
        <w:t xml:space="preserve">Informace o uzavření Obchodu, </w:t>
      </w:r>
      <w:bookmarkStart w:id="109" w:name="_Hlk66780576"/>
      <w:r w:rsidRPr="00E02C60">
        <w:rPr>
          <w:rFonts w:cs="Arial"/>
          <w:sz w:val="16"/>
          <w:szCs w:val="16"/>
        </w:rPr>
        <w:t>o vypořádání převodu či přechodu</w:t>
      </w:r>
      <w:bookmarkEnd w:id="109"/>
      <w:r w:rsidRPr="00E02C60">
        <w:rPr>
          <w:rFonts w:cs="Arial"/>
          <w:sz w:val="16"/>
          <w:szCs w:val="16"/>
        </w:rPr>
        <w:t>, kapitálové události, oznámení o vkladu či výběru peněžních prostředků a obdobné informace (dále jen „</w:t>
      </w:r>
      <w:r w:rsidRPr="00E02C60">
        <w:rPr>
          <w:rFonts w:cs="Arial"/>
          <w:b/>
          <w:sz w:val="16"/>
          <w:szCs w:val="16"/>
        </w:rPr>
        <w:t>Report</w:t>
      </w:r>
      <w:r w:rsidRPr="00E02C60">
        <w:rPr>
          <w:rFonts w:cs="Arial"/>
          <w:sz w:val="16"/>
          <w:szCs w:val="16"/>
        </w:rPr>
        <w:t>“) bude Banka zasílat Klientovi bez zbytečného odkladu nejpozději do druhého Obchodního dne.</w:t>
      </w:r>
      <w:bookmarkEnd w:id="108"/>
      <w:r w:rsidRPr="00E02C60">
        <w:rPr>
          <w:rFonts w:cs="Arial"/>
          <w:sz w:val="16"/>
          <w:szCs w:val="16"/>
        </w:rPr>
        <w:t xml:space="preserve"> Některé Reporty, např. o vypořádání převodu či přechodu, avízo kapitálové události, oznámení o vkladu či výběru peněžních prostředků, informace o zpoždění vypořádání Obchodu, Banka nezasílá poštou.</w:t>
      </w:r>
    </w:p>
    <w:p w14:paraId="7D8365F0" w14:textId="50466E36" w:rsidR="00E02C60" w:rsidRPr="00E02C60" w:rsidRDefault="00E02C60" w:rsidP="006D6C7C">
      <w:pPr>
        <w:pStyle w:val="Nadpis2"/>
        <w:numPr>
          <w:ilvl w:val="1"/>
          <w:numId w:val="13"/>
        </w:numPr>
        <w:tabs>
          <w:tab w:val="num" w:pos="425"/>
        </w:tabs>
        <w:spacing w:after="60"/>
        <w:ind w:left="425" w:hanging="425"/>
        <w:rPr>
          <w:rFonts w:cs="Arial"/>
          <w:sz w:val="16"/>
          <w:szCs w:val="16"/>
        </w:rPr>
      </w:pPr>
      <w:bookmarkStart w:id="110" w:name="_Ref401304491"/>
      <w:r w:rsidRPr="00E02C60">
        <w:rPr>
          <w:rFonts w:cs="Arial"/>
          <w:sz w:val="16"/>
          <w:szCs w:val="16"/>
        </w:rPr>
        <w:t xml:space="preserve">Elektronický klient i Klient, který Bance pro účely zasílání Reportů dle odst. </w:t>
      </w:r>
      <w:r w:rsidRPr="00E02C60">
        <w:rPr>
          <w:rFonts w:cs="Arial"/>
          <w:sz w:val="16"/>
          <w:szCs w:val="16"/>
        </w:rPr>
        <w:fldChar w:fldCharType="begin"/>
      </w:r>
      <w:r w:rsidRPr="00E02C60">
        <w:rPr>
          <w:rFonts w:cs="Arial"/>
          <w:sz w:val="16"/>
          <w:szCs w:val="16"/>
        </w:rPr>
        <w:instrText xml:space="preserve"> REF _Ref400959406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3.13</w:t>
      </w:r>
      <w:r w:rsidRPr="00E02C60">
        <w:rPr>
          <w:rFonts w:cs="Arial"/>
          <w:sz w:val="16"/>
          <w:szCs w:val="16"/>
        </w:rPr>
        <w:fldChar w:fldCharType="end"/>
      </w:r>
      <w:r w:rsidRPr="00E02C60">
        <w:rPr>
          <w:rFonts w:cs="Arial"/>
          <w:sz w:val="16"/>
          <w:szCs w:val="16"/>
        </w:rPr>
        <w:t xml:space="preserve"> či za jiným účelem sdělil e-mail, bere na vědomí, že v případě, že mu Banka bude zasílat prostřednictvím elektronické pošty informace vztahující se ke Smlouvě:</w:t>
      </w:r>
      <w:bookmarkEnd w:id="110"/>
    </w:p>
    <w:p w14:paraId="34EA961C"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sz w:val="16"/>
          <w:szCs w:val="16"/>
        </w:rPr>
        <w:t>obsah a přílohy elektronické pošty nejsou kryptovány, ani jinak zabezpečeny a z tohoto důvodu mohou být zachyceny, poškozeny, ztraceny, zničeny, přijaty nekompletní nebo se zpožděním. Klient bere na vědomí, že Banka nenese žádnou odpovědnost za chyby, zásahy či jakékoliv jiné zneužití obsahu nebo příloh elektronické pošty vzniklé v průběhu nebo jako důsledek jejího přenosu. V případě pochybností o pravosti nebo úplnosti obsahu nebo přílohy obdržené elektronické pošty je Klient povinen bez odkladu kontaktovat Banku;</w:t>
      </w:r>
    </w:p>
    <w:p w14:paraId="268D75A2"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sz w:val="16"/>
          <w:szCs w:val="16"/>
        </w:rPr>
        <w:t>prostřednictvím elektronické pošty může dojít k přenosu počítačových virů či jiných programů způsobilých narušit bezpečnost počítačů (dále jen „</w:t>
      </w:r>
      <w:r w:rsidRPr="00E02C60">
        <w:rPr>
          <w:rFonts w:cs="Arial"/>
          <w:b/>
          <w:sz w:val="16"/>
          <w:szCs w:val="16"/>
        </w:rPr>
        <w:t>Viry</w:t>
      </w:r>
      <w:r w:rsidRPr="00E02C60">
        <w:rPr>
          <w:rFonts w:cs="Arial"/>
          <w:sz w:val="16"/>
          <w:szCs w:val="16"/>
        </w:rPr>
        <w:t>“). Klient je povinen provádět ohledně elektronické pošty a jejích příloh kontrolu na přítomnost Virů. Přestože Banka podnikla nezbytné kroky k ochraně elektronické pošty před Viry, Banka neodpovídá za žádnou škodu vzniklou Klientovi v důsledku Virů přenesených prostřednictvím elektronické pošty;</w:t>
      </w:r>
    </w:p>
    <w:p w14:paraId="1BE689F1"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sz w:val="16"/>
          <w:szCs w:val="16"/>
        </w:rPr>
        <w:t>je povinen bez zbytečného odkladu písemně informovat Banku o změně Kontaktní e-mailové adresy. Report zaslaný prostřednictvím elektronické pošty na Kontaktní e-mailovou adresu se považuje za doručený okamžikem oznámení o jeho přijetí serverem příjemce. Jestliže elektronická pošta nebyla doručena na server příjemce z důvodu chyby, kterou nezpůsobila Banka, má se Report za doručený odesláním ze serveru Banky.</w:t>
      </w:r>
    </w:p>
    <w:p w14:paraId="76469DF7"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v případě poruchy, výpadku nebo jiné závady znemožňující zaslání Reportu elektronickou poštou, je Banka oprávněna zasílat Reporty poštou, nedohodne-li se Banka s Klientem jinak.</w:t>
      </w:r>
    </w:p>
    <w:p w14:paraId="0E270E82"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Banka si vyhrazuje právo sdělovat informace o uzavřených Obchodech Klientovi prostřednictvím standardních kódů uvedených na Internetové adrese, Tyto standardní kódy jsou Klientům na požádání předány v listinné formě v obchodním místě Banky.</w:t>
      </w:r>
    </w:p>
    <w:p w14:paraId="0B645BC9" w14:textId="77777777" w:rsidR="00E02C60" w:rsidRPr="00E02C60" w:rsidRDefault="00E02C60" w:rsidP="006D6C7C">
      <w:pPr>
        <w:pStyle w:val="Nadpis2"/>
        <w:numPr>
          <w:ilvl w:val="1"/>
          <w:numId w:val="13"/>
        </w:numPr>
        <w:tabs>
          <w:tab w:val="num" w:pos="425"/>
        </w:tabs>
        <w:ind w:left="425" w:hanging="425"/>
        <w:rPr>
          <w:rFonts w:cs="Arial"/>
          <w:sz w:val="16"/>
          <w:szCs w:val="16"/>
        </w:rPr>
      </w:pPr>
      <w:bookmarkStart w:id="111" w:name="_Ref183235077"/>
      <w:r w:rsidRPr="00E02C60">
        <w:rPr>
          <w:rFonts w:cs="Arial"/>
          <w:b/>
          <w:sz w:val="16"/>
          <w:szCs w:val="16"/>
        </w:rPr>
        <w:lastRenderedPageBreak/>
        <w:t>Vypořádání obchodů.</w:t>
      </w:r>
      <w:r w:rsidRPr="00E02C60">
        <w:rPr>
          <w:rFonts w:cs="Arial"/>
          <w:sz w:val="16"/>
          <w:szCs w:val="16"/>
        </w:rPr>
        <w:t xml:space="preserve"> Banka obstará Vypořádání obchodu prostřednictvím Správce evidence, a to vždy v souladu s pravidly a zvyklostmi příslušného vypořádacího systému, rovněž dle obvyklé nebo zavedené obchodní praxe v dané jurisdikci nebo Převodním místě, na kterém k Vypořádání obchodu dochází. Banka informuje Klienta na jeho žádost o jednotlivých vypořádacích systémech, jejichž je členem a o jejich hlavních pravidlech.</w:t>
      </w:r>
      <w:bookmarkEnd w:id="111"/>
    </w:p>
    <w:p w14:paraId="2421D73B"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112" w:name="_Hlk91671212"/>
      <w:r w:rsidRPr="00E02C60">
        <w:rPr>
          <w:rFonts w:cs="Arial"/>
          <w:sz w:val="16"/>
          <w:szCs w:val="16"/>
        </w:rPr>
        <w:t>V souladu s prováděcími opatřeními k CSDR může dojít k částečnému Vypořádání obchodu s Cennými papíry.</w:t>
      </w:r>
      <w:bookmarkEnd w:id="112"/>
    </w:p>
    <w:p w14:paraId="414AC887"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bookmarkStart w:id="113" w:name="_Ref91583675"/>
      <w:bookmarkStart w:id="114" w:name="_Hlk91671469"/>
      <w:r w:rsidRPr="00E02C60">
        <w:rPr>
          <w:rFonts w:cs="Arial"/>
          <w:b/>
          <w:bCs/>
          <w:sz w:val="16"/>
          <w:szCs w:val="16"/>
        </w:rPr>
        <w:t xml:space="preserve">Selhání vypořádání obchodu. </w:t>
      </w:r>
      <w:r w:rsidRPr="00E02C60">
        <w:rPr>
          <w:rFonts w:cs="Arial"/>
          <w:sz w:val="16"/>
          <w:szCs w:val="16"/>
        </w:rPr>
        <w:t>V případě Selhání vypořádání obchodu Banka:</w:t>
      </w:r>
      <w:bookmarkEnd w:id="113"/>
    </w:p>
    <w:p w14:paraId="6CFBB191" w14:textId="77777777" w:rsidR="00E02C60" w:rsidRPr="00E02C60" w:rsidRDefault="00E02C60" w:rsidP="006D6C7C">
      <w:pPr>
        <w:pStyle w:val="Nadpis3"/>
        <w:numPr>
          <w:ilvl w:val="0"/>
          <w:numId w:val="31"/>
        </w:numPr>
        <w:spacing w:after="60"/>
        <w:ind w:left="709" w:hanging="283"/>
        <w:rPr>
          <w:rFonts w:cs="Arial"/>
          <w:sz w:val="16"/>
          <w:szCs w:val="16"/>
        </w:rPr>
      </w:pPr>
      <w:r w:rsidRPr="00E02C60">
        <w:rPr>
          <w:rFonts w:cs="Arial"/>
          <w:sz w:val="16"/>
          <w:szCs w:val="16"/>
        </w:rPr>
        <w:t>poukáže Peněžitou náhradu na Podúčet hotovosti, pokud Klientovi vzniklo podle platných právních předpisů právo na úhradu Peněžité náhrady v jeho prospěch, nebo</w:t>
      </w:r>
    </w:p>
    <w:p w14:paraId="0ED7EF4E" w14:textId="77777777" w:rsidR="00E02C60" w:rsidRPr="00E02C60" w:rsidRDefault="00E02C60" w:rsidP="006D6C7C">
      <w:pPr>
        <w:pStyle w:val="Nadpis3"/>
        <w:numPr>
          <w:ilvl w:val="0"/>
          <w:numId w:val="31"/>
        </w:numPr>
        <w:spacing w:after="60"/>
        <w:ind w:left="709" w:hanging="283"/>
        <w:rPr>
          <w:rFonts w:cs="Arial"/>
          <w:sz w:val="16"/>
          <w:szCs w:val="16"/>
        </w:rPr>
      </w:pPr>
      <w:r w:rsidRPr="00E02C60">
        <w:rPr>
          <w:rFonts w:cs="Arial"/>
          <w:sz w:val="16"/>
          <w:szCs w:val="16"/>
        </w:rPr>
        <w:t>strhne Peněžitou sankci z Podúčtu hotovosti, pokud Klientovi vznikla podle platných právních předpisů povinnost k náhradě Peněžité sankce ve prospěch Banky,</w:t>
      </w:r>
    </w:p>
    <w:bookmarkEnd w:id="114"/>
    <w:p w14:paraId="0D043EE8" w14:textId="77777777" w:rsidR="00E02C60" w:rsidRPr="00C1629D" w:rsidRDefault="00C1629D" w:rsidP="00E02C60">
      <w:pPr>
        <w:pStyle w:val="Nadpis2"/>
        <w:numPr>
          <w:ilvl w:val="0"/>
          <w:numId w:val="0"/>
        </w:numPr>
        <w:spacing w:after="60"/>
        <w:ind w:left="426"/>
        <w:rPr>
          <w:rFonts w:cs="Arial"/>
          <w:sz w:val="16"/>
          <w:szCs w:val="16"/>
        </w:rPr>
      </w:pPr>
      <w:r w:rsidRPr="00C1629D">
        <w:rPr>
          <w:sz w:val="16"/>
          <w:szCs w:val="16"/>
        </w:rPr>
        <w:t>a to vždy v průběhu kalendářního měsíce následujícího po měsíci, ve kterém k Selhání vypořádání obchodu došlo, případně ve kterém je Banka o Peněžité náhradě nebo Peněžité sankci informována.</w:t>
      </w:r>
    </w:p>
    <w:p w14:paraId="76EE0D44" w14:textId="1F21BC64" w:rsidR="00E02C60" w:rsidRPr="00E02C60" w:rsidRDefault="00E02C60" w:rsidP="006D6C7C">
      <w:pPr>
        <w:pStyle w:val="Nadpis2"/>
        <w:numPr>
          <w:ilvl w:val="1"/>
          <w:numId w:val="13"/>
        </w:numPr>
        <w:tabs>
          <w:tab w:val="num" w:pos="425"/>
        </w:tabs>
        <w:ind w:left="426" w:hanging="426"/>
        <w:rPr>
          <w:rFonts w:cs="Arial"/>
          <w:sz w:val="16"/>
          <w:szCs w:val="16"/>
        </w:rPr>
      </w:pPr>
      <w:bookmarkStart w:id="115" w:name="_Hlk91671649"/>
      <w:r w:rsidRPr="00E02C60">
        <w:rPr>
          <w:rFonts w:cs="Arial"/>
          <w:sz w:val="16"/>
          <w:szCs w:val="16"/>
        </w:rPr>
        <w:t xml:space="preserve">Klient bere na vědomí, že o uplatnění postupu podle článku </w:t>
      </w:r>
      <w:r w:rsidRPr="00E02C60">
        <w:rPr>
          <w:rFonts w:cs="Arial"/>
          <w:sz w:val="16"/>
          <w:szCs w:val="16"/>
        </w:rPr>
        <w:fldChar w:fldCharType="begin"/>
      </w:r>
      <w:r w:rsidRPr="00E02C60">
        <w:rPr>
          <w:rFonts w:cs="Arial"/>
          <w:sz w:val="16"/>
          <w:szCs w:val="16"/>
        </w:rPr>
        <w:instrText xml:space="preserve"> REF _Ref91583675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3.18</w:t>
      </w:r>
      <w:r w:rsidRPr="00E02C60">
        <w:rPr>
          <w:rFonts w:cs="Arial"/>
          <w:sz w:val="16"/>
          <w:szCs w:val="16"/>
        </w:rPr>
        <w:fldChar w:fldCharType="end"/>
      </w:r>
      <w:r w:rsidRPr="00E02C60">
        <w:rPr>
          <w:rFonts w:cs="Arial"/>
          <w:sz w:val="16"/>
          <w:szCs w:val="16"/>
        </w:rPr>
        <w:t xml:space="preserve"> nebude ze strany Banky výslovně informován. Klient si může ověřit ve výpisu stavu Portfoliového účtu, zda došlo postupem uvedeným v článku </w:t>
      </w:r>
      <w:r w:rsidRPr="00E02C60">
        <w:rPr>
          <w:rFonts w:cs="Arial"/>
          <w:sz w:val="16"/>
          <w:szCs w:val="16"/>
        </w:rPr>
        <w:fldChar w:fldCharType="begin"/>
      </w:r>
      <w:r w:rsidRPr="00E02C60">
        <w:rPr>
          <w:rFonts w:cs="Arial"/>
          <w:sz w:val="16"/>
          <w:szCs w:val="16"/>
        </w:rPr>
        <w:instrText xml:space="preserve"> REF _Ref91583675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3.18</w:t>
      </w:r>
      <w:r w:rsidRPr="00E02C60">
        <w:rPr>
          <w:rFonts w:cs="Arial"/>
          <w:sz w:val="16"/>
          <w:szCs w:val="16"/>
        </w:rPr>
        <w:fldChar w:fldCharType="end"/>
      </w:r>
      <w:r w:rsidRPr="00E02C60">
        <w:rPr>
          <w:rFonts w:cs="Arial"/>
          <w:sz w:val="16"/>
          <w:szCs w:val="16"/>
        </w:rPr>
        <w:t xml:space="preserve"> k poukázání či strhnutí peněžních prostředků z Podúčtu hotovosti.</w:t>
      </w:r>
    </w:p>
    <w:p w14:paraId="257FD261" w14:textId="77777777" w:rsidR="00E02C60" w:rsidRPr="00E02C60" w:rsidRDefault="00E02C60" w:rsidP="006D6C7C">
      <w:pPr>
        <w:pStyle w:val="Nadpis1"/>
        <w:numPr>
          <w:ilvl w:val="0"/>
          <w:numId w:val="13"/>
        </w:numPr>
        <w:tabs>
          <w:tab w:val="num" w:pos="425"/>
        </w:tabs>
        <w:ind w:left="431" w:hanging="431"/>
        <w:rPr>
          <w:rFonts w:cs="Arial"/>
          <w:sz w:val="16"/>
          <w:szCs w:val="16"/>
        </w:rPr>
      </w:pPr>
      <w:bookmarkStart w:id="116" w:name="_Ref395096447"/>
      <w:bookmarkEnd w:id="115"/>
      <w:r w:rsidRPr="00E02C60">
        <w:rPr>
          <w:rFonts w:cs="Arial"/>
          <w:sz w:val="16"/>
          <w:szCs w:val="16"/>
        </w:rPr>
        <w:t>Odpovědnost</w:t>
      </w:r>
      <w:bookmarkEnd w:id="116"/>
    </w:p>
    <w:p w14:paraId="33B6A3A3"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odpovídá za škodu, kterou Klientovi způsobila porušením svých povinností vyplývajících ze Smlouvy a ze Všeobecných podmínek, a to v rozsahu a za podmínek stanovených příslušným zákonem.</w:t>
      </w:r>
    </w:p>
    <w:p w14:paraId="00B07A3D"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neodpovídá za škodu vzniklou Klientovi nebo jiným osobám v důsledku porušení povinností, které má Klient podle Smlouvy, Všeobecných podmínek nebo na základě právních předpisů či z jiného důvodu.</w:t>
      </w:r>
    </w:p>
    <w:p w14:paraId="0D4E175B"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není odpovědná za chyby nebo zpoždění vzniklé při elektronické komunikaci od Klienta, nebo pokud se přenos vůbec neuskuteční. Banka rovněž neodpovídá za škodu, k níž došlo v důsledku podání nesprávného či opožděného Pokynu a dále za škodu vzniklou z nevykonání Pokynů, které neobsahují veškeré potřebné údaje nebo jsou jinak neúplné, nesprávné, neurčité nebo nesrozumitelné nebo o jejichž pravosti má Banka opodstatněné pochybnosti. Banka není odpovědná za škodu v případě zneužití oprávnění jednat za Klienta vůči Bance, pokud toto zneužití nebylo zcela zřejmé, a dále není odpovědná za škody vzniklé změněnými či padělanými dokumenty v případě, že postupovala s odbornou péčí.</w:t>
      </w:r>
    </w:p>
    <w:p w14:paraId="07E2C372"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neodpovídá za jednání, opominutí, nesplnění nebo platební neschopnost Správce evidence, které vznikly jinak než v důsledku zavinění Banky. Dále Banka neodpovídá za jednání či opominutí, nesplnění povinností či úpadek jakéhokoliv obchodníka s cennými papíry, protistrany a emitenta Nástrojů. Tím není dotčena povinnost Banky postupovat s odbornou péčí při výběru třetích osob, které použije ke splnění svých povinností.</w:t>
      </w:r>
    </w:p>
    <w:p w14:paraId="2170B309"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r w:rsidRPr="00E02C60">
        <w:rPr>
          <w:rFonts w:cs="Arial"/>
          <w:sz w:val="16"/>
          <w:szCs w:val="16"/>
        </w:rPr>
        <w:t xml:space="preserve">Banka neodpovídá Klientovi za žádné ztráty, škody, nesprávné plnění nebo neplnění svých povinností (tj. např. </w:t>
      </w:r>
      <w:r w:rsidRPr="00E02C60">
        <w:rPr>
          <w:rFonts w:cs="Arial"/>
          <w:sz w:val="16"/>
          <w:szCs w:val="16"/>
        </w:rPr>
        <w:t>nepředání, prodlení s předáním či chyby v přenosu Pokynu):</w:t>
      </w:r>
    </w:p>
    <w:p w14:paraId="7B912E74" w14:textId="77777777" w:rsidR="00E02C60" w:rsidRPr="00E02C60" w:rsidRDefault="00E02C60" w:rsidP="006D6C7C">
      <w:pPr>
        <w:pStyle w:val="Nadpis4"/>
        <w:numPr>
          <w:ilvl w:val="3"/>
          <w:numId w:val="22"/>
        </w:numPr>
        <w:tabs>
          <w:tab w:val="left" w:pos="709"/>
        </w:tabs>
        <w:spacing w:after="60"/>
        <w:ind w:left="709" w:hanging="284"/>
        <w:rPr>
          <w:rFonts w:cs="Arial"/>
          <w:b/>
          <w:sz w:val="16"/>
          <w:szCs w:val="16"/>
        </w:rPr>
      </w:pPr>
      <w:r w:rsidRPr="00E02C60">
        <w:rPr>
          <w:rFonts w:cs="Arial"/>
          <w:sz w:val="16"/>
          <w:szCs w:val="16"/>
        </w:rPr>
        <w:t>způsobené mimořádnou nepředvídatelnou a nepřekonatelnou překážkou vzniklou nezávisle na vůli Banky, za něž se považují zejména změna kurzu Nástrojů, neuzavření Obchodu nebo opožděné uzavření Obchodu nebo opožděné Vypořádání obchodu způsobené jednáním nebo nečinností Klienta nebo třetích osob, neschopnost účastníků Obchodu splnit své povinnosti nebo neschopnost emitenta Nástrojů dostát svým povinnostem;</w:t>
      </w:r>
    </w:p>
    <w:p w14:paraId="0BB019F5" w14:textId="77777777" w:rsidR="00E02C60" w:rsidRPr="00E02C60" w:rsidRDefault="00E02C60" w:rsidP="006D6C7C">
      <w:pPr>
        <w:pStyle w:val="Nadpis4"/>
        <w:numPr>
          <w:ilvl w:val="3"/>
          <w:numId w:val="22"/>
        </w:numPr>
        <w:tabs>
          <w:tab w:val="left" w:pos="709"/>
        </w:tabs>
        <w:spacing w:after="60"/>
        <w:ind w:left="709" w:hanging="283"/>
        <w:rPr>
          <w:rFonts w:cs="Arial"/>
          <w:b/>
          <w:sz w:val="16"/>
          <w:szCs w:val="16"/>
        </w:rPr>
      </w:pPr>
      <w:r w:rsidRPr="00E02C60">
        <w:rPr>
          <w:rFonts w:cs="Arial"/>
          <w:sz w:val="16"/>
          <w:szCs w:val="16"/>
        </w:rPr>
        <w:t>způsobené v důsledku selhání, přerušení nebo nedostupnosti jakéhokoliv komunikačního kanálu mezi Klientem a Bankou;</w:t>
      </w:r>
    </w:p>
    <w:p w14:paraId="7DE086F8" w14:textId="77777777" w:rsidR="00E02C60" w:rsidRPr="00E02C60" w:rsidRDefault="00E02C60" w:rsidP="006D6C7C">
      <w:pPr>
        <w:pStyle w:val="Nadpis4"/>
        <w:numPr>
          <w:ilvl w:val="3"/>
          <w:numId w:val="22"/>
        </w:numPr>
        <w:tabs>
          <w:tab w:val="left" w:pos="709"/>
        </w:tabs>
        <w:spacing w:after="60"/>
        <w:ind w:left="709" w:hanging="283"/>
        <w:rPr>
          <w:rFonts w:cs="Arial"/>
          <w:b/>
          <w:sz w:val="16"/>
          <w:szCs w:val="16"/>
        </w:rPr>
      </w:pPr>
      <w:r w:rsidRPr="00E02C60">
        <w:rPr>
          <w:rFonts w:cs="Arial"/>
          <w:sz w:val="16"/>
          <w:szCs w:val="16"/>
        </w:rPr>
        <w:t>vzniklé v důsledku plnění příkazu či jiného správního úkonu českého nebo zahraničního státního orgánu nebo soudního rozhodnutí českého nebo zahraničního soudu;</w:t>
      </w:r>
    </w:p>
    <w:p w14:paraId="29A6D66D" w14:textId="77777777" w:rsidR="00E02C60" w:rsidRPr="00E02C60" w:rsidRDefault="00E02C60" w:rsidP="006D6C7C">
      <w:pPr>
        <w:pStyle w:val="Nadpis4"/>
        <w:numPr>
          <w:ilvl w:val="3"/>
          <w:numId w:val="22"/>
        </w:numPr>
        <w:tabs>
          <w:tab w:val="left" w:pos="709"/>
        </w:tabs>
        <w:ind w:left="709" w:hanging="283"/>
        <w:rPr>
          <w:rFonts w:cs="Arial"/>
          <w:b/>
          <w:sz w:val="16"/>
          <w:szCs w:val="16"/>
        </w:rPr>
      </w:pPr>
      <w:r w:rsidRPr="00E02C60">
        <w:rPr>
          <w:rFonts w:cs="Arial"/>
          <w:sz w:val="16"/>
          <w:szCs w:val="16"/>
        </w:rPr>
        <w:t>vzniklé jinými událostmi mimo kontrolu Banky.</w:t>
      </w:r>
    </w:p>
    <w:p w14:paraId="007CD0AB"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neodpovídá za právní vady Nástrojů a za případnou existenci práv třetích osob váznoucích na Nástrojích a dále za to, že s koupenými či prodanými Nástroji nejsou spojena veškerá práva, pokud tyto skutečnosti nebylo možno zjistit ani při vynaložení odborné péče. Banka dále neodpovídá za pravost či hodnotu Nástrojů, které jsou předmětem nakládání dle Smlouvy a za snížení hodnoty Nástrojů ve Správě.</w:t>
      </w:r>
    </w:p>
    <w:p w14:paraId="4F5DE505" w14:textId="77777777" w:rsidR="00C1629D" w:rsidRPr="00C1629D" w:rsidRDefault="00C1629D" w:rsidP="00C1629D">
      <w:pPr>
        <w:pStyle w:val="Nadpis2"/>
        <w:numPr>
          <w:ilvl w:val="1"/>
          <w:numId w:val="13"/>
        </w:numPr>
        <w:tabs>
          <w:tab w:val="num" w:pos="425"/>
        </w:tabs>
        <w:ind w:left="426" w:hanging="426"/>
        <w:rPr>
          <w:rFonts w:cs="Arial"/>
          <w:sz w:val="16"/>
          <w:szCs w:val="16"/>
        </w:rPr>
      </w:pPr>
      <w:r w:rsidRPr="00C1629D">
        <w:rPr>
          <w:sz w:val="16"/>
          <w:szCs w:val="16"/>
        </w:rPr>
        <w:t>Banka neodpovídá za obsah, správnost, vhodnost či ekonomickou výhodnost informací, které předává Klientovi v rámci Správy cenných papírů od Správce evidence či jakékoliv jiné osoby. Banka neposuzuje obsah, správnost, vhodnost či ekonomickou výhodnost jakéhokoliv jednání Klienta (včetně např. udělení Pokynu Bance), které Klient na základě takových informací učiní, nenese za takové jednání či udělený Pokyn odpovědnost a ani neposkytuje radu vedoucí k učinění takového jednání či udělení Pokynu</w:t>
      </w:r>
      <w:r w:rsidRPr="00C1629D">
        <w:rPr>
          <w:rFonts w:cs="Arial"/>
          <w:sz w:val="16"/>
          <w:szCs w:val="16"/>
        </w:rPr>
        <w:t>.</w:t>
      </w:r>
    </w:p>
    <w:p w14:paraId="6027D3CC"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je povinen nahradit Bance veškerou škodu, která Bance vznikne v souvislosti se zrušením nebo změnou Pokynu. Nahrazením škody není dotčena povinnost Klienta zaplatit Bance Odměnu, na kterou by Bance vznikl nárok, pokud by se Pokyn provedl.</w:t>
      </w:r>
    </w:p>
    <w:p w14:paraId="72F51C63"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i Banka na sebe přebírají nebezpečí změny okolností v souladu s § 1765 odst. 2 občanského zákoníku</w:t>
      </w:r>
      <w:r w:rsidRPr="00E02C60">
        <w:rPr>
          <w:rStyle w:val="Znakapoznpodarou"/>
          <w:rFonts w:cs="Arial"/>
          <w:sz w:val="16"/>
          <w:szCs w:val="16"/>
        </w:rPr>
        <w:footnoteReference w:id="4"/>
      </w:r>
      <w:r w:rsidRPr="00E02C60">
        <w:rPr>
          <w:rFonts w:cs="Arial"/>
          <w:sz w:val="16"/>
          <w:szCs w:val="16"/>
        </w:rPr>
        <w:t>.</w:t>
      </w:r>
    </w:p>
    <w:p w14:paraId="404EF5A8"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Žádné z ustanovení uvedených ve Smlouvě nevylučuje odpovědnost za jednání či opominutí, pro které nemůže být odpovědnost v souladu s právními předpisy omezena.</w:t>
      </w:r>
    </w:p>
    <w:p w14:paraId="3032F2E4" w14:textId="77777777" w:rsidR="00E02C60" w:rsidRPr="00E02C60" w:rsidRDefault="00E02C60" w:rsidP="006D6C7C">
      <w:pPr>
        <w:pStyle w:val="Nadpis1"/>
        <w:numPr>
          <w:ilvl w:val="0"/>
          <w:numId w:val="13"/>
        </w:numPr>
        <w:tabs>
          <w:tab w:val="num" w:pos="425"/>
        </w:tabs>
        <w:ind w:left="426" w:hanging="426"/>
        <w:rPr>
          <w:rFonts w:cs="Arial"/>
          <w:sz w:val="16"/>
          <w:szCs w:val="16"/>
        </w:rPr>
      </w:pPr>
      <w:bookmarkStart w:id="117" w:name="_Ref405285236"/>
      <w:bookmarkStart w:id="118" w:name="_Ref391978612"/>
      <w:bookmarkStart w:id="119" w:name="_Ref222815644"/>
      <w:bookmarkEnd w:id="83"/>
      <w:r w:rsidRPr="00E02C60">
        <w:rPr>
          <w:rFonts w:cs="Arial"/>
          <w:sz w:val="16"/>
          <w:szCs w:val="16"/>
        </w:rPr>
        <w:t>Zvláštní podmínky pro Cenné papíry</w:t>
      </w:r>
      <w:bookmarkEnd w:id="117"/>
    </w:p>
    <w:p w14:paraId="2D9CEBE5"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Banka se v rámci poskytování Služeb </w:t>
      </w:r>
      <w:r w:rsidRPr="00E02C60">
        <w:rPr>
          <w:rFonts w:cs="Arial"/>
          <w:b/>
          <w:sz w:val="16"/>
          <w:szCs w:val="16"/>
        </w:rPr>
        <w:t>zavazuje vlastním jménem a na účet Klienta podle jeho Pokynů obstarávat Obchody s Cennými papíry</w:t>
      </w:r>
      <w:r w:rsidRPr="00E02C60">
        <w:rPr>
          <w:rFonts w:cs="Arial"/>
          <w:sz w:val="16"/>
          <w:szCs w:val="16"/>
        </w:rPr>
        <w:t xml:space="preserve">, zajišťovat jejich </w:t>
      </w:r>
      <w:r w:rsidRPr="00E02C60">
        <w:rPr>
          <w:rFonts w:cs="Arial"/>
          <w:b/>
          <w:sz w:val="16"/>
          <w:szCs w:val="16"/>
        </w:rPr>
        <w:t xml:space="preserve">Správu </w:t>
      </w:r>
      <w:r w:rsidRPr="00E02C60">
        <w:rPr>
          <w:rFonts w:cs="Arial"/>
          <w:sz w:val="16"/>
          <w:szCs w:val="16"/>
        </w:rPr>
        <w:t>a další záležitosti související s Cennými papíry dle Smlouvy.</w:t>
      </w:r>
    </w:p>
    <w:p w14:paraId="78128C93"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V případě, že předmětem Pokynu je nákup nebo úpis Cenných papírů v rámci </w:t>
      </w:r>
      <w:r w:rsidRPr="00E02C60">
        <w:rPr>
          <w:rFonts w:cs="Arial"/>
          <w:b/>
          <w:sz w:val="16"/>
          <w:szCs w:val="16"/>
        </w:rPr>
        <w:t xml:space="preserve">Private placementu </w:t>
      </w:r>
      <w:r w:rsidRPr="00E02C60">
        <w:rPr>
          <w:rFonts w:cs="Arial"/>
          <w:sz w:val="16"/>
          <w:szCs w:val="16"/>
        </w:rPr>
        <w:t>Banky, řídí se Odměna a Náklady spojené se Službou týkající se takovéhoto Cenného papíru podmínkami uvedenými v Informačním listu příslušného Cenného papíru nabízeného v rámci Private placementu Banky nebo v Pokynu k nákupu.</w:t>
      </w:r>
    </w:p>
    <w:p w14:paraId="7AA7E22E"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r w:rsidRPr="00E02C60">
        <w:rPr>
          <w:rFonts w:cs="Arial"/>
          <w:b/>
          <w:sz w:val="16"/>
          <w:szCs w:val="16"/>
        </w:rPr>
        <w:t xml:space="preserve">Typy Pokynů. </w:t>
      </w:r>
      <w:r w:rsidRPr="00E02C60">
        <w:rPr>
          <w:rFonts w:cs="Arial"/>
          <w:sz w:val="16"/>
          <w:szCs w:val="16"/>
        </w:rPr>
        <w:t>Na základě Smlouvy může Klient dávat Bance následující Pokyny:</w:t>
      </w:r>
    </w:p>
    <w:p w14:paraId="159CE571" w14:textId="77777777" w:rsidR="00E02C60" w:rsidRPr="00E02C60" w:rsidRDefault="00E02C60" w:rsidP="006D6C7C">
      <w:pPr>
        <w:pStyle w:val="Nadpis3"/>
        <w:numPr>
          <w:ilvl w:val="2"/>
          <w:numId w:val="13"/>
        </w:numPr>
        <w:tabs>
          <w:tab w:val="num" w:pos="709"/>
          <w:tab w:val="left" w:pos="993"/>
        </w:tabs>
        <w:spacing w:after="60"/>
        <w:ind w:left="709" w:hanging="283"/>
        <w:rPr>
          <w:rFonts w:cs="Arial"/>
          <w:sz w:val="16"/>
          <w:szCs w:val="16"/>
        </w:rPr>
      </w:pPr>
      <w:bookmarkStart w:id="120" w:name="_Ref405295488"/>
      <w:bookmarkStart w:id="121" w:name="_Ref184275699"/>
      <w:r w:rsidRPr="00E02C60">
        <w:rPr>
          <w:rFonts w:cs="Arial"/>
          <w:sz w:val="16"/>
          <w:szCs w:val="16"/>
        </w:rPr>
        <w:lastRenderedPageBreak/>
        <w:t>Obchodní pokyny:</w:t>
      </w:r>
      <w:bookmarkEnd w:id="120"/>
      <w:bookmarkEnd w:id="121"/>
      <w:r w:rsidRPr="00E02C60">
        <w:rPr>
          <w:rFonts w:cs="Arial"/>
          <w:sz w:val="16"/>
          <w:szCs w:val="16"/>
        </w:rPr>
        <w:t xml:space="preserve"> </w:t>
      </w:r>
    </w:p>
    <w:p w14:paraId="3F1AD4BA" w14:textId="77777777" w:rsidR="00E02C60" w:rsidRPr="00E02C60" w:rsidRDefault="00E02C60" w:rsidP="006D6C7C">
      <w:pPr>
        <w:pStyle w:val="Nadpis5"/>
        <w:numPr>
          <w:ilvl w:val="0"/>
          <w:numId w:val="16"/>
        </w:numPr>
        <w:spacing w:after="60"/>
        <w:ind w:left="1276" w:hanging="283"/>
        <w:rPr>
          <w:rFonts w:cs="Arial"/>
          <w:b/>
          <w:i/>
          <w:sz w:val="16"/>
          <w:szCs w:val="16"/>
        </w:rPr>
      </w:pPr>
      <w:r w:rsidRPr="00E02C60">
        <w:rPr>
          <w:rFonts w:cs="Arial"/>
          <w:sz w:val="16"/>
          <w:szCs w:val="16"/>
        </w:rPr>
        <w:t>Pokyn k obstarání koupě Cenného papíru;</w:t>
      </w:r>
    </w:p>
    <w:p w14:paraId="035FB1A6" w14:textId="77777777" w:rsidR="00E02C60" w:rsidRPr="00E02C60" w:rsidRDefault="00E02C60" w:rsidP="006D6C7C">
      <w:pPr>
        <w:pStyle w:val="Nadpis5"/>
        <w:numPr>
          <w:ilvl w:val="0"/>
          <w:numId w:val="16"/>
        </w:numPr>
        <w:spacing w:after="60"/>
        <w:ind w:left="1276" w:hanging="283"/>
        <w:rPr>
          <w:rFonts w:cs="Arial"/>
          <w:b/>
          <w:i/>
          <w:sz w:val="16"/>
          <w:szCs w:val="16"/>
        </w:rPr>
      </w:pPr>
      <w:bookmarkStart w:id="122" w:name="_Hlk88210778"/>
      <w:r w:rsidRPr="00E02C60">
        <w:rPr>
          <w:rFonts w:cs="Arial"/>
          <w:sz w:val="16"/>
          <w:szCs w:val="16"/>
        </w:rPr>
        <w:t>Pokyn k obstarání prodeje Cenného papíru</w:t>
      </w:r>
      <w:bookmarkEnd w:id="122"/>
      <w:r w:rsidRPr="00E02C60">
        <w:rPr>
          <w:rFonts w:cs="Arial"/>
          <w:sz w:val="16"/>
          <w:szCs w:val="16"/>
        </w:rPr>
        <w:t>;</w:t>
      </w:r>
    </w:p>
    <w:p w14:paraId="092EEB20" w14:textId="77777777" w:rsidR="00E02C60" w:rsidRPr="00E02C60" w:rsidRDefault="00E02C60" w:rsidP="006D6C7C">
      <w:pPr>
        <w:pStyle w:val="Nadpis5"/>
        <w:numPr>
          <w:ilvl w:val="0"/>
          <w:numId w:val="16"/>
        </w:numPr>
        <w:spacing w:after="60"/>
        <w:ind w:left="1276" w:hanging="283"/>
        <w:rPr>
          <w:rFonts w:cs="Arial"/>
          <w:b/>
          <w:i/>
          <w:sz w:val="16"/>
          <w:szCs w:val="16"/>
        </w:rPr>
      </w:pPr>
      <w:r w:rsidRPr="00E02C60">
        <w:rPr>
          <w:rFonts w:cs="Arial"/>
          <w:sz w:val="16"/>
          <w:szCs w:val="16"/>
        </w:rPr>
        <w:t>Pokyn k účasti v primární aukci při vydávání Cenného papíru.</w:t>
      </w:r>
    </w:p>
    <w:p w14:paraId="67FED87B" w14:textId="77777777" w:rsidR="00E02C60" w:rsidRPr="00E02C60" w:rsidRDefault="00E02C60" w:rsidP="006D6C7C">
      <w:pPr>
        <w:pStyle w:val="Nadpis3"/>
        <w:numPr>
          <w:ilvl w:val="2"/>
          <w:numId w:val="13"/>
        </w:numPr>
        <w:tabs>
          <w:tab w:val="num" w:pos="709"/>
          <w:tab w:val="left" w:pos="993"/>
        </w:tabs>
        <w:spacing w:after="60"/>
        <w:ind w:left="709" w:hanging="283"/>
        <w:rPr>
          <w:rFonts w:cs="Arial"/>
          <w:sz w:val="16"/>
          <w:szCs w:val="16"/>
        </w:rPr>
      </w:pPr>
      <w:bookmarkStart w:id="123" w:name="_Ref405295455"/>
      <w:bookmarkStart w:id="124" w:name="_Ref156271825"/>
      <w:r w:rsidRPr="00E02C60">
        <w:rPr>
          <w:rFonts w:cs="Arial"/>
          <w:sz w:val="16"/>
          <w:szCs w:val="16"/>
        </w:rPr>
        <w:t>Neobchodní pokyny:</w:t>
      </w:r>
      <w:bookmarkEnd w:id="123"/>
      <w:bookmarkEnd w:id="124"/>
    </w:p>
    <w:p w14:paraId="36C3C6D1" w14:textId="77777777" w:rsidR="00E02C60" w:rsidRPr="00E02C60" w:rsidRDefault="00E02C60" w:rsidP="006D6C7C">
      <w:pPr>
        <w:pStyle w:val="Nadpis5"/>
        <w:numPr>
          <w:ilvl w:val="0"/>
          <w:numId w:val="32"/>
        </w:numPr>
        <w:spacing w:after="60"/>
        <w:ind w:left="1276" w:hanging="283"/>
        <w:rPr>
          <w:rFonts w:cs="Arial"/>
          <w:b/>
          <w:i/>
          <w:sz w:val="16"/>
          <w:szCs w:val="16"/>
        </w:rPr>
      </w:pPr>
      <w:bookmarkStart w:id="125" w:name="_Ref184986155"/>
      <w:bookmarkStart w:id="126" w:name="_Ref161139840"/>
      <w:bookmarkStart w:id="127" w:name="_Ref156910058"/>
      <w:r w:rsidRPr="00E02C60">
        <w:rPr>
          <w:rFonts w:cs="Arial"/>
          <w:sz w:val="16"/>
          <w:szCs w:val="16"/>
        </w:rPr>
        <w:t>Pokyn k výběru Hotovosti z Podúčtu hotovosti;</w:t>
      </w:r>
      <w:bookmarkEnd w:id="125"/>
    </w:p>
    <w:p w14:paraId="0FAF1B7E" w14:textId="77777777" w:rsidR="00E02C60" w:rsidRPr="00E02C60" w:rsidRDefault="00E02C60" w:rsidP="006D6C7C">
      <w:pPr>
        <w:pStyle w:val="Nadpis5"/>
        <w:numPr>
          <w:ilvl w:val="0"/>
          <w:numId w:val="32"/>
        </w:numPr>
        <w:spacing w:after="60"/>
        <w:ind w:left="1276" w:hanging="283"/>
        <w:rPr>
          <w:rFonts w:cs="Arial"/>
          <w:b/>
          <w:i/>
          <w:sz w:val="16"/>
          <w:szCs w:val="16"/>
        </w:rPr>
      </w:pPr>
      <w:r w:rsidRPr="00E02C60">
        <w:rPr>
          <w:rFonts w:cs="Arial"/>
          <w:sz w:val="16"/>
          <w:szCs w:val="16"/>
        </w:rPr>
        <w:t>Pokyn ke vkladu peněžních prostředků na Podúčet hotovosti formou inkasa z běžného účtu;</w:t>
      </w:r>
    </w:p>
    <w:p w14:paraId="4BBE62E6" w14:textId="77777777" w:rsidR="00E02C60" w:rsidRPr="00E02C60" w:rsidRDefault="00E02C60" w:rsidP="006D6C7C">
      <w:pPr>
        <w:pStyle w:val="Nadpis5"/>
        <w:numPr>
          <w:ilvl w:val="0"/>
          <w:numId w:val="32"/>
        </w:numPr>
        <w:spacing w:after="60"/>
        <w:ind w:left="1276" w:hanging="283"/>
        <w:rPr>
          <w:rFonts w:cs="Arial"/>
          <w:b/>
          <w:i/>
          <w:sz w:val="16"/>
          <w:szCs w:val="16"/>
        </w:rPr>
      </w:pPr>
      <w:bookmarkStart w:id="128" w:name="_Ref405295601"/>
      <w:bookmarkStart w:id="129" w:name="_Ref158107853"/>
      <w:bookmarkStart w:id="130" w:name="_Ref161196659"/>
      <w:bookmarkEnd w:id="126"/>
      <w:r w:rsidRPr="00E02C60">
        <w:rPr>
          <w:rFonts w:cs="Arial"/>
          <w:sz w:val="16"/>
          <w:szCs w:val="16"/>
        </w:rPr>
        <w:t>Pokyn k převodu Cenných papírů z/na Podúčet cenných papírů;</w:t>
      </w:r>
      <w:bookmarkEnd w:id="128"/>
      <w:bookmarkEnd w:id="129"/>
      <w:bookmarkEnd w:id="130"/>
    </w:p>
    <w:p w14:paraId="61E4FF3F" w14:textId="77777777" w:rsidR="00E02C60" w:rsidRPr="00E02C60" w:rsidRDefault="00E02C60" w:rsidP="006D6C7C">
      <w:pPr>
        <w:pStyle w:val="Nadpis5"/>
        <w:numPr>
          <w:ilvl w:val="0"/>
          <w:numId w:val="32"/>
        </w:numPr>
        <w:spacing w:after="60"/>
        <w:ind w:left="1276" w:hanging="283"/>
        <w:rPr>
          <w:rFonts w:cs="Arial"/>
          <w:b/>
          <w:i/>
          <w:sz w:val="16"/>
          <w:szCs w:val="16"/>
        </w:rPr>
      </w:pPr>
      <w:bookmarkStart w:id="131" w:name="_Ref405295602"/>
      <w:bookmarkStart w:id="132" w:name="_Ref158170888"/>
      <w:r w:rsidRPr="00E02C60">
        <w:rPr>
          <w:rFonts w:cs="Arial"/>
          <w:sz w:val="16"/>
          <w:szCs w:val="16"/>
        </w:rPr>
        <w:t>Pokyn k přechodu Cenných papírů na Podúčet cenných papírů;</w:t>
      </w:r>
      <w:bookmarkEnd w:id="131"/>
      <w:bookmarkEnd w:id="132"/>
    </w:p>
    <w:p w14:paraId="29211118" w14:textId="2F4E8A8F" w:rsidR="00E02C60" w:rsidRPr="00E02C60" w:rsidRDefault="00E02C60" w:rsidP="006D6C7C">
      <w:pPr>
        <w:pStyle w:val="Nadpis5"/>
        <w:numPr>
          <w:ilvl w:val="0"/>
          <w:numId w:val="32"/>
        </w:numPr>
        <w:spacing w:after="60"/>
        <w:ind w:left="1276" w:hanging="283"/>
        <w:rPr>
          <w:rFonts w:cs="Arial"/>
          <w:b/>
          <w:i/>
          <w:sz w:val="16"/>
          <w:szCs w:val="16"/>
        </w:rPr>
      </w:pPr>
      <w:r w:rsidRPr="00E02C60">
        <w:rPr>
          <w:rFonts w:cs="Arial"/>
          <w:sz w:val="16"/>
          <w:szCs w:val="16"/>
        </w:rPr>
        <w:t xml:space="preserve">Pokyn k uplatnění práv (dle odst. </w:t>
      </w:r>
      <w:r w:rsidRPr="00E02C60">
        <w:rPr>
          <w:rFonts w:cs="Arial"/>
          <w:b/>
          <w:i/>
          <w:sz w:val="16"/>
          <w:szCs w:val="16"/>
        </w:rPr>
        <w:fldChar w:fldCharType="begin"/>
      </w:r>
      <w:r w:rsidRPr="00E02C60">
        <w:rPr>
          <w:rFonts w:cs="Arial"/>
          <w:sz w:val="16"/>
          <w:szCs w:val="16"/>
        </w:rPr>
        <w:instrText xml:space="preserve"> REF _Ref405296072 \r \h  \* MERGEFORMAT </w:instrText>
      </w:r>
      <w:r w:rsidRPr="00E02C60">
        <w:rPr>
          <w:rFonts w:cs="Arial"/>
          <w:b/>
          <w:i/>
          <w:sz w:val="16"/>
          <w:szCs w:val="16"/>
        </w:rPr>
      </w:r>
      <w:r w:rsidRPr="00E02C60">
        <w:rPr>
          <w:rFonts w:cs="Arial"/>
          <w:b/>
          <w:i/>
          <w:sz w:val="16"/>
          <w:szCs w:val="16"/>
        </w:rPr>
        <w:fldChar w:fldCharType="separate"/>
      </w:r>
      <w:r w:rsidR="00D93B71">
        <w:rPr>
          <w:rFonts w:cs="Arial"/>
          <w:sz w:val="16"/>
          <w:szCs w:val="16"/>
        </w:rPr>
        <w:t>5.22.5</w:t>
      </w:r>
      <w:r w:rsidRPr="00E02C60">
        <w:rPr>
          <w:rFonts w:cs="Arial"/>
          <w:b/>
          <w:i/>
          <w:sz w:val="16"/>
          <w:szCs w:val="16"/>
        </w:rPr>
        <w:fldChar w:fldCharType="end"/>
      </w:r>
      <w:r w:rsidRPr="00E02C60">
        <w:rPr>
          <w:rFonts w:cs="Arial"/>
          <w:sz w:val="16"/>
          <w:szCs w:val="16"/>
        </w:rPr>
        <w:t>);</w:t>
      </w:r>
    </w:p>
    <w:p w14:paraId="74998D33" w14:textId="77777777" w:rsidR="00E02C60" w:rsidRPr="00E02C60" w:rsidRDefault="00E02C60" w:rsidP="006D6C7C">
      <w:pPr>
        <w:pStyle w:val="Nadpis5"/>
        <w:numPr>
          <w:ilvl w:val="0"/>
          <w:numId w:val="32"/>
        </w:numPr>
        <w:tabs>
          <w:tab w:val="left" w:pos="1276"/>
        </w:tabs>
        <w:spacing w:after="60"/>
        <w:ind w:left="1276" w:hanging="283"/>
        <w:rPr>
          <w:rFonts w:cs="Arial"/>
          <w:b/>
          <w:i/>
          <w:sz w:val="16"/>
          <w:szCs w:val="16"/>
        </w:rPr>
      </w:pPr>
      <w:bookmarkStart w:id="133" w:name="_Hlk66780782"/>
      <w:r w:rsidRPr="00E02C60">
        <w:rPr>
          <w:rFonts w:cs="Arial"/>
          <w:sz w:val="16"/>
          <w:szCs w:val="16"/>
        </w:rPr>
        <w:t>Pokyn k zajištění výpisu z portfoliového účtu;</w:t>
      </w:r>
    </w:p>
    <w:bookmarkEnd w:id="133"/>
    <w:p w14:paraId="41CAC24E" w14:textId="77777777" w:rsidR="00E02C60" w:rsidRPr="00E02C60" w:rsidRDefault="00E02C60" w:rsidP="006D6C7C">
      <w:pPr>
        <w:pStyle w:val="Nadpis5"/>
        <w:numPr>
          <w:ilvl w:val="0"/>
          <w:numId w:val="32"/>
        </w:numPr>
        <w:spacing w:after="60"/>
        <w:ind w:left="1276" w:hanging="283"/>
        <w:rPr>
          <w:rFonts w:cs="Arial"/>
          <w:b/>
          <w:i/>
          <w:sz w:val="16"/>
          <w:szCs w:val="16"/>
        </w:rPr>
      </w:pPr>
      <w:r w:rsidRPr="00E02C60">
        <w:rPr>
          <w:rFonts w:cs="Arial"/>
          <w:sz w:val="16"/>
          <w:szCs w:val="16"/>
        </w:rPr>
        <w:t>Pokyn k zajištění výpisu z nezařazených účtů vedených CDCP;</w:t>
      </w:r>
    </w:p>
    <w:p w14:paraId="1A8D1004" w14:textId="77777777" w:rsidR="00E02C60" w:rsidRPr="00E02C60" w:rsidRDefault="00E02C60" w:rsidP="006D6C7C">
      <w:pPr>
        <w:pStyle w:val="Nadpis5"/>
        <w:numPr>
          <w:ilvl w:val="0"/>
          <w:numId w:val="32"/>
        </w:numPr>
        <w:spacing w:after="60"/>
        <w:ind w:left="1276" w:hanging="283"/>
        <w:rPr>
          <w:rFonts w:cs="Arial"/>
          <w:b/>
          <w:i/>
          <w:sz w:val="16"/>
          <w:szCs w:val="16"/>
        </w:rPr>
      </w:pPr>
      <w:bookmarkStart w:id="134" w:name="_Ref66779939"/>
      <w:r w:rsidRPr="00E02C60">
        <w:rPr>
          <w:rFonts w:cs="Arial"/>
          <w:sz w:val="16"/>
          <w:szCs w:val="16"/>
        </w:rPr>
        <w:t>Pokyn k zápisu/změně/zániku zástavního práva k Cenným papírům;</w:t>
      </w:r>
      <w:bookmarkEnd w:id="134"/>
    </w:p>
    <w:p w14:paraId="30AC2F96" w14:textId="77777777" w:rsidR="00E02C60" w:rsidRPr="00E02C60" w:rsidRDefault="00E02C60" w:rsidP="006D6C7C">
      <w:pPr>
        <w:pStyle w:val="Nadpis5"/>
        <w:numPr>
          <w:ilvl w:val="0"/>
          <w:numId w:val="32"/>
        </w:numPr>
        <w:tabs>
          <w:tab w:val="left" w:pos="1276"/>
        </w:tabs>
        <w:ind w:left="1276" w:hanging="283"/>
        <w:rPr>
          <w:rFonts w:cs="Arial"/>
          <w:b/>
          <w:i/>
          <w:sz w:val="16"/>
          <w:szCs w:val="16"/>
        </w:rPr>
      </w:pPr>
      <w:bookmarkStart w:id="135" w:name="_Ref66779941"/>
      <w:r w:rsidRPr="00E02C60">
        <w:rPr>
          <w:rFonts w:cs="Arial"/>
          <w:sz w:val="16"/>
          <w:szCs w:val="16"/>
        </w:rPr>
        <w:t>Pokyn k zápisu/změně/zániku PPN;</w:t>
      </w:r>
      <w:bookmarkEnd w:id="135"/>
    </w:p>
    <w:p w14:paraId="58AA67EE" w14:textId="06E4714E" w:rsidR="00C1629D" w:rsidRPr="00C1629D" w:rsidRDefault="00C1629D" w:rsidP="00C1629D">
      <w:pPr>
        <w:pStyle w:val="Nadpis5"/>
        <w:numPr>
          <w:ilvl w:val="0"/>
          <w:numId w:val="32"/>
        </w:numPr>
        <w:tabs>
          <w:tab w:val="left" w:pos="1276"/>
        </w:tabs>
        <w:ind w:left="1276" w:hanging="283"/>
        <w:rPr>
          <w:rFonts w:cs="Arial"/>
          <w:sz w:val="16"/>
          <w:szCs w:val="16"/>
        </w:rPr>
      </w:pPr>
      <w:bookmarkStart w:id="136" w:name="_Hlk193710786"/>
      <w:bookmarkStart w:id="137" w:name="_Hlk66780847"/>
      <w:r w:rsidRPr="00C1629D">
        <w:rPr>
          <w:rFonts w:cs="Arial"/>
          <w:sz w:val="16"/>
          <w:szCs w:val="16"/>
        </w:rPr>
        <w:t>Pokyn k výkonu hlasovacích práv (dle odst.</w:t>
      </w:r>
      <w:r w:rsidR="00597C5D">
        <w:rPr>
          <w:rFonts w:cs="Arial"/>
          <w:sz w:val="16"/>
          <w:szCs w:val="16"/>
        </w:rPr>
        <w:t xml:space="preserve"> </w:t>
      </w:r>
      <w:r w:rsidR="00597C5D">
        <w:rPr>
          <w:rFonts w:cs="Arial"/>
          <w:sz w:val="16"/>
          <w:szCs w:val="16"/>
        </w:rPr>
        <w:fldChar w:fldCharType="begin"/>
      </w:r>
      <w:r w:rsidR="00597C5D">
        <w:rPr>
          <w:rFonts w:cs="Arial"/>
          <w:sz w:val="16"/>
          <w:szCs w:val="16"/>
        </w:rPr>
        <w:instrText xml:space="preserve"> REF _Ref201564628 \r \h </w:instrText>
      </w:r>
      <w:r w:rsidR="00597C5D">
        <w:rPr>
          <w:rFonts w:cs="Arial"/>
          <w:sz w:val="16"/>
          <w:szCs w:val="16"/>
        </w:rPr>
      </w:r>
      <w:r w:rsidR="00597C5D">
        <w:rPr>
          <w:rFonts w:cs="Arial"/>
          <w:sz w:val="16"/>
          <w:szCs w:val="16"/>
        </w:rPr>
        <w:fldChar w:fldCharType="separate"/>
      </w:r>
      <w:r w:rsidR="00D93B71">
        <w:rPr>
          <w:rFonts w:cs="Arial"/>
          <w:sz w:val="16"/>
          <w:szCs w:val="16"/>
        </w:rPr>
        <w:t>5.22.7</w:t>
      </w:r>
      <w:r w:rsidR="00597C5D">
        <w:rPr>
          <w:rFonts w:cs="Arial"/>
          <w:sz w:val="16"/>
          <w:szCs w:val="16"/>
        </w:rPr>
        <w:fldChar w:fldCharType="end"/>
      </w:r>
      <w:r w:rsidRPr="00C1629D">
        <w:rPr>
          <w:rFonts w:cs="Arial"/>
          <w:sz w:val="16"/>
          <w:szCs w:val="16"/>
        </w:rPr>
        <w:t xml:space="preserve">, odst. </w:t>
      </w:r>
      <w:r w:rsidR="00597C5D">
        <w:rPr>
          <w:rFonts w:cs="Arial"/>
          <w:sz w:val="16"/>
          <w:szCs w:val="16"/>
        </w:rPr>
        <w:fldChar w:fldCharType="begin"/>
      </w:r>
      <w:r w:rsidR="00597C5D">
        <w:rPr>
          <w:rFonts w:cs="Arial"/>
          <w:sz w:val="16"/>
          <w:szCs w:val="16"/>
        </w:rPr>
        <w:instrText xml:space="preserve"> REF _Ref53760748 \r \h </w:instrText>
      </w:r>
      <w:r w:rsidR="00597C5D">
        <w:rPr>
          <w:rFonts w:cs="Arial"/>
          <w:sz w:val="16"/>
          <w:szCs w:val="16"/>
        </w:rPr>
      </w:r>
      <w:r w:rsidR="00597C5D">
        <w:rPr>
          <w:rFonts w:cs="Arial"/>
          <w:sz w:val="16"/>
          <w:szCs w:val="16"/>
        </w:rPr>
        <w:fldChar w:fldCharType="separate"/>
      </w:r>
      <w:r w:rsidR="00D93B71">
        <w:rPr>
          <w:rFonts w:cs="Arial"/>
          <w:sz w:val="16"/>
          <w:szCs w:val="16"/>
        </w:rPr>
        <w:t>5.23</w:t>
      </w:r>
      <w:r w:rsidR="00597C5D">
        <w:rPr>
          <w:rFonts w:cs="Arial"/>
          <w:sz w:val="16"/>
          <w:szCs w:val="16"/>
        </w:rPr>
        <w:fldChar w:fldCharType="end"/>
      </w:r>
      <w:r w:rsidR="00597C5D">
        <w:rPr>
          <w:rFonts w:cs="Arial"/>
          <w:sz w:val="16"/>
          <w:szCs w:val="16"/>
        </w:rPr>
        <w:t xml:space="preserve"> </w:t>
      </w:r>
      <w:r w:rsidRPr="00C1629D">
        <w:rPr>
          <w:rFonts w:cs="Arial"/>
          <w:sz w:val="16"/>
          <w:szCs w:val="16"/>
        </w:rPr>
        <w:t>a násl.).</w:t>
      </w:r>
      <w:bookmarkEnd w:id="136"/>
    </w:p>
    <w:p w14:paraId="1C61F885" w14:textId="6909306B"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Pokyn podle odst. </w:t>
      </w:r>
      <w:r w:rsidRPr="00E02C60">
        <w:rPr>
          <w:rFonts w:cs="Arial"/>
          <w:sz w:val="16"/>
          <w:szCs w:val="16"/>
        </w:rPr>
        <w:fldChar w:fldCharType="begin"/>
      </w:r>
      <w:r w:rsidRPr="00E02C60">
        <w:rPr>
          <w:rFonts w:cs="Arial"/>
          <w:sz w:val="16"/>
          <w:szCs w:val="16"/>
        </w:rPr>
        <w:instrText xml:space="preserve"> REF _Ref405295455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5.3.2</w:t>
      </w:r>
      <w:r w:rsidRPr="00E02C60">
        <w:rPr>
          <w:rFonts w:cs="Arial"/>
          <w:sz w:val="16"/>
          <w:szCs w:val="16"/>
        </w:rPr>
        <w:fldChar w:fldCharType="end"/>
      </w:r>
      <w:r w:rsidRPr="00E02C60">
        <w:rPr>
          <w:rFonts w:cs="Arial"/>
          <w:sz w:val="16"/>
          <w:szCs w:val="16"/>
        </w:rPr>
        <w:t xml:space="preserve"> písm. </w:t>
      </w:r>
      <w:r w:rsidRPr="00E02C60">
        <w:rPr>
          <w:rFonts w:cs="Arial"/>
          <w:sz w:val="16"/>
          <w:szCs w:val="16"/>
        </w:rPr>
        <w:fldChar w:fldCharType="begin"/>
      </w:r>
      <w:r w:rsidRPr="00E02C60">
        <w:rPr>
          <w:rFonts w:cs="Arial"/>
          <w:sz w:val="16"/>
          <w:szCs w:val="16"/>
        </w:rPr>
        <w:instrText xml:space="preserve"> REF _Ref405295601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c)</w:t>
      </w:r>
      <w:r w:rsidRPr="00E02C60">
        <w:rPr>
          <w:rFonts w:cs="Arial"/>
          <w:sz w:val="16"/>
          <w:szCs w:val="16"/>
        </w:rPr>
        <w:fldChar w:fldCharType="end"/>
      </w:r>
      <w:r w:rsidRPr="00E02C60">
        <w:rPr>
          <w:rFonts w:cs="Arial"/>
          <w:sz w:val="16"/>
          <w:szCs w:val="16"/>
        </w:rPr>
        <w:t xml:space="preserve">, </w:t>
      </w:r>
      <w:r w:rsidRPr="00E02C60">
        <w:rPr>
          <w:rFonts w:cs="Arial"/>
          <w:sz w:val="16"/>
          <w:szCs w:val="16"/>
        </w:rPr>
        <w:fldChar w:fldCharType="begin"/>
      </w:r>
      <w:r w:rsidRPr="00E02C60">
        <w:rPr>
          <w:rFonts w:cs="Arial"/>
          <w:sz w:val="16"/>
          <w:szCs w:val="16"/>
        </w:rPr>
        <w:instrText xml:space="preserve"> REF _Ref405295602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d)</w:t>
      </w:r>
      <w:r w:rsidRPr="00E02C60">
        <w:rPr>
          <w:rFonts w:cs="Arial"/>
          <w:sz w:val="16"/>
          <w:szCs w:val="16"/>
        </w:rPr>
        <w:fldChar w:fldCharType="end"/>
      </w:r>
      <w:r w:rsidRPr="00E02C60">
        <w:rPr>
          <w:rFonts w:cs="Arial"/>
          <w:sz w:val="16"/>
          <w:szCs w:val="16"/>
        </w:rPr>
        <w:t xml:space="preserve">, </w:t>
      </w:r>
      <w:r w:rsidRPr="00E02C60">
        <w:rPr>
          <w:rFonts w:cs="Arial"/>
          <w:sz w:val="16"/>
          <w:szCs w:val="16"/>
        </w:rPr>
        <w:fldChar w:fldCharType="begin"/>
      </w:r>
      <w:r w:rsidRPr="00E02C60">
        <w:rPr>
          <w:rFonts w:cs="Arial"/>
          <w:sz w:val="16"/>
          <w:szCs w:val="16"/>
        </w:rPr>
        <w:instrText xml:space="preserve"> REF _Ref66779939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h)</w:t>
      </w:r>
      <w:r w:rsidRPr="00E02C60">
        <w:rPr>
          <w:rFonts w:cs="Arial"/>
          <w:sz w:val="16"/>
          <w:szCs w:val="16"/>
        </w:rPr>
        <w:fldChar w:fldCharType="end"/>
      </w:r>
      <w:r w:rsidRPr="00E02C60">
        <w:rPr>
          <w:rFonts w:cs="Arial"/>
          <w:sz w:val="16"/>
          <w:szCs w:val="16"/>
        </w:rPr>
        <w:t xml:space="preserve"> a </w:t>
      </w:r>
      <w:r w:rsidRPr="00E02C60">
        <w:rPr>
          <w:rFonts w:cs="Arial"/>
          <w:sz w:val="16"/>
          <w:szCs w:val="16"/>
        </w:rPr>
        <w:fldChar w:fldCharType="begin"/>
      </w:r>
      <w:r w:rsidRPr="00E02C60">
        <w:rPr>
          <w:rFonts w:cs="Arial"/>
          <w:sz w:val="16"/>
          <w:szCs w:val="16"/>
        </w:rPr>
        <w:instrText xml:space="preserve"> REF _Ref66779941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i)</w:t>
      </w:r>
      <w:r w:rsidRPr="00E02C60">
        <w:rPr>
          <w:rFonts w:cs="Arial"/>
          <w:sz w:val="16"/>
          <w:szCs w:val="16"/>
        </w:rPr>
        <w:fldChar w:fldCharType="end"/>
      </w:r>
      <w:r w:rsidRPr="00E02C60">
        <w:rPr>
          <w:rFonts w:cs="Arial"/>
          <w:sz w:val="16"/>
          <w:szCs w:val="16"/>
        </w:rPr>
        <w:t xml:space="preserve"> lze podat pouze písemně.</w:t>
      </w:r>
    </w:p>
    <w:bookmarkEnd w:id="127"/>
    <w:bookmarkEnd w:id="137"/>
    <w:p w14:paraId="7587BEBC"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může podat Neobchodní pokyny, pokud Cenné papíry, resp. Hotovost na příslušném Podúčtu Hotovosti nejsou vázány v souvislosti s podaným Pokynem nebo s Dluhy vyplývajícími z Pokynu nebo nejsou vázány z jiného důvodu uvedeného ve Smlouvě.</w:t>
      </w:r>
    </w:p>
    <w:p w14:paraId="73AD29E1"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138" w:name="_Ref405295706"/>
      <w:bookmarkStart w:id="139" w:name="_Ref351713157"/>
      <w:r w:rsidRPr="00E02C60">
        <w:rPr>
          <w:rFonts w:cs="Arial"/>
          <w:sz w:val="16"/>
          <w:szCs w:val="16"/>
        </w:rPr>
        <w:t>Cenový limit může být vyjádřen jako určitá částka v příslušné měně nebo může být vyjádřen pojmem „</w:t>
      </w:r>
      <w:r w:rsidRPr="00E02C60">
        <w:rPr>
          <w:rFonts w:cs="Arial"/>
          <w:b/>
          <w:sz w:val="16"/>
          <w:szCs w:val="16"/>
        </w:rPr>
        <w:t>za co nejlépe</w:t>
      </w:r>
      <w:r w:rsidRPr="00E02C60">
        <w:rPr>
          <w:rFonts w:cs="Arial"/>
          <w:sz w:val="16"/>
          <w:szCs w:val="16"/>
        </w:rPr>
        <w:t>"; v takovém případě je Banka povinna obstarat koupi Cenných papírů za nejnižší cenu a prodej Cenných papírů za nejvyšší cenu, za jakou bylo možné při vynaložení odborné péče v souladu s částí 2 těchto Podmínek Cenné papíry koupit nebo prodat v době, kdy se prodej nebo koupě Cenných papírů podle této Smlouvy uskutečnily.</w:t>
      </w:r>
      <w:bookmarkEnd w:id="138"/>
      <w:bookmarkEnd w:id="139"/>
    </w:p>
    <w:p w14:paraId="552C990B"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Pokud Klient v Pokynu neuvede žádný Cenový limit, Banka obstará koupi nebo prodej Cenných papírů „za co nejlépe“. </w:t>
      </w:r>
    </w:p>
    <w:p w14:paraId="2AF82206"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r w:rsidRPr="00E02C60">
        <w:rPr>
          <w:rFonts w:cs="Arial"/>
          <w:b/>
          <w:sz w:val="16"/>
          <w:szCs w:val="16"/>
        </w:rPr>
        <w:t xml:space="preserve">Doba platnosti Pokynu. </w:t>
      </w:r>
      <w:r w:rsidRPr="00E02C60">
        <w:rPr>
          <w:rFonts w:cs="Arial"/>
          <w:sz w:val="16"/>
          <w:szCs w:val="16"/>
        </w:rPr>
        <w:t>Pokyn na nákup nebo prodej Cenných papírů:</w:t>
      </w:r>
    </w:p>
    <w:p w14:paraId="0C3E10A8" w14:textId="77777777" w:rsidR="00E02C60" w:rsidRPr="00E02C60" w:rsidRDefault="00E02C60" w:rsidP="006D6C7C">
      <w:pPr>
        <w:pStyle w:val="Nadpis3"/>
        <w:numPr>
          <w:ilvl w:val="0"/>
          <w:numId w:val="18"/>
        </w:numPr>
        <w:tabs>
          <w:tab w:val="left" w:pos="709"/>
        </w:tabs>
        <w:spacing w:after="60"/>
        <w:ind w:left="709" w:hanging="283"/>
        <w:rPr>
          <w:rFonts w:cs="Arial"/>
          <w:sz w:val="16"/>
          <w:szCs w:val="16"/>
        </w:rPr>
      </w:pPr>
      <w:r w:rsidRPr="00E02C60">
        <w:rPr>
          <w:rFonts w:cs="Arial"/>
          <w:sz w:val="16"/>
          <w:szCs w:val="16"/>
        </w:rPr>
        <w:t>akcií nebo obdobných Cenných papírů může mít platnost do čtyřiceti (40) Obchodních dnů dle obchodního kalendáře příslušného Převodního místa, pokud si strany Obchodu neujednají jinak. Klient bere na vědomí a souhlasí s tím, že takový Pokyn na nákup nebo prodej Cenných papírů může být předčasně ukončen před uplynutím doby jeho platnosti na základě rozhodnutí příslušného Převodního místa nebo z technických důvodů příslušného Převodního místa či jiné třetí osoby;</w:t>
      </w:r>
    </w:p>
    <w:p w14:paraId="4411B3A7" w14:textId="77777777" w:rsidR="00E02C60" w:rsidRPr="00E02C60" w:rsidRDefault="00E02C60" w:rsidP="006D6C7C">
      <w:pPr>
        <w:pStyle w:val="Nadpis3"/>
        <w:numPr>
          <w:ilvl w:val="0"/>
          <w:numId w:val="18"/>
        </w:numPr>
        <w:tabs>
          <w:tab w:val="left" w:pos="709"/>
        </w:tabs>
        <w:spacing w:after="60"/>
        <w:ind w:left="709" w:hanging="283"/>
        <w:rPr>
          <w:rFonts w:cs="Arial"/>
          <w:sz w:val="16"/>
          <w:szCs w:val="16"/>
        </w:rPr>
      </w:pPr>
      <w:r w:rsidRPr="00E02C60">
        <w:rPr>
          <w:rFonts w:cs="Arial"/>
          <w:sz w:val="16"/>
          <w:szCs w:val="16"/>
        </w:rPr>
        <w:t>dluhových Cenných papírů může mít platnost jeden Obchodní den dle obchodního kalendáře příslušného Převodního místa, pokud si strany Obchodu neujednají jinak. Klient bere na vědomí a souhlasí s tím, že takový Pokyn na nákup nebo prodej Cenných papírů může být předčasně ukončen před uplynutím doby jeho platnosti na základě rozhodnutí příslušného Převodního místa nebo z technických důvodů příslušného Převodního místa či jiné třetí osoby;</w:t>
      </w:r>
    </w:p>
    <w:p w14:paraId="7625F777" w14:textId="77777777" w:rsidR="00E02C60" w:rsidRPr="00E02C60" w:rsidRDefault="00E02C60" w:rsidP="006D6C7C">
      <w:pPr>
        <w:pStyle w:val="Nadpis3"/>
        <w:numPr>
          <w:ilvl w:val="0"/>
          <w:numId w:val="18"/>
        </w:numPr>
        <w:tabs>
          <w:tab w:val="left" w:pos="709"/>
        </w:tabs>
        <w:spacing w:after="60"/>
        <w:ind w:left="709" w:hanging="283"/>
        <w:rPr>
          <w:rFonts w:cs="Arial"/>
          <w:sz w:val="16"/>
          <w:szCs w:val="16"/>
        </w:rPr>
      </w:pPr>
      <w:r w:rsidRPr="00E02C60">
        <w:rPr>
          <w:rFonts w:cs="Arial"/>
          <w:sz w:val="16"/>
          <w:szCs w:val="16"/>
        </w:rPr>
        <w:t>s Cenovým limitem „co nejlépe“ může mít platnost jeden Obchodní den dle obchodního kalendáře příslušného Převodního místa;</w:t>
      </w:r>
    </w:p>
    <w:p w14:paraId="29937C5B" w14:textId="77777777" w:rsidR="00E02C60" w:rsidRPr="00E02C60" w:rsidRDefault="00E02C60" w:rsidP="006D6C7C">
      <w:pPr>
        <w:pStyle w:val="Nadpis2"/>
        <w:numPr>
          <w:ilvl w:val="0"/>
          <w:numId w:val="18"/>
        </w:numPr>
        <w:tabs>
          <w:tab w:val="left" w:pos="709"/>
        </w:tabs>
        <w:spacing w:after="60"/>
        <w:ind w:left="709" w:hanging="283"/>
        <w:rPr>
          <w:rFonts w:cs="Arial"/>
          <w:sz w:val="16"/>
          <w:szCs w:val="16"/>
        </w:rPr>
      </w:pPr>
      <w:r w:rsidRPr="00E02C60">
        <w:rPr>
          <w:rFonts w:cs="Arial"/>
          <w:sz w:val="16"/>
          <w:szCs w:val="16"/>
        </w:rPr>
        <w:t>Pokyn podaný prostřednictvím Online Portfolia jako Pokyn „tržní pokyn“ má stejnou platnost jako Pokyn typu „Ihned“ nebo „Zruš“;</w:t>
      </w:r>
    </w:p>
    <w:p w14:paraId="1A1666BC" w14:textId="77777777" w:rsidR="00E02C60" w:rsidRPr="00E02C60" w:rsidRDefault="00E02C60" w:rsidP="006D6C7C">
      <w:pPr>
        <w:pStyle w:val="Nadpis2"/>
        <w:numPr>
          <w:ilvl w:val="0"/>
          <w:numId w:val="18"/>
        </w:numPr>
        <w:tabs>
          <w:tab w:val="left" w:pos="709"/>
        </w:tabs>
        <w:spacing w:after="60"/>
        <w:ind w:left="709" w:hanging="283"/>
        <w:rPr>
          <w:rFonts w:cs="Arial"/>
          <w:sz w:val="16"/>
          <w:szCs w:val="16"/>
        </w:rPr>
      </w:pPr>
      <w:r w:rsidRPr="00E02C60">
        <w:rPr>
          <w:rFonts w:cs="Arial"/>
          <w:sz w:val="16"/>
          <w:szCs w:val="16"/>
        </w:rPr>
        <w:t>Pokyn k účasti v primární aukci je v okamžiku jeho přijetí Bankou neodvolatelný a má platnost do vypořádání aukce;</w:t>
      </w:r>
    </w:p>
    <w:p w14:paraId="686FEC32" w14:textId="77777777" w:rsidR="00E02C60" w:rsidRPr="00E02C60" w:rsidRDefault="00E02C60" w:rsidP="006D6C7C">
      <w:pPr>
        <w:pStyle w:val="Nadpis2"/>
        <w:numPr>
          <w:ilvl w:val="0"/>
          <w:numId w:val="18"/>
        </w:numPr>
        <w:tabs>
          <w:tab w:val="left" w:pos="709"/>
        </w:tabs>
        <w:ind w:left="709" w:hanging="283"/>
        <w:rPr>
          <w:rFonts w:cs="Arial"/>
          <w:sz w:val="16"/>
          <w:szCs w:val="16"/>
        </w:rPr>
      </w:pPr>
      <w:r w:rsidRPr="00E02C60">
        <w:rPr>
          <w:rFonts w:cs="Arial"/>
          <w:sz w:val="16"/>
          <w:szCs w:val="16"/>
        </w:rPr>
        <w:t>Pokyn typu „stop loss“ může mít platnost až třistašedesát (360) dnů.</w:t>
      </w:r>
    </w:p>
    <w:p w14:paraId="28C53952"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Pokyn k převodu Cenných papírů má platnost třicet (30) kalendářních dnů.</w:t>
      </w:r>
    </w:p>
    <w:p w14:paraId="3134BBA2"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r w:rsidRPr="00E02C60">
        <w:rPr>
          <w:rFonts w:cs="Arial"/>
          <w:b/>
          <w:sz w:val="16"/>
          <w:szCs w:val="16"/>
        </w:rPr>
        <w:t xml:space="preserve">Modifikace a rušení Pokynu. </w:t>
      </w:r>
      <w:r w:rsidRPr="00E02C60">
        <w:rPr>
          <w:rFonts w:cs="Arial"/>
          <w:sz w:val="16"/>
          <w:szCs w:val="16"/>
        </w:rPr>
        <w:t>Po dobu platnosti Pokynu může Klient:</w:t>
      </w:r>
    </w:p>
    <w:p w14:paraId="4F0EFC35" w14:textId="77777777" w:rsidR="00E02C60" w:rsidRPr="00E02C60" w:rsidRDefault="00E02C60" w:rsidP="006D6C7C">
      <w:pPr>
        <w:pStyle w:val="Nadpis3"/>
        <w:numPr>
          <w:ilvl w:val="2"/>
          <w:numId w:val="19"/>
        </w:numPr>
        <w:spacing w:after="60"/>
        <w:ind w:left="709" w:hanging="283"/>
        <w:rPr>
          <w:rFonts w:cs="Arial"/>
          <w:sz w:val="16"/>
          <w:szCs w:val="16"/>
        </w:rPr>
      </w:pPr>
      <w:r w:rsidRPr="00E02C60">
        <w:rPr>
          <w:rFonts w:cs="Arial"/>
          <w:sz w:val="16"/>
          <w:szCs w:val="16"/>
        </w:rPr>
        <w:t>v dosud neuspokojené části Pokynu modifikovat limitní cenu, přičemž z hlediska procesního zpracovávání modifikovaného Pokynu (časová priorita) se na modifikaci pohlíží jako na nový Pokyn;</w:t>
      </w:r>
    </w:p>
    <w:p w14:paraId="0CEE6C9A" w14:textId="77777777" w:rsidR="00E02C60" w:rsidRPr="00E02C60" w:rsidRDefault="00E02C60" w:rsidP="006D6C7C">
      <w:pPr>
        <w:pStyle w:val="Nadpis3"/>
        <w:numPr>
          <w:ilvl w:val="2"/>
          <w:numId w:val="19"/>
        </w:numPr>
        <w:spacing w:after="60"/>
        <w:ind w:left="709" w:hanging="283"/>
        <w:rPr>
          <w:rFonts w:cs="Arial"/>
          <w:sz w:val="16"/>
          <w:szCs w:val="16"/>
        </w:rPr>
      </w:pPr>
      <w:r w:rsidRPr="00E02C60">
        <w:rPr>
          <w:rFonts w:cs="Arial"/>
          <w:sz w:val="16"/>
          <w:szCs w:val="16"/>
        </w:rPr>
        <w:t>zrušit dosud neuspokojenou část Pokynu,</w:t>
      </w:r>
    </w:p>
    <w:p w14:paraId="31C90046" w14:textId="77777777" w:rsidR="00E02C60" w:rsidRPr="00E02C60" w:rsidRDefault="00E02C60" w:rsidP="00E02C60">
      <w:pPr>
        <w:spacing w:after="120"/>
        <w:ind w:left="425"/>
        <w:rPr>
          <w:rFonts w:cs="Arial"/>
          <w:sz w:val="16"/>
          <w:szCs w:val="16"/>
        </w:rPr>
      </w:pPr>
      <w:r w:rsidRPr="00E02C60">
        <w:rPr>
          <w:rFonts w:cs="Arial"/>
          <w:sz w:val="16"/>
          <w:szCs w:val="16"/>
        </w:rPr>
        <w:t>to vše za předpokladu, že příslušné Převodní místo takovéto modifikace a rušení povoluje.</w:t>
      </w:r>
    </w:p>
    <w:p w14:paraId="071C5D57"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Modifikace a rušení Pokynu Banka zpracovává na základě časové priority všech pokynů klientů Banky.</w:t>
      </w:r>
    </w:p>
    <w:p w14:paraId="66359943"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je oprávněna odmítnout provedení Pokynu týkajícího se Cenného papíru obchodovaného mimo Převodní místa podle této Smlouvy.</w:t>
      </w:r>
    </w:p>
    <w:p w14:paraId="31458432"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může volbou v Kontaktních údajích Klienta požádat Banku, aby ve prospěch Peněžního účtu převáděla výplaty peněžitých plnění poskytovaných ve prospěch Klienta emitenty Cenných papírů, které jsou evidované na Podúčtu cenných papírů. Pokud tak Klient zvolí, bude Banka převádět peněžní prostředky na účet vedený v CZK u banky se sídlem v České republice. Banka neprovádí převod peněžních prostředků v jiné měně než CZK do jiné banky. První převod peněžních prostředků na základě tohoto pokynu provede Banka nejpozději do dvou (2) Obchodních dnů ode dne doručení pokynu Bance. Pokyn k založení trvalého příkazu k převodu výnosů z Cenných papírů lze zrušit s účinností po uplynutí dvou (2) Obchodních dnů od doručení příslušného formuláře, který je k dispozici na Internetové adrese, Bance.</w:t>
      </w:r>
    </w:p>
    <w:p w14:paraId="52ED385F" w14:textId="77777777" w:rsidR="00E02C60" w:rsidRPr="00E02C60" w:rsidRDefault="00E02C60" w:rsidP="006D6C7C">
      <w:pPr>
        <w:pStyle w:val="Nadpis2"/>
        <w:keepNext/>
        <w:numPr>
          <w:ilvl w:val="1"/>
          <w:numId w:val="13"/>
        </w:numPr>
        <w:tabs>
          <w:tab w:val="num" w:pos="425"/>
        </w:tabs>
        <w:spacing w:after="60"/>
        <w:ind w:left="425" w:hanging="425"/>
        <w:rPr>
          <w:rFonts w:cs="Arial"/>
          <w:sz w:val="16"/>
          <w:szCs w:val="16"/>
        </w:rPr>
      </w:pPr>
      <w:r w:rsidRPr="00E02C60">
        <w:rPr>
          <w:rFonts w:cs="Arial"/>
          <w:b/>
          <w:sz w:val="16"/>
          <w:szCs w:val="16"/>
        </w:rPr>
        <w:t>Segmenty trhu s ohledem na druh Cenného papíru.</w:t>
      </w:r>
      <w:r w:rsidRPr="00E02C60">
        <w:rPr>
          <w:rFonts w:cs="Arial"/>
          <w:sz w:val="16"/>
          <w:szCs w:val="16"/>
        </w:rPr>
        <w:t xml:space="preserve"> </w:t>
      </w:r>
    </w:p>
    <w:p w14:paraId="719875EA"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b/>
          <w:sz w:val="16"/>
          <w:szCs w:val="16"/>
        </w:rPr>
        <w:t xml:space="preserve">Investiční cenné papíry registrované na Převodních místech v Česku. </w:t>
      </w:r>
      <w:r w:rsidRPr="00E02C60">
        <w:rPr>
          <w:rFonts w:cs="Arial"/>
          <w:sz w:val="16"/>
          <w:szCs w:val="16"/>
        </w:rPr>
        <w:t xml:space="preserve">BCPP užívá pro uzavírání obchodů mezi svými členy obchodní platformu XETRA. Jednotliví účastníci trhu zde vystupují anonymně a někteří vykonávají funkci tvůrce trhu, tedy za stanovených podmínek současně zadávají objednávku jak na nákup, tak na prodej příslušného cenného papíru. </w:t>
      </w:r>
    </w:p>
    <w:p w14:paraId="00F0974F" w14:textId="77777777" w:rsidR="00E02C60" w:rsidRPr="00E02C60" w:rsidRDefault="00E02C60" w:rsidP="006D6C7C">
      <w:pPr>
        <w:pStyle w:val="Nadpis3"/>
        <w:numPr>
          <w:ilvl w:val="2"/>
          <w:numId w:val="13"/>
        </w:numPr>
        <w:tabs>
          <w:tab w:val="num" w:pos="851"/>
          <w:tab w:val="num" w:pos="992"/>
        </w:tabs>
        <w:spacing w:after="60"/>
        <w:ind w:left="851" w:hanging="426"/>
        <w:rPr>
          <w:rFonts w:cs="Arial"/>
          <w:b/>
          <w:sz w:val="16"/>
          <w:szCs w:val="16"/>
        </w:rPr>
      </w:pPr>
      <w:r w:rsidRPr="00E02C60">
        <w:rPr>
          <w:rFonts w:cs="Arial"/>
          <w:b/>
          <w:sz w:val="16"/>
          <w:szCs w:val="16"/>
        </w:rPr>
        <w:t xml:space="preserve">Obchody s dluhopisy. </w:t>
      </w:r>
      <w:r w:rsidRPr="00E02C60">
        <w:rPr>
          <w:rFonts w:cs="Arial"/>
          <w:sz w:val="16"/>
          <w:szCs w:val="16"/>
        </w:rPr>
        <w:t xml:space="preserve">Banka je za účelem uspokojení Pokynu oprávněna použít, kromě BCPP, též platformy Reuters Messaging, Bloomberg Professional Services nebo MTS. </w:t>
      </w:r>
    </w:p>
    <w:p w14:paraId="28E96A92" w14:textId="77777777" w:rsidR="00E02C60" w:rsidRPr="00E02C60" w:rsidRDefault="00E02C60" w:rsidP="006D6C7C">
      <w:pPr>
        <w:pStyle w:val="Nadpis3"/>
        <w:numPr>
          <w:ilvl w:val="2"/>
          <w:numId w:val="13"/>
        </w:numPr>
        <w:tabs>
          <w:tab w:val="num" w:pos="851"/>
          <w:tab w:val="num" w:pos="992"/>
        </w:tabs>
        <w:spacing w:after="60"/>
        <w:ind w:left="851" w:hanging="426"/>
        <w:rPr>
          <w:rFonts w:cs="Arial"/>
          <w:b/>
          <w:sz w:val="16"/>
          <w:szCs w:val="16"/>
        </w:rPr>
      </w:pPr>
      <w:r w:rsidRPr="00E02C60">
        <w:rPr>
          <w:rFonts w:cs="Arial"/>
          <w:b/>
          <w:sz w:val="16"/>
          <w:szCs w:val="16"/>
        </w:rPr>
        <w:t>Pravidla pro platformu XETRA</w:t>
      </w:r>
      <w:bookmarkStart w:id="140" w:name="_Ref351713193"/>
      <w:r w:rsidRPr="00E02C60">
        <w:rPr>
          <w:rFonts w:cs="Arial"/>
          <w:b/>
          <w:sz w:val="16"/>
          <w:szCs w:val="16"/>
        </w:rPr>
        <w:t xml:space="preserve">. </w:t>
      </w:r>
      <w:r w:rsidRPr="00E02C60">
        <w:rPr>
          <w:rFonts w:cs="Arial"/>
          <w:sz w:val="16"/>
          <w:szCs w:val="16"/>
        </w:rPr>
        <w:t xml:space="preserve">Banka odesílá Pokyn formou objednávky do BCPP bez zbytečného odkladu po jeho přijetí a zaručuje, že odeslání Pokynu, který byl Bankou přijat v Obchodní den do 10 minut před ukončením obchodování na trhu, bude odeslán v tentýž Obchodní den. Každou Bankou zaslanou objednávku vloží BCPP do knihy objednávek a přiřadí jí identifikační číslo a časovou značku. Jednotlivé objednávky jsou při stejné ceně </w:t>
      </w:r>
      <w:r w:rsidRPr="00E02C60">
        <w:rPr>
          <w:rFonts w:cs="Arial"/>
          <w:sz w:val="16"/>
          <w:szCs w:val="16"/>
        </w:rPr>
        <w:lastRenderedPageBreak/>
        <w:t xml:space="preserve">uspokojovány v závislosti na časové prioritě (a to včetně aukcí). Při jakékoli změně Pokynu dostává následná objednávka novou časovou značku. BCPP má pro zajištění řádného obchodování právo smazat všechny objednávky zaslané Bankou, přičemž tyto po opětovném vložení Bankou dostávají nové časové značky. </w:t>
      </w:r>
    </w:p>
    <w:p w14:paraId="1DAA37B6" w14:textId="30787F76" w:rsidR="00E02C60" w:rsidRPr="00E02C60" w:rsidRDefault="00E02C60" w:rsidP="006D6C7C">
      <w:pPr>
        <w:pStyle w:val="Nadpis3"/>
        <w:numPr>
          <w:ilvl w:val="2"/>
          <w:numId w:val="13"/>
        </w:numPr>
        <w:tabs>
          <w:tab w:val="num" w:pos="851"/>
          <w:tab w:val="num" w:pos="992"/>
        </w:tabs>
        <w:spacing w:after="60"/>
        <w:ind w:left="851" w:hanging="426"/>
        <w:rPr>
          <w:rFonts w:cs="Arial"/>
          <w:b/>
          <w:sz w:val="16"/>
          <w:szCs w:val="16"/>
        </w:rPr>
      </w:pPr>
      <w:bookmarkStart w:id="141" w:name="_Ref405295743"/>
      <w:bookmarkStart w:id="142" w:name="_Ref396214404"/>
      <w:r w:rsidRPr="00E02C60">
        <w:rPr>
          <w:rFonts w:cs="Arial"/>
          <w:b/>
          <w:sz w:val="16"/>
          <w:szCs w:val="16"/>
        </w:rPr>
        <w:t>Typy, atributy a časové určení Pokynů</w:t>
      </w:r>
      <w:bookmarkEnd w:id="140"/>
      <w:r w:rsidRPr="00E02C60">
        <w:rPr>
          <w:rFonts w:cs="Arial"/>
          <w:b/>
          <w:sz w:val="16"/>
          <w:szCs w:val="16"/>
        </w:rPr>
        <w:t xml:space="preserve">. </w:t>
      </w:r>
      <w:r w:rsidRPr="00E02C60">
        <w:rPr>
          <w:rFonts w:cs="Arial"/>
          <w:sz w:val="16"/>
          <w:szCs w:val="16"/>
        </w:rPr>
        <w:t xml:space="preserve">Pokyny s Cenovým limitem a s limitem „za co nejlépe“ jsou popsány v odstavci </w:t>
      </w:r>
      <w:r w:rsidRPr="00E02C60">
        <w:rPr>
          <w:rFonts w:cs="Arial"/>
          <w:sz w:val="16"/>
          <w:szCs w:val="16"/>
        </w:rPr>
        <w:fldChar w:fldCharType="begin"/>
      </w:r>
      <w:r w:rsidRPr="00E02C60">
        <w:rPr>
          <w:rFonts w:cs="Arial"/>
          <w:sz w:val="16"/>
          <w:szCs w:val="16"/>
        </w:rPr>
        <w:instrText xml:space="preserve"> REF _Ref405295706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5.6</w:t>
      </w:r>
      <w:r w:rsidRPr="00E02C60">
        <w:rPr>
          <w:rFonts w:cs="Arial"/>
          <w:sz w:val="16"/>
          <w:szCs w:val="16"/>
        </w:rPr>
        <w:fldChar w:fldCharType="end"/>
      </w:r>
      <w:r w:rsidRPr="00E02C60">
        <w:rPr>
          <w:rFonts w:cs="Arial"/>
          <w:sz w:val="16"/>
          <w:szCs w:val="16"/>
        </w:rPr>
        <w:t xml:space="preserve">, Klient má dále možnost zadat Pokyny s parametry uvedenými níže v tomto odstavci </w:t>
      </w:r>
      <w:r w:rsidRPr="00E02C60">
        <w:rPr>
          <w:rFonts w:cs="Arial"/>
          <w:sz w:val="16"/>
          <w:szCs w:val="16"/>
        </w:rPr>
        <w:fldChar w:fldCharType="begin"/>
      </w:r>
      <w:r w:rsidRPr="00E02C60">
        <w:rPr>
          <w:rFonts w:cs="Arial"/>
          <w:sz w:val="16"/>
          <w:szCs w:val="16"/>
        </w:rPr>
        <w:instrText xml:space="preserve"> REF _Ref405295743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5.14.4</w:t>
      </w:r>
      <w:r w:rsidRPr="00E02C60">
        <w:rPr>
          <w:rFonts w:cs="Arial"/>
          <w:sz w:val="16"/>
          <w:szCs w:val="16"/>
        </w:rPr>
        <w:fldChar w:fldCharType="end"/>
      </w:r>
      <w:r w:rsidRPr="00E02C60">
        <w:rPr>
          <w:rFonts w:cs="Arial"/>
          <w:sz w:val="16"/>
          <w:szCs w:val="16"/>
        </w:rPr>
        <w:t xml:space="preserve"> Pokud aktuální tržní podmínky nedovolí některý z níže uvedených Pokynů na trhu registrovat, bude Klient o této skutečnosti Bankou informován.</w:t>
      </w:r>
      <w:bookmarkEnd w:id="141"/>
      <w:bookmarkEnd w:id="142"/>
    </w:p>
    <w:p w14:paraId="262809D6" w14:textId="77777777" w:rsidR="00E02C60" w:rsidRPr="00E02C60" w:rsidRDefault="00E02C60" w:rsidP="006D6C7C">
      <w:pPr>
        <w:pStyle w:val="Nadpis3"/>
        <w:numPr>
          <w:ilvl w:val="2"/>
          <w:numId w:val="13"/>
        </w:numPr>
        <w:tabs>
          <w:tab w:val="num" w:pos="851"/>
          <w:tab w:val="num" w:pos="992"/>
        </w:tabs>
        <w:spacing w:after="60"/>
        <w:ind w:left="851" w:hanging="426"/>
        <w:rPr>
          <w:rFonts w:cs="Arial"/>
          <w:b/>
          <w:sz w:val="16"/>
          <w:szCs w:val="16"/>
        </w:rPr>
      </w:pPr>
      <w:r w:rsidRPr="00E02C60">
        <w:rPr>
          <w:rFonts w:cs="Arial"/>
          <w:b/>
          <w:sz w:val="16"/>
          <w:szCs w:val="16"/>
        </w:rPr>
        <w:t>Pokyn s Cenovým limitem</w:t>
      </w:r>
      <w:r w:rsidRPr="00E02C60">
        <w:rPr>
          <w:rFonts w:cs="Arial"/>
          <w:sz w:val="16"/>
          <w:szCs w:val="16"/>
        </w:rPr>
        <w:t>. Klient může zadávat Pokyn s Cenovým limitem specifikovaným konkrétní částkou nebo jako „za co nejlépe“. Takto zadaný Pokyn s Cenovým limitem nebude uspokojen v případě koupě Cenného papíru za částku vyšší než Cenový limit specifikovaný konkrétní částkou, v případě prodeje Cenného papíru za částku nižší než Cenový limit specifikovaný konkrétní částkou. Pokud podmínky na trhu dovolí alespoň částečné uspokojení objednávky vytvořené z Pokynu Cenovým limitem „za co nejlépe</w:t>
      </w:r>
      <w:r w:rsidRPr="00E02C60">
        <w:rPr>
          <w:rFonts w:cs="Arial"/>
          <w:b/>
          <w:sz w:val="16"/>
          <w:szCs w:val="16"/>
        </w:rPr>
        <w:t>“,</w:t>
      </w:r>
      <w:r w:rsidRPr="00E02C60">
        <w:rPr>
          <w:rFonts w:cs="Arial"/>
          <w:sz w:val="16"/>
          <w:szCs w:val="16"/>
        </w:rPr>
        <w:t xml:space="preserve"> vzniká na cenné papíry představující neuspokojenou část Pokynu nová objednávka s Cenovým limitem rovným ceně dosažené v uspokojené části Pokynu. Takto vzniklá objednávka dostává časovou značku rovnou času prvního částečného uspokojení Pokynu. Cenový limit nelze po částečném uspokojení modifikovat. Pokud v průběhu dne nelze příslušný Pokyn ani </w:t>
      </w:r>
      <w:r w:rsidRPr="00E02C60">
        <w:rPr>
          <w:rFonts w:cs="Arial"/>
          <w:b/>
          <w:sz w:val="16"/>
          <w:szCs w:val="16"/>
        </w:rPr>
        <w:t>částečně uspokojit, je platnost Pokynu ukončena.</w:t>
      </w:r>
    </w:p>
    <w:p w14:paraId="690E2839" w14:textId="77777777" w:rsidR="00E02C60" w:rsidRPr="00E02C60" w:rsidRDefault="00E02C60" w:rsidP="006D6C7C">
      <w:pPr>
        <w:pStyle w:val="Nadpis3"/>
        <w:numPr>
          <w:ilvl w:val="2"/>
          <w:numId w:val="13"/>
        </w:numPr>
        <w:tabs>
          <w:tab w:val="num" w:pos="851"/>
          <w:tab w:val="num" w:pos="992"/>
        </w:tabs>
        <w:spacing w:after="60"/>
        <w:ind w:left="851" w:hanging="426"/>
        <w:rPr>
          <w:rFonts w:cs="Arial"/>
          <w:b/>
          <w:i/>
          <w:sz w:val="16"/>
          <w:szCs w:val="16"/>
        </w:rPr>
      </w:pPr>
      <w:r w:rsidRPr="00E02C60">
        <w:rPr>
          <w:rFonts w:cs="Arial"/>
          <w:b/>
          <w:iCs/>
          <w:sz w:val="16"/>
          <w:szCs w:val="16"/>
        </w:rPr>
        <w:t>Pokyn „tržní pokyn“.</w:t>
      </w:r>
      <w:r w:rsidRPr="00E02C60">
        <w:rPr>
          <w:rFonts w:cs="Arial"/>
          <w:bCs/>
          <w:iCs/>
          <w:sz w:val="16"/>
          <w:szCs w:val="16"/>
        </w:rPr>
        <w:t xml:space="preserve"> Pokyn „tržní pokyn“</w:t>
      </w:r>
      <w:r w:rsidRPr="00E02C60">
        <w:rPr>
          <w:rFonts w:cs="Arial"/>
          <w:b/>
          <w:iCs/>
          <w:sz w:val="16"/>
          <w:szCs w:val="16"/>
        </w:rPr>
        <w:t xml:space="preserve"> </w:t>
      </w:r>
      <w:r w:rsidRPr="00E02C60">
        <w:rPr>
          <w:rFonts w:cs="Arial"/>
          <w:bCs/>
          <w:iCs/>
          <w:sz w:val="16"/>
          <w:szCs w:val="16"/>
        </w:rPr>
        <w:t>podaný prostřednictvím Online Portfolia je Banka oprávněna odeslat na Převodní místo jako Pokyn s Cenovým limitem se stejnou platností jako Pokyn typu „Ihned“ nebo „Zruš“. Při stanovení Cenového limitu vychází Banka z poslední známé ceny daného Nástroje, kterou je oprávněna navýšit o určitou částku či určité procento takové ceny.</w:t>
      </w:r>
    </w:p>
    <w:p w14:paraId="5F2A1438" w14:textId="77777777" w:rsidR="00E02C60" w:rsidRPr="00E02C60" w:rsidRDefault="00E02C60" w:rsidP="006D6C7C">
      <w:pPr>
        <w:pStyle w:val="Nadpis3"/>
        <w:numPr>
          <w:ilvl w:val="2"/>
          <w:numId w:val="13"/>
        </w:numPr>
        <w:tabs>
          <w:tab w:val="num" w:pos="851"/>
          <w:tab w:val="num" w:pos="992"/>
        </w:tabs>
        <w:spacing w:after="60"/>
        <w:ind w:left="851" w:hanging="426"/>
        <w:rPr>
          <w:rFonts w:cs="Arial"/>
          <w:b/>
          <w:i/>
          <w:sz w:val="16"/>
          <w:szCs w:val="16"/>
        </w:rPr>
      </w:pPr>
      <w:r w:rsidRPr="00E02C60">
        <w:rPr>
          <w:rFonts w:cs="Arial"/>
          <w:b/>
          <w:sz w:val="16"/>
          <w:szCs w:val="16"/>
        </w:rPr>
        <w:t>Pokyn Iceberg.</w:t>
      </w:r>
      <w:r w:rsidRPr="00E02C60">
        <w:rPr>
          <w:rFonts w:cs="Arial"/>
          <w:sz w:val="16"/>
          <w:szCs w:val="16"/>
        </w:rPr>
        <w:t xml:space="preserve"> V případě, že Klient chce zadat Pokyn na nestandardní počet cenných papírů (z kterého by vznikla objednávka o velikém objemu), může zadat tzv. Pokyn Iceberg, tedy stanovit podmínku na zobrazovaný počet kusů Cenných papírů</w:t>
      </w:r>
      <w:r w:rsidRPr="00E02C60">
        <w:rPr>
          <w:rFonts w:cs="Arial"/>
          <w:b/>
          <w:sz w:val="16"/>
          <w:szCs w:val="16"/>
        </w:rPr>
        <w:t>.</w:t>
      </w:r>
      <w:r w:rsidRPr="00E02C60">
        <w:rPr>
          <w:rFonts w:cs="Arial"/>
          <w:sz w:val="16"/>
          <w:szCs w:val="16"/>
        </w:rPr>
        <w:t xml:space="preserve"> Klient v rámci Pokynu Iceberg zadává Cenový limit, celkový počet cenných papírů a zobrazované množství, přičemž tato hodnota musí být násobkem lotového množství, které BCPP stanovila tvůrcům trhu. Aktuální hodnoty lotového množství sdělí Klientovi Banka. Objednávka vytvořená z takového Pokynu se prezentuje ostatním obchodníkům s cennými papíry se zadanými zobrazovanými parametry, a to postupně, až do úplného uspokojení nebo skončení platnosti Pokynu Iceberg. Každá po uspokojení nově vytvořená objednávka dostává novou časovou značku. Všechny objednávky z Pokynu Iceberg jsou po skončení obchodování příslušného dne ze systému vymazány (Pokyn Iceberg má jednodenní platnost). </w:t>
      </w:r>
    </w:p>
    <w:p w14:paraId="6C569417" w14:textId="77777777" w:rsidR="00E02C60" w:rsidRPr="00E02C60" w:rsidRDefault="00E02C60" w:rsidP="006D6C7C">
      <w:pPr>
        <w:pStyle w:val="Nadpis3"/>
        <w:numPr>
          <w:ilvl w:val="2"/>
          <w:numId w:val="13"/>
        </w:numPr>
        <w:tabs>
          <w:tab w:val="num" w:pos="851"/>
          <w:tab w:val="num" w:pos="992"/>
        </w:tabs>
        <w:spacing w:after="60"/>
        <w:ind w:left="851" w:hanging="426"/>
        <w:rPr>
          <w:rFonts w:cs="Arial"/>
          <w:i/>
          <w:sz w:val="16"/>
          <w:szCs w:val="16"/>
        </w:rPr>
      </w:pPr>
      <w:r w:rsidRPr="00E02C60">
        <w:rPr>
          <w:rFonts w:cs="Arial"/>
          <w:b/>
          <w:sz w:val="16"/>
          <w:szCs w:val="16"/>
        </w:rPr>
        <w:t>Stop tržní Pokyn</w:t>
      </w:r>
      <w:r w:rsidRPr="00E02C60">
        <w:rPr>
          <w:rFonts w:cs="Arial"/>
          <w:sz w:val="16"/>
          <w:szCs w:val="16"/>
        </w:rPr>
        <w:t xml:space="preserve">. Klient zadává tzv. stop tržní Pokyn tím způsobem, že zadá tzv. stop cenu, po jejímž prolomení se Pokyn aktivuje s limitem „za co nejlépe“. Banka vytváří z Pokynu objednávku, která v BCPP čeká na prolomení zadané stop ceny. Při zadání nákupního Pokynu musí být stop cena větší než aktuální tržní cena, přičemž validace probíhá na Klientem zadanou cenu plus 25 %. Při zadání </w:t>
      </w:r>
      <w:r w:rsidRPr="00E02C60">
        <w:rPr>
          <w:rFonts w:cs="Arial"/>
          <w:sz w:val="16"/>
          <w:szCs w:val="16"/>
        </w:rPr>
        <w:t>prodejního Pokynu musí být zadaná stop cena nižší, než aktuální tržní cena. Objednávka dostává časovou značku až po aktivaci Pokynu.</w:t>
      </w:r>
    </w:p>
    <w:p w14:paraId="507C17D6" w14:textId="77777777" w:rsidR="00E02C60" w:rsidRPr="00E02C60" w:rsidRDefault="00E02C60" w:rsidP="006D6C7C">
      <w:pPr>
        <w:pStyle w:val="Nadpis3"/>
        <w:numPr>
          <w:ilvl w:val="2"/>
          <w:numId w:val="13"/>
        </w:numPr>
        <w:tabs>
          <w:tab w:val="num" w:pos="851"/>
          <w:tab w:val="num" w:pos="992"/>
        </w:tabs>
        <w:spacing w:after="60"/>
        <w:ind w:left="851" w:hanging="426"/>
        <w:rPr>
          <w:rFonts w:cs="Arial"/>
          <w:i/>
          <w:sz w:val="16"/>
          <w:szCs w:val="16"/>
        </w:rPr>
      </w:pPr>
      <w:r w:rsidRPr="00E02C60">
        <w:rPr>
          <w:rFonts w:cs="Arial"/>
          <w:b/>
          <w:sz w:val="16"/>
          <w:szCs w:val="16"/>
        </w:rPr>
        <w:t>Stop limitní pokyn</w:t>
      </w:r>
      <w:r w:rsidRPr="00E02C60">
        <w:rPr>
          <w:rFonts w:cs="Arial"/>
          <w:sz w:val="16"/>
          <w:szCs w:val="16"/>
        </w:rPr>
        <w:t xml:space="preserve">. Klient zadává tzv. stop limitní Pokyn tím způsobem, že zadá stop cenu a cenový limit. Banka vytváří z Pokynu objednávku, která v BCPP čeká na prolomení zadané stop ceny. V případě prolomení dostává objednávka časovou značku a stává se z ní objednávka s cenovým limitem. Při nákupním Pokynu validace probíhá na zadaný cenový limit. </w:t>
      </w:r>
    </w:p>
    <w:p w14:paraId="43AB52B8" w14:textId="77777777" w:rsidR="00E02C60" w:rsidRPr="00E02C60" w:rsidRDefault="00E02C60" w:rsidP="006D6C7C">
      <w:pPr>
        <w:pStyle w:val="Nadpis3"/>
        <w:numPr>
          <w:ilvl w:val="2"/>
          <w:numId w:val="13"/>
        </w:numPr>
        <w:tabs>
          <w:tab w:val="num" w:pos="851"/>
          <w:tab w:val="num" w:pos="992"/>
        </w:tabs>
        <w:spacing w:after="60"/>
        <w:ind w:left="851" w:hanging="426"/>
        <w:rPr>
          <w:rFonts w:cs="Arial"/>
          <w:b/>
          <w:i/>
          <w:sz w:val="16"/>
          <w:szCs w:val="16"/>
        </w:rPr>
      </w:pPr>
      <w:r w:rsidRPr="00E02C60">
        <w:rPr>
          <w:rFonts w:cs="Arial"/>
          <w:sz w:val="16"/>
          <w:szCs w:val="16"/>
        </w:rPr>
        <w:t>Klient je v průběhu kontinuální fáze dále oprávněn stanovit následující podmínky:</w:t>
      </w:r>
    </w:p>
    <w:p w14:paraId="1E913EDA" w14:textId="77777777" w:rsidR="00E02C60" w:rsidRPr="00E02C60" w:rsidRDefault="00E02C60" w:rsidP="006D6C7C">
      <w:pPr>
        <w:pStyle w:val="Nadpis6"/>
        <w:numPr>
          <w:ilvl w:val="5"/>
          <w:numId w:val="21"/>
        </w:numPr>
        <w:tabs>
          <w:tab w:val="num" w:pos="1134"/>
        </w:tabs>
        <w:spacing w:before="0"/>
        <w:ind w:left="1134" w:hanging="283"/>
        <w:rPr>
          <w:rFonts w:ascii="Arial" w:hAnsi="Arial" w:cs="Arial"/>
          <w:b w:val="0"/>
          <w:sz w:val="16"/>
          <w:szCs w:val="16"/>
        </w:rPr>
      </w:pPr>
      <w:r w:rsidRPr="00E02C60">
        <w:rPr>
          <w:rFonts w:ascii="Arial" w:hAnsi="Arial" w:cs="Arial"/>
          <w:b w:val="0"/>
          <w:sz w:val="16"/>
          <w:szCs w:val="16"/>
        </w:rPr>
        <w:t>„Všechno“ nebo „Nic“, v tomto případě Banka z Pokynu vytvoří objednávku, která je na Převodním místě buď okamžitě plně uspokojena, nebo je smazána a je ukončena platnost Pokynu</w:t>
      </w:r>
    </w:p>
    <w:p w14:paraId="4524FB26" w14:textId="77777777" w:rsidR="00E02C60" w:rsidRPr="00E02C60" w:rsidRDefault="00E02C60" w:rsidP="006D6C7C">
      <w:pPr>
        <w:pStyle w:val="Nadpis6"/>
        <w:numPr>
          <w:ilvl w:val="5"/>
          <w:numId w:val="21"/>
        </w:numPr>
        <w:tabs>
          <w:tab w:val="num" w:pos="1134"/>
        </w:tabs>
        <w:spacing w:before="0"/>
        <w:ind w:left="1134" w:hanging="283"/>
        <w:rPr>
          <w:rFonts w:ascii="Arial" w:hAnsi="Arial" w:cs="Arial"/>
          <w:b w:val="0"/>
          <w:sz w:val="16"/>
          <w:szCs w:val="16"/>
        </w:rPr>
      </w:pPr>
      <w:r w:rsidRPr="00E02C60">
        <w:rPr>
          <w:rFonts w:ascii="Arial" w:hAnsi="Arial" w:cs="Arial"/>
          <w:b w:val="0"/>
          <w:sz w:val="16"/>
          <w:szCs w:val="16"/>
        </w:rPr>
        <w:t>„Ihned“ nebo „Zruš“, v tomto případě může být Pokyn uspokojen plně nebo částečně.</w:t>
      </w:r>
      <w:r w:rsidRPr="00E02C60" w:rsidDel="004A7D62">
        <w:rPr>
          <w:rFonts w:ascii="Arial" w:hAnsi="Arial" w:cs="Arial"/>
          <w:b w:val="0"/>
          <w:sz w:val="16"/>
          <w:szCs w:val="16"/>
        </w:rPr>
        <w:t xml:space="preserve"> </w:t>
      </w:r>
      <w:r w:rsidRPr="00E02C60">
        <w:rPr>
          <w:rFonts w:ascii="Arial" w:hAnsi="Arial" w:cs="Arial"/>
          <w:b w:val="0"/>
          <w:sz w:val="16"/>
          <w:szCs w:val="16"/>
        </w:rPr>
        <w:t>V případě, že Pokyn není na Převodním místě ihned plně uspokojen, je objednávka na neuspokojený počet zrušena a Pokyn ukončen.</w:t>
      </w:r>
    </w:p>
    <w:p w14:paraId="36C3C55C"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Klient je při podání Pokynu dále oprávněn stanovit fázi, do které má být poslána objednávka (bez omezení, pouze do aukce, pouze do závěrečné aukce, pouze do otevírací aukce, pouze do kontinuální fáze). Jednotlivé fáze neumožňují zadávat všechny typy Pokynů, o přípustnosti Pokynu bude při přijetí Pokynu pracovník Banky informovat Klienta.</w:t>
      </w:r>
    </w:p>
    <w:p w14:paraId="0F772B1F" w14:textId="77777777" w:rsidR="00E02C60" w:rsidRPr="00E02C60" w:rsidRDefault="00E02C60" w:rsidP="006D6C7C">
      <w:pPr>
        <w:pStyle w:val="Nadpis2"/>
        <w:keepNext/>
        <w:numPr>
          <w:ilvl w:val="1"/>
          <w:numId w:val="13"/>
        </w:numPr>
        <w:tabs>
          <w:tab w:val="num" w:pos="426"/>
        </w:tabs>
        <w:spacing w:after="60"/>
        <w:ind w:left="425" w:hanging="425"/>
        <w:rPr>
          <w:rFonts w:cs="Arial"/>
          <w:b/>
          <w:sz w:val="16"/>
          <w:szCs w:val="16"/>
        </w:rPr>
      </w:pPr>
      <w:r w:rsidRPr="00E02C60">
        <w:rPr>
          <w:rFonts w:cs="Arial"/>
          <w:b/>
          <w:sz w:val="16"/>
          <w:szCs w:val="16"/>
        </w:rPr>
        <w:t>Cenné papíry investičních fondů</w:t>
      </w:r>
    </w:p>
    <w:p w14:paraId="69BE0FCA"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sz w:val="16"/>
          <w:szCs w:val="16"/>
        </w:rPr>
        <w:t>Cenné papíry investičního fondu jsou pro účely této Smlouvy cenné papíry vydané investičním fondem (dále jen „</w:t>
      </w:r>
      <w:r w:rsidRPr="00E02C60">
        <w:rPr>
          <w:rFonts w:cs="Arial"/>
          <w:b/>
          <w:sz w:val="16"/>
          <w:szCs w:val="16"/>
        </w:rPr>
        <w:t>Fond</w:t>
      </w:r>
      <w:r w:rsidRPr="00E02C60">
        <w:rPr>
          <w:rFonts w:cs="Arial"/>
          <w:sz w:val="16"/>
          <w:szCs w:val="16"/>
        </w:rPr>
        <w:t>“), jejichž nákup a zpětný prodej probíhá za cenu vlastního kapitálu příslušného Fondu připadající na jeden Cenný papír Fondu (dále jen „</w:t>
      </w:r>
      <w:r w:rsidRPr="00E02C60">
        <w:rPr>
          <w:rFonts w:cs="Arial"/>
          <w:b/>
          <w:sz w:val="16"/>
          <w:szCs w:val="16"/>
        </w:rPr>
        <w:t>NAV</w:t>
      </w:r>
      <w:r w:rsidRPr="00E02C60">
        <w:rPr>
          <w:rFonts w:cs="Arial"/>
          <w:sz w:val="16"/>
          <w:szCs w:val="16"/>
        </w:rPr>
        <w:t>“) prostřednictvím Transfer agenta a nikoliv na trhu za tržní cenu (dále jen „</w:t>
      </w:r>
      <w:r w:rsidRPr="00E02C60">
        <w:rPr>
          <w:rFonts w:cs="Arial"/>
          <w:b/>
          <w:sz w:val="16"/>
          <w:szCs w:val="16"/>
        </w:rPr>
        <w:t>Cenné papíry Fondu</w:t>
      </w:r>
      <w:r w:rsidRPr="00E02C60">
        <w:rPr>
          <w:rFonts w:cs="Arial"/>
          <w:sz w:val="16"/>
          <w:szCs w:val="16"/>
        </w:rPr>
        <w:t xml:space="preserve">“).  </w:t>
      </w:r>
    </w:p>
    <w:p w14:paraId="3B7095D2"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sz w:val="16"/>
          <w:szCs w:val="16"/>
        </w:rPr>
        <w:t>V případě Cenných papírů Fondu může Klient podat následující typy Pokynů v souladu se statutem příslušného Fondu (nebo srovnatelným dokumentem zahraničního Fondu) a pravidly Transfer agenta:</w:t>
      </w:r>
    </w:p>
    <w:p w14:paraId="6930602B"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sz w:val="16"/>
          <w:szCs w:val="16"/>
        </w:rPr>
        <w:t>Množstevní pokyn na nákup. Klient určí množství peněžních prostředků, za které chce nakoupit Cenné papíry Fondu. NAV a doba uskutečnění nákupu závisí na statutu příslušného Fondu a pravidlech Transfer agenta. Množství nakoupených Cenných papírů Fondu je závislé na výši peněžních prostředků, za které mají být Cenné papíry Fondu nakoupeny, a na aktuálním NAV.</w:t>
      </w:r>
    </w:p>
    <w:p w14:paraId="7FE64B60" w14:textId="77777777" w:rsidR="00E02C60" w:rsidRPr="00E02C60" w:rsidRDefault="00E02C60" w:rsidP="006D6C7C">
      <w:pPr>
        <w:pStyle w:val="Nadpis5"/>
        <w:numPr>
          <w:ilvl w:val="4"/>
          <w:numId w:val="13"/>
        </w:numPr>
        <w:tabs>
          <w:tab w:val="num" w:pos="1134"/>
        </w:tabs>
        <w:spacing w:after="60"/>
        <w:ind w:left="1134" w:hanging="283"/>
        <w:rPr>
          <w:rFonts w:cs="Arial"/>
          <w:sz w:val="16"/>
          <w:szCs w:val="16"/>
        </w:rPr>
      </w:pPr>
      <w:r w:rsidRPr="00E02C60">
        <w:rPr>
          <w:rFonts w:cs="Arial"/>
          <w:sz w:val="16"/>
          <w:szCs w:val="16"/>
        </w:rPr>
        <w:t>Kusový pokyn na nákup. Klient určí počet Cenných papírů Fondu, které chce uskutečněním nákupu získat. NAV a doba uskutečnění nákupu závisí na statutu příslušného Fondu a pravidlech Transfer agenta. Množství peněžních prostředků požadované Bankou pro účel validace takovéhoto Pokynu je závislé na aktuálním NAV, volatilitě příslušného Fondu, popř. dalších okolnostech. Stejná pravidla se pak použijí pro množství peněžních prostředků zablokované tímto Pokynem do doby jeho uskutečnění.</w:t>
      </w:r>
    </w:p>
    <w:p w14:paraId="40E6A872" w14:textId="77777777" w:rsidR="00E02C60" w:rsidRPr="00E02C60" w:rsidRDefault="00E02C60" w:rsidP="006D6C7C">
      <w:pPr>
        <w:pStyle w:val="Nadpis5"/>
        <w:numPr>
          <w:ilvl w:val="4"/>
          <w:numId w:val="13"/>
        </w:numPr>
        <w:tabs>
          <w:tab w:val="num" w:pos="1134"/>
        </w:tabs>
        <w:spacing w:after="60"/>
        <w:ind w:left="1134" w:hanging="283"/>
        <w:rPr>
          <w:rFonts w:cs="Arial"/>
          <w:sz w:val="16"/>
          <w:szCs w:val="16"/>
        </w:rPr>
      </w:pPr>
      <w:r w:rsidRPr="00E02C60">
        <w:rPr>
          <w:rFonts w:cs="Arial"/>
          <w:sz w:val="16"/>
          <w:szCs w:val="16"/>
        </w:rPr>
        <w:t xml:space="preserve">Kusový pokyn na zpětný prodej. Klient určí počet kusů, které chce prodat. NAV a doba uskutečnění nákupu závisí statutu příslušného Fondu a pravidlech Transfer agenta. Množství peněžních prostředků, které Klient uskutečněním </w:t>
      </w:r>
      <w:r w:rsidRPr="00E02C60">
        <w:rPr>
          <w:rFonts w:cs="Arial"/>
          <w:sz w:val="16"/>
          <w:szCs w:val="16"/>
        </w:rPr>
        <w:lastRenderedPageBreak/>
        <w:t>zpětného prodeje získá, je závislé na aktuálním NAV.</w:t>
      </w:r>
    </w:p>
    <w:p w14:paraId="6BD8FFF1"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sz w:val="16"/>
          <w:szCs w:val="16"/>
        </w:rPr>
        <w:t>Ustanovení pro Cenné papíry Fondu se použijí také při přestupu mezi Fondy.</w:t>
      </w:r>
    </w:p>
    <w:p w14:paraId="7EDFBB48"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bookmarkStart w:id="143" w:name="_Hlk66781029"/>
      <w:r w:rsidRPr="00E02C60">
        <w:rPr>
          <w:rFonts w:cs="Arial"/>
          <w:sz w:val="16"/>
          <w:szCs w:val="16"/>
        </w:rPr>
        <w:t>Banka Pokyn Klienta uskuteční v den podání Pokynu, pokud Klient nepodá Pokyn alespoň 1,5 hodiny před koncem přijímání pokynů pro daný den určeným příslušným Fondem a Transfer agentem, nebo v den, na který určil Klient platnost Pokynu.</w:t>
      </w:r>
    </w:p>
    <w:bookmarkEnd w:id="143"/>
    <w:p w14:paraId="6820A760" w14:textId="77777777" w:rsidR="00E02C60" w:rsidRPr="00E02C60" w:rsidRDefault="00E02C60" w:rsidP="006D6C7C">
      <w:pPr>
        <w:pStyle w:val="Nadpis2"/>
        <w:keepNext/>
        <w:numPr>
          <w:ilvl w:val="1"/>
          <w:numId w:val="13"/>
        </w:numPr>
        <w:tabs>
          <w:tab w:val="num" w:pos="426"/>
        </w:tabs>
        <w:spacing w:after="60"/>
        <w:ind w:left="425" w:hanging="425"/>
        <w:rPr>
          <w:rFonts w:cs="Arial"/>
          <w:b/>
          <w:sz w:val="16"/>
          <w:szCs w:val="16"/>
        </w:rPr>
      </w:pPr>
      <w:r w:rsidRPr="00E02C60">
        <w:rPr>
          <w:rFonts w:cs="Arial"/>
          <w:b/>
          <w:sz w:val="16"/>
          <w:szCs w:val="16"/>
        </w:rPr>
        <w:t>Investiční cenné papíry registrované v zahraničí</w:t>
      </w:r>
    </w:p>
    <w:p w14:paraId="47C1EF35" w14:textId="77777777" w:rsidR="00E02C60" w:rsidRPr="00E02C60" w:rsidRDefault="00E02C60" w:rsidP="006D6C7C">
      <w:pPr>
        <w:pStyle w:val="Nadpis3"/>
        <w:numPr>
          <w:ilvl w:val="2"/>
          <w:numId w:val="13"/>
        </w:numPr>
        <w:tabs>
          <w:tab w:val="num" w:pos="851"/>
          <w:tab w:val="num" w:pos="992"/>
        </w:tabs>
        <w:spacing w:after="60"/>
        <w:ind w:left="851" w:hanging="426"/>
        <w:rPr>
          <w:rFonts w:cs="Arial"/>
          <w:b/>
          <w:sz w:val="16"/>
          <w:szCs w:val="16"/>
        </w:rPr>
      </w:pPr>
      <w:r w:rsidRPr="00E02C60">
        <w:rPr>
          <w:rFonts w:cs="Arial"/>
          <w:b/>
          <w:sz w:val="16"/>
          <w:szCs w:val="16"/>
        </w:rPr>
        <w:t>Převodní místa v zahraničí</w:t>
      </w:r>
    </w:p>
    <w:p w14:paraId="76029C37" w14:textId="77777777" w:rsidR="00E02C60" w:rsidRPr="00E02C60" w:rsidRDefault="00E02C60" w:rsidP="006D6C7C">
      <w:pPr>
        <w:pStyle w:val="Nadpis5"/>
        <w:numPr>
          <w:ilvl w:val="4"/>
          <w:numId w:val="17"/>
        </w:numPr>
        <w:spacing w:after="60"/>
        <w:ind w:left="1276" w:hanging="283"/>
        <w:rPr>
          <w:rFonts w:cs="Arial"/>
          <w:b/>
          <w:i/>
          <w:sz w:val="16"/>
          <w:szCs w:val="16"/>
        </w:rPr>
      </w:pPr>
      <w:r w:rsidRPr="00E02C60">
        <w:rPr>
          <w:rFonts w:cs="Arial"/>
          <w:sz w:val="16"/>
          <w:szCs w:val="16"/>
        </w:rPr>
        <w:t>Klient je při podávání Pokynu k nákupu či prodeji Cenného papíru obchodovaného na více Převodních místech v zahraničí oprávněn specifikovat Převodní místo, na kterém požaduje Pokyn realizovat.</w:t>
      </w:r>
    </w:p>
    <w:p w14:paraId="5D2FF39F" w14:textId="77777777" w:rsidR="00E02C60" w:rsidRPr="00E02C60" w:rsidRDefault="00E02C60" w:rsidP="006D6C7C">
      <w:pPr>
        <w:pStyle w:val="Nadpis5"/>
        <w:numPr>
          <w:ilvl w:val="4"/>
          <w:numId w:val="17"/>
        </w:numPr>
        <w:spacing w:after="60"/>
        <w:ind w:left="1276" w:hanging="283"/>
        <w:rPr>
          <w:rFonts w:cs="Arial"/>
          <w:b/>
          <w:i/>
          <w:sz w:val="16"/>
          <w:szCs w:val="16"/>
        </w:rPr>
      </w:pPr>
      <w:r w:rsidRPr="00E02C60">
        <w:rPr>
          <w:rFonts w:cs="Arial"/>
          <w:sz w:val="16"/>
          <w:szCs w:val="16"/>
        </w:rPr>
        <w:t>Pokud Klient podá Pokyn k prodeji Cenného papíru obchodovaného na více Převodních místech v zahraničí a v Pokynu specifikuje jiné Převodní místo, než Převodní místo, na kterém byl tento Cenný papír nabyt, je nutné před podáním takového Pokynu převést Cenný papír ke Správci evidence působícímu na příslušném trhu, kde má být Cenný papír prodán, což může prodloužit dobu pro Vypořádání obchodu. Náklady spojené s převodem Cenného papíru mezi Správci evidence hradí Klient.</w:t>
      </w:r>
    </w:p>
    <w:p w14:paraId="13A20E87" w14:textId="77777777" w:rsidR="00E02C60" w:rsidRPr="00E02C60" w:rsidRDefault="00E02C60" w:rsidP="006D6C7C">
      <w:pPr>
        <w:pStyle w:val="Nadpis5"/>
        <w:numPr>
          <w:ilvl w:val="4"/>
          <w:numId w:val="17"/>
        </w:numPr>
        <w:spacing w:after="60"/>
        <w:ind w:left="1276" w:hanging="283"/>
        <w:rPr>
          <w:rFonts w:cs="Arial"/>
          <w:b/>
          <w:i/>
          <w:sz w:val="16"/>
          <w:szCs w:val="16"/>
        </w:rPr>
      </w:pPr>
      <w:r w:rsidRPr="00E02C60">
        <w:rPr>
          <w:rFonts w:cs="Arial"/>
          <w:sz w:val="16"/>
          <w:szCs w:val="16"/>
        </w:rPr>
        <w:t>Banka zajistí, že Pokyn, který byl Bankou přijat v daný Obchodní den, bude do 10 minut od přijetí Bankou předán do sítě partnerských obchodníků s cennými papíry, kteří mají přístup na Převodní místa.</w:t>
      </w:r>
    </w:p>
    <w:p w14:paraId="4B141CDF" w14:textId="77777777" w:rsidR="00E02C60" w:rsidRPr="00E02C60" w:rsidRDefault="00E02C60" w:rsidP="006D6C7C">
      <w:pPr>
        <w:pStyle w:val="Nadpis5"/>
        <w:numPr>
          <w:ilvl w:val="4"/>
          <w:numId w:val="17"/>
        </w:numPr>
        <w:spacing w:after="60"/>
        <w:ind w:left="1276" w:hanging="283"/>
        <w:rPr>
          <w:rFonts w:cs="Arial"/>
          <w:b/>
          <w:i/>
          <w:sz w:val="16"/>
          <w:szCs w:val="16"/>
        </w:rPr>
      </w:pPr>
      <w:r w:rsidRPr="00E02C60">
        <w:rPr>
          <w:rFonts w:cs="Arial"/>
          <w:sz w:val="16"/>
          <w:szCs w:val="16"/>
        </w:rPr>
        <w:t>Banka za účelem uspokojení Pokynu může použít platformy Reuters Messaging, Bloomberg Professional Services, popřípadě jiná platforma.</w:t>
      </w:r>
    </w:p>
    <w:p w14:paraId="5DA469F5" w14:textId="77777777" w:rsidR="00E02C60" w:rsidRPr="00E02C60" w:rsidRDefault="00E02C60" w:rsidP="006D6C7C">
      <w:pPr>
        <w:pStyle w:val="Nadpis5"/>
        <w:numPr>
          <w:ilvl w:val="4"/>
          <w:numId w:val="17"/>
        </w:numPr>
        <w:spacing w:after="60"/>
        <w:ind w:left="1276" w:hanging="283"/>
        <w:rPr>
          <w:rFonts w:cs="Arial"/>
          <w:b/>
          <w:i/>
          <w:sz w:val="16"/>
          <w:szCs w:val="16"/>
        </w:rPr>
      </w:pPr>
      <w:r w:rsidRPr="00E02C60">
        <w:rPr>
          <w:rFonts w:cs="Arial"/>
          <w:sz w:val="16"/>
          <w:szCs w:val="16"/>
        </w:rPr>
        <w:t xml:space="preserve">Banka je schopna obstarat nákup Cenných papírů též přímo od příslušných administrátorů emisí, obvykle bank, např. Société Générale Paris, Société Générale London, Barclays, </w:t>
      </w:r>
      <w:smartTag w:uri="urn:schemas-microsoft-com:office:smarttags" w:element="stockticker">
        <w:r w:rsidRPr="00E02C60">
          <w:rPr>
            <w:rFonts w:cs="Arial"/>
            <w:sz w:val="16"/>
            <w:szCs w:val="16"/>
          </w:rPr>
          <w:t>IMI</w:t>
        </w:r>
      </w:smartTag>
      <w:r w:rsidRPr="00E02C60">
        <w:rPr>
          <w:rFonts w:cs="Arial"/>
          <w:sz w:val="16"/>
          <w:szCs w:val="16"/>
        </w:rPr>
        <w:t xml:space="preserve"> Milano atd.</w:t>
      </w:r>
    </w:p>
    <w:p w14:paraId="0781B8C5" w14:textId="77777777" w:rsidR="00E02C60" w:rsidRPr="00E02C60" w:rsidRDefault="00E02C60" w:rsidP="006D6C7C">
      <w:pPr>
        <w:pStyle w:val="Nadpis3"/>
        <w:numPr>
          <w:ilvl w:val="2"/>
          <w:numId w:val="13"/>
        </w:numPr>
        <w:tabs>
          <w:tab w:val="num" w:pos="851"/>
          <w:tab w:val="num" w:pos="992"/>
        </w:tabs>
        <w:spacing w:after="60"/>
        <w:ind w:left="851" w:hanging="426"/>
        <w:rPr>
          <w:rFonts w:cs="Arial"/>
          <w:b/>
          <w:sz w:val="16"/>
          <w:szCs w:val="16"/>
        </w:rPr>
      </w:pPr>
      <w:r w:rsidRPr="00E02C60">
        <w:rPr>
          <w:rFonts w:cs="Arial"/>
          <w:b/>
          <w:sz w:val="16"/>
          <w:szCs w:val="16"/>
        </w:rPr>
        <w:t>Provádění pokynů mimo Převodní místa v zahraničí</w:t>
      </w:r>
    </w:p>
    <w:p w14:paraId="169A0C1A" w14:textId="77777777" w:rsidR="00E02C60" w:rsidRPr="00E02C60" w:rsidRDefault="00E02C60" w:rsidP="007168B0">
      <w:pPr>
        <w:pStyle w:val="Nadpis5"/>
        <w:numPr>
          <w:ilvl w:val="0"/>
          <w:numId w:val="0"/>
        </w:numPr>
        <w:tabs>
          <w:tab w:val="left" w:pos="709"/>
        </w:tabs>
        <w:spacing w:after="60"/>
        <w:ind w:left="426"/>
        <w:rPr>
          <w:rFonts w:cs="Arial"/>
          <w:b/>
          <w:i/>
          <w:sz w:val="16"/>
          <w:szCs w:val="16"/>
        </w:rPr>
      </w:pPr>
      <w:r w:rsidRPr="00E02C60">
        <w:rPr>
          <w:rFonts w:cs="Arial"/>
          <w:sz w:val="16"/>
          <w:szCs w:val="16"/>
        </w:rPr>
        <w:t>Pokud Banka přijme Pokyn, který nelze uspokojit na Převodním místě, hledá uspokojení takového Pokynu bez zbytečného odkladu po jeho přijetí.</w:t>
      </w:r>
    </w:p>
    <w:p w14:paraId="2ECEED34" w14:textId="77777777" w:rsidR="00E02C60" w:rsidRPr="00E02C60" w:rsidRDefault="00E02C60" w:rsidP="00E02C60">
      <w:pPr>
        <w:pStyle w:val="Nadpis5"/>
        <w:numPr>
          <w:ilvl w:val="0"/>
          <w:numId w:val="0"/>
        </w:numPr>
        <w:tabs>
          <w:tab w:val="left" w:pos="709"/>
        </w:tabs>
        <w:ind w:left="426"/>
        <w:rPr>
          <w:rFonts w:cs="Arial"/>
          <w:b/>
          <w:i/>
          <w:sz w:val="16"/>
          <w:szCs w:val="16"/>
        </w:rPr>
      </w:pPr>
      <w:r w:rsidRPr="00E02C60">
        <w:rPr>
          <w:rFonts w:cs="Arial"/>
          <w:sz w:val="16"/>
          <w:szCs w:val="16"/>
        </w:rPr>
        <w:t>Při provádění Pokynu Klienta mimo Převodní místa v zahraničí Banka dodržuje pravidla pro provádění pokynů popsaná v bodě 2. v maximální možné míře. S ohledem na neexistenci Převodního místa s dostatečnou likviditou jsou hlavními parametry pro uspokojení Pokynu Klienta cena Nástroje a Náklady na provedení Pokynu. Klient je srozuměn s tím, že obstarávání Cenných papírů mimo Převodní místa je časově náročné, s tím, že informaci o postupu při provedení Pokynu může získat přímo od pracovníka Banky.</w:t>
      </w:r>
    </w:p>
    <w:p w14:paraId="536EC0BA" w14:textId="77777777" w:rsidR="00E02C60" w:rsidRPr="00E02C60" w:rsidRDefault="00E02C60" w:rsidP="006D6C7C">
      <w:pPr>
        <w:pStyle w:val="Nadpis2"/>
        <w:numPr>
          <w:ilvl w:val="1"/>
          <w:numId w:val="13"/>
        </w:numPr>
        <w:tabs>
          <w:tab w:val="num" w:pos="425"/>
        </w:tabs>
        <w:spacing w:after="60"/>
        <w:ind w:left="425" w:hanging="426"/>
        <w:rPr>
          <w:rFonts w:cs="Arial"/>
          <w:sz w:val="16"/>
          <w:szCs w:val="16"/>
        </w:rPr>
      </w:pPr>
      <w:bookmarkStart w:id="144" w:name="_Ref405295669"/>
      <w:bookmarkStart w:id="145" w:name="_Ref392234080"/>
      <w:bookmarkStart w:id="146" w:name="_Ref184363296"/>
      <w:r w:rsidRPr="00E02C60">
        <w:rPr>
          <w:rFonts w:cs="Arial"/>
          <w:b/>
          <w:sz w:val="16"/>
          <w:szCs w:val="16"/>
        </w:rPr>
        <w:t>Seznam Převodních míst, na kterých jsou uzavírány Obchody</w:t>
      </w:r>
      <w:r w:rsidRPr="00E02C60">
        <w:rPr>
          <w:rFonts w:cs="Arial"/>
          <w:sz w:val="16"/>
          <w:szCs w:val="16"/>
        </w:rPr>
        <w:t xml:space="preserve">. Banka obstarává Obchody s Cennými papíry obchodovanými v České republice pouze na BCPP. </w:t>
      </w:r>
    </w:p>
    <w:p w14:paraId="5AE47B6E" w14:textId="77777777" w:rsidR="00E02C60" w:rsidRPr="00E02C60" w:rsidRDefault="00E02C60" w:rsidP="007168B0">
      <w:pPr>
        <w:pStyle w:val="Nadpis2"/>
        <w:numPr>
          <w:ilvl w:val="0"/>
          <w:numId w:val="0"/>
        </w:numPr>
        <w:spacing w:after="60"/>
        <w:ind w:left="425"/>
        <w:rPr>
          <w:rFonts w:cs="Arial"/>
          <w:sz w:val="16"/>
          <w:szCs w:val="16"/>
        </w:rPr>
      </w:pPr>
      <w:r w:rsidRPr="00E02C60">
        <w:rPr>
          <w:rFonts w:cs="Arial"/>
          <w:sz w:val="16"/>
          <w:szCs w:val="16"/>
        </w:rPr>
        <w:t xml:space="preserve">Pro Zahraniční trhy má Banka smluvně zajištěn přístup prostřednictvím třetích stran. Tyto třetí strany jsou makléřské společnosti, které Banka vybrala na základě posouzení takových kritérií, jako politika provádění Pokynů, pokrytí světových trhů, spolehlivost vypořádání, poplatková politika apod. Tyto třetí strany se v minulosti osvědčily </w:t>
      </w:r>
      <w:r w:rsidRPr="00E02C60">
        <w:rPr>
          <w:rFonts w:cs="Arial"/>
          <w:sz w:val="16"/>
          <w:szCs w:val="16"/>
        </w:rPr>
        <w:t xml:space="preserve">kvalitou, spolehlivostí a rychlostí provádění Pokynů. </w:t>
      </w:r>
      <w:bookmarkEnd w:id="144"/>
      <w:bookmarkEnd w:id="145"/>
      <w:r w:rsidRPr="00E02C60">
        <w:rPr>
          <w:rFonts w:cs="Arial"/>
          <w:sz w:val="16"/>
          <w:szCs w:val="16"/>
        </w:rPr>
        <w:t xml:space="preserve">Za účelem dlouhodobého dosahování nejlepšího možného výsledku pro Klienta při provádění Pokynů Banka pravidelně vyhodnocuje výběr těchto třetích stran. </w:t>
      </w:r>
    </w:p>
    <w:p w14:paraId="0A601F54" w14:textId="77777777" w:rsidR="00E02C60" w:rsidRPr="00E02C60" w:rsidRDefault="00E02C60" w:rsidP="00E02C60">
      <w:pPr>
        <w:pStyle w:val="Nadpis2"/>
        <w:numPr>
          <w:ilvl w:val="0"/>
          <w:numId w:val="0"/>
        </w:numPr>
        <w:ind w:left="426"/>
        <w:rPr>
          <w:rFonts w:cs="Arial"/>
          <w:sz w:val="16"/>
          <w:szCs w:val="16"/>
        </w:rPr>
      </w:pPr>
      <w:r w:rsidRPr="00E02C60">
        <w:rPr>
          <w:rFonts w:cs="Arial"/>
          <w:sz w:val="16"/>
          <w:szCs w:val="16"/>
        </w:rPr>
        <w:t xml:space="preserve">Seznam makléřských společností a Převodních míst, na něž má Banka prostřednictvím těchto makléřských společností přístup, je k dispozici na </w:t>
      </w:r>
      <w:hyperlink r:id="rId27" w:history="1">
        <w:r w:rsidRPr="00E02C60">
          <w:rPr>
            <w:rStyle w:val="Hypertextovodkaz"/>
            <w:rFonts w:cs="Arial"/>
            <w:sz w:val="16"/>
            <w:szCs w:val="16"/>
          </w:rPr>
          <w:t>www.kb.cz/mifid</w:t>
        </w:r>
      </w:hyperlink>
      <w:r w:rsidRPr="00E02C60">
        <w:rPr>
          <w:rFonts w:cs="Arial"/>
          <w:sz w:val="16"/>
          <w:szCs w:val="16"/>
        </w:rPr>
        <w:t xml:space="preserve">. Na těchto Převodních místech </w:t>
      </w:r>
      <w:r w:rsidRPr="00E02C60">
        <w:rPr>
          <w:rFonts w:cs="Arial"/>
          <w:bCs/>
          <w:sz w:val="16"/>
          <w:szCs w:val="16"/>
        </w:rPr>
        <w:t>je Banka klientům schopna obstarat veškeré Cenné papíry na nich obchodované.</w:t>
      </w:r>
    </w:p>
    <w:bookmarkEnd w:id="146"/>
    <w:p w14:paraId="249E905D"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Poplatky</w:t>
      </w:r>
      <w:r w:rsidRPr="00E02C60">
        <w:rPr>
          <w:rFonts w:cs="Arial"/>
          <w:sz w:val="16"/>
          <w:szCs w:val="16"/>
        </w:rPr>
        <w:t>, které hradí Klient v souvislosti s prováděním Pokynů na zahraničních trzích, se řídí platným Sazebníkem. Poplatky se neliší dle druhu Cenného papíru ani dle Převodního místa. Případné dodatečné poplatky jsou uvedeny přímo v Sazebníku, odvíjí se od výše poplatků, které jsou Bance účtovány konkrétním Převodním místem.</w:t>
      </w:r>
    </w:p>
    <w:p w14:paraId="7215181F" w14:textId="4021EF35"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Klient je oprávněn požádat Banku o převod Cenných papírů z Podúčtu cenných papírů na účet jiného Správce evidence (a naopak), který je oprávněn Cenné papíry Klienta držet, za předpokladu, že Klient sdělil Bance všechny potřebné informace v souladu s článkem </w:t>
      </w:r>
      <w:r w:rsidRPr="00E02C60">
        <w:rPr>
          <w:rFonts w:cs="Arial"/>
          <w:sz w:val="16"/>
          <w:szCs w:val="16"/>
        </w:rPr>
        <w:fldChar w:fldCharType="begin"/>
      </w:r>
      <w:r w:rsidRPr="00E02C60">
        <w:rPr>
          <w:rFonts w:cs="Arial"/>
          <w:sz w:val="16"/>
          <w:szCs w:val="16"/>
        </w:rPr>
        <w:instrText xml:space="preserve"> REF _Ref395100625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2</w:t>
      </w:r>
      <w:r w:rsidRPr="00E02C60">
        <w:rPr>
          <w:rFonts w:cs="Arial"/>
          <w:sz w:val="16"/>
          <w:szCs w:val="16"/>
        </w:rPr>
        <w:fldChar w:fldCharType="end"/>
      </w:r>
      <w:r w:rsidRPr="00E02C60">
        <w:rPr>
          <w:rFonts w:cs="Arial"/>
          <w:sz w:val="16"/>
          <w:szCs w:val="16"/>
        </w:rPr>
        <w:t>.</w:t>
      </w:r>
    </w:p>
    <w:p w14:paraId="2E4B6363"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Pokud bude předmětem Pokynu Cenný papír převoditelný rubopisem vydaný jako cenný papír (listina), bude mezi Klientem a Bankou dohodnut způsob vyhotovení rubopisu, přičemž Klient tímto Banku zmocňuje, aby napsala na takový Cenný papír převodní rubopis obsahující slova „za mne na řad“ nebo jinou doložku stejného významu.</w:t>
      </w:r>
    </w:p>
    <w:p w14:paraId="1D3085D6" w14:textId="77777777" w:rsidR="00E02C60" w:rsidRPr="00E02C60" w:rsidRDefault="00E02C60" w:rsidP="006D6C7C">
      <w:pPr>
        <w:pStyle w:val="Nadpis2"/>
        <w:numPr>
          <w:ilvl w:val="1"/>
          <w:numId w:val="13"/>
        </w:numPr>
        <w:tabs>
          <w:tab w:val="num" w:pos="425"/>
        </w:tabs>
        <w:spacing w:after="60"/>
        <w:ind w:left="425" w:hanging="425"/>
        <w:rPr>
          <w:rFonts w:cs="Arial"/>
          <w:sz w:val="16"/>
          <w:szCs w:val="16"/>
        </w:rPr>
      </w:pPr>
      <w:bookmarkStart w:id="147" w:name="_Ref407705495"/>
      <w:r w:rsidRPr="00E02C60">
        <w:rPr>
          <w:rFonts w:cs="Arial"/>
          <w:sz w:val="16"/>
          <w:szCs w:val="16"/>
        </w:rPr>
        <w:t>Banka poskytne Klientovi, na základě jeho žádosti:</w:t>
      </w:r>
      <w:bookmarkEnd w:id="147"/>
    </w:p>
    <w:p w14:paraId="698B3769" w14:textId="77777777" w:rsidR="00E02C60" w:rsidRPr="00E02C60" w:rsidRDefault="00E02C60" w:rsidP="007168B0">
      <w:pPr>
        <w:numPr>
          <w:ilvl w:val="0"/>
          <w:numId w:val="4"/>
        </w:numPr>
        <w:tabs>
          <w:tab w:val="clear" w:pos="785"/>
          <w:tab w:val="num" w:pos="709"/>
        </w:tabs>
        <w:spacing w:after="60"/>
        <w:ind w:left="709" w:hanging="283"/>
        <w:rPr>
          <w:rFonts w:cs="Arial"/>
          <w:sz w:val="16"/>
          <w:szCs w:val="16"/>
        </w:rPr>
      </w:pPr>
      <w:r w:rsidRPr="00E02C60">
        <w:rPr>
          <w:rFonts w:cs="Arial"/>
          <w:sz w:val="16"/>
          <w:szCs w:val="16"/>
        </w:rPr>
        <w:t>informace o třetích osobách, prostřednictvím nichž plní své povinnosti ze Smlouvy;</w:t>
      </w:r>
    </w:p>
    <w:p w14:paraId="1CD99ABA" w14:textId="77777777" w:rsidR="00E02C60" w:rsidRPr="00E02C60" w:rsidRDefault="00E02C60" w:rsidP="00E02C60">
      <w:pPr>
        <w:numPr>
          <w:ilvl w:val="0"/>
          <w:numId w:val="4"/>
        </w:numPr>
        <w:tabs>
          <w:tab w:val="clear" w:pos="785"/>
          <w:tab w:val="num" w:pos="709"/>
        </w:tabs>
        <w:spacing w:after="120"/>
        <w:ind w:left="709" w:hanging="283"/>
        <w:rPr>
          <w:rFonts w:cs="Arial"/>
          <w:sz w:val="16"/>
          <w:szCs w:val="16"/>
        </w:rPr>
      </w:pPr>
      <w:r w:rsidRPr="00E02C60">
        <w:rPr>
          <w:rFonts w:cs="Arial"/>
          <w:sz w:val="16"/>
          <w:szCs w:val="16"/>
        </w:rPr>
        <w:t>informace o umístění Cenných papírů Klienta u jednotlivých Správců evidence.</w:t>
      </w:r>
    </w:p>
    <w:p w14:paraId="63119468" w14:textId="77777777" w:rsidR="00E02C60" w:rsidRPr="00E02C60" w:rsidRDefault="00E02C60" w:rsidP="006D6C7C">
      <w:pPr>
        <w:pStyle w:val="Nadpis2"/>
        <w:numPr>
          <w:ilvl w:val="1"/>
          <w:numId w:val="13"/>
        </w:numPr>
        <w:tabs>
          <w:tab w:val="num" w:pos="425"/>
        </w:tabs>
        <w:ind w:left="425" w:hanging="425"/>
        <w:rPr>
          <w:rFonts w:cs="Arial"/>
          <w:b/>
          <w:sz w:val="16"/>
          <w:szCs w:val="16"/>
        </w:rPr>
      </w:pPr>
      <w:bookmarkStart w:id="148" w:name="_Ref183335396"/>
      <w:r w:rsidRPr="00E02C60">
        <w:rPr>
          <w:rFonts w:cs="Arial"/>
          <w:b/>
          <w:sz w:val="16"/>
          <w:szCs w:val="16"/>
        </w:rPr>
        <w:t>Správa Cenných papírů</w:t>
      </w:r>
      <w:bookmarkEnd w:id="148"/>
    </w:p>
    <w:p w14:paraId="34773485"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Banka provádí pro Klienta Správu v rozsahu a za podmínek stanovených Smlouvou a v souladu s podmínkami jednotlivých Bankou užívaných Správců evidence, a to počínaje okamžikem připsání Cenných papírů na Podúčet cenných papírů.</w:t>
      </w:r>
    </w:p>
    <w:p w14:paraId="5C26AAE1"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Banka provádí pro Klienta Správu v rozsahu, v jakém jí to emitent Cenného papíru, Klient či třetí osoba, jejíž práva váznou na Cenném papíru, umožňují.</w:t>
      </w:r>
    </w:p>
    <w:p w14:paraId="52766E67"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Banka je oprávněna, bez uvedení důvodu, odmítnout převzít jakýkoli Cenný papír do Správy, a to i v případě, kdy Cenný papír stejné emise již ve Správě má.</w:t>
      </w:r>
    </w:p>
    <w:p w14:paraId="24763824"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sz w:val="16"/>
          <w:szCs w:val="16"/>
        </w:rPr>
        <w:t>Pokud není dále stanoveno jinak, při výkonu Správy Banka bez dalšího Pokynu:</w:t>
      </w:r>
    </w:p>
    <w:p w14:paraId="665484EF" w14:textId="77777777" w:rsidR="00E02C60" w:rsidRPr="00E02C60" w:rsidRDefault="00E02C60" w:rsidP="00D75150">
      <w:pPr>
        <w:widowControl w:val="0"/>
        <w:numPr>
          <w:ilvl w:val="0"/>
          <w:numId w:val="3"/>
        </w:numPr>
        <w:tabs>
          <w:tab w:val="clear" w:pos="851"/>
          <w:tab w:val="num" w:pos="1134"/>
        </w:tabs>
        <w:spacing w:after="60"/>
        <w:ind w:left="1134" w:hanging="283"/>
        <w:rPr>
          <w:rFonts w:cs="Arial"/>
          <w:sz w:val="16"/>
          <w:szCs w:val="16"/>
        </w:rPr>
      </w:pPr>
      <w:r w:rsidRPr="00E02C60">
        <w:rPr>
          <w:rFonts w:cs="Arial"/>
          <w:sz w:val="16"/>
          <w:szCs w:val="16"/>
        </w:rPr>
        <w:t>uplatňuje práva na výnosy a jistiny z Cenného papíru u emitenta nebo jím pověřené osoby nebo u Správce evidence;</w:t>
      </w:r>
    </w:p>
    <w:p w14:paraId="537CA615" w14:textId="77777777" w:rsidR="00E02C60" w:rsidRPr="00E02C60" w:rsidRDefault="00E02C60" w:rsidP="00D75150">
      <w:pPr>
        <w:widowControl w:val="0"/>
        <w:numPr>
          <w:ilvl w:val="0"/>
          <w:numId w:val="3"/>
        </w:numPr>
        <w:tabs>
          <w:tab w:val="clear" w:pos="851"/>
          <w:tab w:val="num" w:pos="1134"/>
        </w:tabs>
        <w:spacing w:after="60"/>
        <w:ind w:left="1134" w:hanging="283"/>
        <w:rPr>
          <w:rFonts w:cs="Arial"/>
          <w:sz w:val="16"/>
          <w:szCs w:val="16"/>
        </w:rPr>
      </w:pPr>
      <w:r w:rsidRPr="00E02C60">
        <w:rPr>
          <w:rFonts w:cs="Arial"/>
          <w:sz w:val="16"/>
          <w:szCs w:val="16"/>
        </w:rPr>
        <w:t>inkasuje ve prospěch Podúčtu hotovosti platby, výnosy či jiná peněžitá plnění z Cenných papírů;</w:t>
      </w:r>
    </w:p>
    <w:p w14:paraId="6FFC44A0" w14:textId="77777777" w:rsidR="00E02C60" w:rsidRPr="00E02C60" w:rsidRDefault="00E02C60" w:rsidP="00D75150">
      <w:pPr>
        <w:widowControl w:val="0"/>
        <w:numPr>
          <w:ilvl w:val="0"/>
          <w:numId w:val="3"/>
        </w:numPr>
        <w:tabs>
          <w:tab w:val="clear" w:pos="851"/>
          <w:tab w:val="num" w:pos="1134"/>
        </w:tabs>
        <w:spacing w:after="60"/>
        <w:ind w:left="1134" w:hanging="283"/>
        <w:rPr>
          <w:rFonts w:cs="Arial"/>
          <w:sz w:val="16"/>
          <w:szCs w:val="16"/>
        </w:rPr>
      </w:pPr>
      <w:r w:rsidRPr="00E02C60">
        <w:rPr>
          <w:rFonts w:cs="Arial"/>
          <w:sz w:val="16"/>
          <w:szCs w:val="16"/>
        </w:rPr>
        <w:t>přebírá od emitenta Cenné papíry, které Klient nabyl v důsledku uplatnění práv spojených s Cennými papíry ve Správě, a tyto připisuje ve prospěch Podúčtu cenných papírů;</w:t>
      </w:r>
    </w:p>
    <w:p w14:paraId="3BE19587" w14:textId="77777777" w:rsidR="00E02C60" w:rsidRPr="00E02C60" w:rsidRDefault="00E02C60" w:rsidP="00D75150">
      <w:pPr>
        <w:widowControl w:val="0"/>
        <w:numPr>
          <w:ilvl w:val="0"/>
          <w:numId w:val="3"/>
        </w:numPr>
        <w:tabs>
          <w:tab w:val="clear" w:pos="851"/>
          <w:tab w:val="num" w:pos="1134"/>
        </w:tabs>
        <w:spacing w:after="60"/>
        <w:ind w:left="1134" w:hanging="283"/>
        <w:rPr>
          <w:rFonts w:cs="Arial"/>
          <w:sz w:val="16"/>
          <w:szCs w:val="16"/>
        </w:rPr>
      </w:pPr>
      <w:r w:rsidRPr="00E02C60">
        <w:rPr>
          <w:rFonts w:cs="Arial"/>
          <w:sz w:val="16"/>
          <w:szCs w:val="16"/>
        </w:rPr>
        <w:t>provádí další činnosti, které jsou podle názoru Banky nezbytné v souvislosti s obdržením plateb, přijetím výnosů či zachováním jiných práv spojených s Cennými papíry;</w:t>
      </w:r>
    </w:p>
    <w:p w14:paraId="583228FE" w14:textId="77777777" w:rsidR="00E02C60" w:rsidRPr="00E02C60" w:rsidRDefault="00E02C60" w:rsidP="00D75150">
      <w:pPr>
        <w:widowControl w:val="0"/>
        <w:numPr>
          <w:ilvl w:val="0"/>
          <w:numId w:val="3"/>
        </w:numPr>
        <w:tabs>
          <w:tab w:val="clear" w:pos="851"/>
          <w:tab w:val="num" w:pos="1134"/>
        </w:tabs>
        <w:spacing w:after="60"/>
        <w:ind w:left="1134" w:hanging="283"/>
        <w:rPr>
          <w:rFonts w:cs="Arial"/>
          <w:sz w:val="16"/>
          <w:szCs w:val="16"/>
        </w:rPr>
      </w:pPr>
      <w:r w:rsidRPr="00E02C60">
        <w:rPr>
          <w:rFonts w:cs="Arial"/>
          <w:sz w:val="16"/>
          <w:szCs w:val="16"/>
        </w:rPr>
        <w:t xml:space="preserve">uzavírá potřebné smlouvy s třetími osobami týkající se právních jednání potřebných </w:t>
      </w:r>
      <w:r w:rsidRPr="00E02C60">
        <w:rPr>
          <w:rFonts w:cs="Arial"/>
          <w:sz w:val="16"/>
          <w:szCs w:val="16"/>
        </w:rPr>
        <w:lastRenderedPageBreak/>
        <w:t>k řádnému plnění povinností Banky na základě Smlouvy;</w:t>
      </w:r>
    </w:p>
    <w:p w14:paraId="175B8705" w14:textId="77777777" w:rsidR="00E02C60" w:rsidRPr="00E02C60" w:rsidRDefault="00E02C60" w:rsidP="00D75150">
      <w:pPr>
        <w:widowControl w:val="0"/>
        <w:numPr>
          <w:ilvl w:val="0"/>
          <w:numId w:val="3"/>
        </w:numPr>
        <w:tabs>
          <w:tab w:val="clear" w:pos="851"/>
          <w:tab w:val="num" w:pos="1134"/>
        </w:tabs>
        <w:spacing w:after="60"/>
        <w:ind w:left="1134" w:hanging="283"/>
        <w:rPr>
          <w:rFonts w:cs="Arial"/>
          <w:sz w:val="16"/>
          <w:szCs w:val="16"/>
        </w:rPr>
      </w:pPr>
      <w:r w:rsidRPr="00E02C60">
        <w:rPr>
          <w:rFonts w:cs="Arial"/>
          <w:sz w:val="16"/>
          <w:szCs w:val="16"/>
        </w:rPr>
        <w:t>vystavuje čestná prohlášení, potvrzení a jiné listiny týkající se vlastnictví Cenných papírů, která mohou být v souvislosti se Správou a Vypořádáním obchodu požadovány třetími stranami; a Klient se zavazuje, že v případě nutnosti potvrdí, případně učiní potřebné kroky, aby potvrdil jednání Banky podle tohoto bodu, a to i před tím, než je Banka učiní;</w:t>
      </w:r>
    </w:p>
    <w:p w14:paraId="2D579020" w14:textId="77777777" w:rsidR="00E02C60" w:rsidRPr="00E02C60" w:rsidRDefault="00E02C60" w:rsidP="00D75150">
      <w:pPr>
        <w:widowControl w:val="0"/>
        <w:numPr>
          <w:ilvl w:val="0"/>
          <w:numId w:val="3"/>
        </w:numPr>
        <w:tabs>
          <w:tab w:val="clear" w:pos="851"/>
          <w:tab w:val="num" w:pos="1134"/>
        </w:tabs>
        <w:spacing w:after="60"/>
        <w:ind w:left="1134" w:hanging="283"/>
        <w:rPr>
          <w:rFonts w:cs="Arial"/>
          <w:sz w:val="16"/>
          <w:szCs w:val="16"/>
        </w:rPr>
      </w:pPr>
      <w:r w:rsidRPr="00E02C60">
        <w:rPr>
          <w:rFonts w:cs="Arial"/>
          <w:sz w:val="16"/>
          <w:szCs w:val="16"/>
        </w:rPr>
        <w:t>činí vůči Správci evidence a vypořádacímu systému veškeré činnosti, které jsou nezbytné či vhodné, aby Banka mohla poskytovat Klientovi Služby;</w:t>
      </w:r>
    </w:p>
    <w:p w14:paraId="1340F624" w14:textId="77777777" w:rsidR="00E02C60" w:rsidRPr="00E02C60" w:rsidRDefault="00E02C60" w:rsidP="00D75150">
      <w:pPr>
        <w:widowControl w:val="0"/>
        <w:numPr>
          <w:ilvl w:val="0"/>
          <w:numId w:val="3"/>
        </w:numPr>
        <w:tabs>
          <w:tab w:val="clear" w:pos="851"/>
          <w:tab w:val="num" w:pos="1134"/>
        </w:tabs>
        <w:spacing w:after="120"/>
        <w:ind w:left="1134" w:hanging="283"/>
        <w:rPr>
          <w:rFonts w:cs="Arial"/>
          <w:sz w:val="16"/>
          <w:szCs w:val="16"/>
        </w:rPr>
      </w:pPr>
      <w:r w:rsidRPr="00E02C60">
        <w:rPr>
          <w:rFonts w:cs="Arial"/>
          <w:sz w:val="16"/>
          <w:szCs w:val="16"/>
        </w:rPr>
        <w:t>při změně Správce evidence provádí převod Cenných papírů k jinému Správci evidence i bez souhlasu Klienta.</w:t>
      </w:r>
    </w:p>
    <w:p w14:paraId="3E2F86BD"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bookmarkStart w:id="149" w:name="_Ref405296072"/>
      <w:bookmarkStart w:id="150" w:name="_Ref266364397"/>
      <w:r w:rsidRPr="00E02C60">
        <w:rPr>
          <w:rFonts w:cs="Arial"/>
          <w:sz w:val="16"/>
          <w:szCs w:val="16"/>
        </w:rPr>
        <w:t>Banka na základě výslovného Pokynu dále:</w:t>
      </w:r>
      <w:bookmarkEnd w:id="149"/>
      <w:bookmarkEnd w:id="150"/>
    </w:p>
    <w:p w14:paraId="4050DB53" w14:textId="77777777" w:rsidR="00E02C60" w:rsidRPr="00E02C60" w:rsidRDefault="00E02C60" w:rsidP="006D6C7C">
      <w:pPr>
        <w:widowControl w:val="0"/>
        <w:numPr>
          <w:ilvl w:val="0"/>
          <w:numId w:val="26"/>
        </w:numPr>
        <w:tabs>
          <w:tab w:val="clear" w:pos="851"/>
          <w:tab w:val="num" w:pos="1134"/>
        </w:tabs>
        <w:spacing w:after="60"/>
        <w:ind w:left="1134" w:hanging="283"/>
        <w:rPr>
          <w:rFonts w:cs="Arial"/>
          <w:sz w:val="16"/>
          <w:szCs w:val="16"/>
        </w:rPr>
      </w:pPr>
      <w:r w:rsidRPr="00E02C60">
        <w:rPr>
          <w:rFonts w:cs="Arial"/>
          <w:sz w:val="16"/>
          <w:szCs w:val="16"/>
        </w:rPr>
        <w:t>vykonává výměnná nebo jiná práva spojená s Cennými papíry, jakož i další práva či povinnosti vlastníka Cenných papírů související se snížením základního kapitálu emitenta Cenných papírů nebo se zrušením emitenta, jeho přeměnou, likvidací či transakcí obdobné povahy;</w:t>
      </w:r>
    </w:p>
    <w:p w14:paraId="78FAD0BF" w14:textId="77777777" w:rsidR="00E02C60" w:rsidRPr="00E02C60" w:rsidRDefault="00E02C60" w:rsidP="006D6C7C">
      <w:pPr>
        <w:widowControl w:val="0"/>
        <w:numPr>
          <w:ilvl w:val="0"/>
          <w:numId w:val="26"/>
        </w:numPr>
        <w:tabs>
          <w:tab w:val="clear" w:pos="851"/>
          <w:tab w:val="num" w:pos="1134"/>
        </w:tabs>
        <w:spacing w:after="60"/>
        <w:ind w:left="1134" w:hanging="283"/>
        <w:rPr>
          <w:rFonts w:cs="Arial"/>
          <w:sz w:val="16"/>
          <w:szCs w:val="16"/>
        </w:rPr>
      </w:pPr>
      <w:r w:rsidRPr="00E02C60">
        <w:rPr>
          <w:rFonts w:cs="Arial"/>
          <w:sz w:val="16"/>
          <w:szCs w:val="16"/>
        </w:rPr>
        <w:t>uplatňuje práva na přednostní úpis Cenných papírů při zvyšování základního kapitálu emitenta spojená s Cennými papíry;</w:t>
      </w:r>
    </w:p>
    <w:p w14:paraId="4927282C" w14:textId="77777777" w:rsidR="00E02C60" w:rsidRPr="00E02C60" w:rsidRDefault="00E02C60" w:rsidP="006D6C7C">
      <w:pPr>
        <w:widowControl w:val="0"/>
        <w:numPr>
          <w:ilvl w:val="0"/>
          <w:numId w:val="26"/>
        </w:numPr>
        <w:tabs>
          <w:tab w:val="clear" w:pos="851"/>
          <w:tab w:val="num" w:pos="1134"/>
        </w:tabs>
        <w:spacing w:after="60"/>
        <w:ind w:left="1134" w:hanging="283"/>
        <w:rPr>
          <w:rFonts w:cs="Arial"/>
          <w:sz w:val="16"/>
          <w:szCs w:val="16"/>
        </w:rPr>
      </w:pPr>
      <w:r w:rsidRPr="00E02C60">
        <w:rPr>
          <w:rFonts w:cs="Arial"/>
          <w:sz w:val="16"/>
          <w:szCs w:val="16"/>
        </w:rPr>
        <w:t>uplatňuje opční práva na předčasné splacení, případně odkoupení, Cenných papírů ve Správě;</w:t>
      </w:r>
    </w:p>
    <w:p w14:paraId="7E3CF254" w14:textId="77777777" w:rsidR="00E02C60" w:rsidRPr="00E02C60" w:rsidRDefault="00E02C60" w:rsidP="006D6C7C">
      <w:pPr>
        <w:widowControl w:val="0"/>
        <w:numPr>
          <w:ilvl w:val="0"/>
          <w:numId w:val="26"/>
        </w:numPr>
        <w:tabs>
          <w:tab w:val="clear" w:pos="851"/>
          <w:tab w:val="num" w:pos="1134"/>
        </w:tabs>
        <w:spacing w:after="60"/>
        <w:ind w:left="1134" w:hanging="283"/>
        <w:rPr>
          <w:rFonts w:cs="Arial"/>
          <w:sz w:val="16"/>
          <w:szCs w:val="16"/>
        </w:rPr>
      </w:pPr>
      <w:r w:rsidRPr="00E02C60">
        <w:rPr>
          <w:rFonts w:cs="Arial"/>
          <w:sz w:val="16"/>
          <w:szCs w:val="16"/>
        </w:rPr>
        <w:t>vypořádává úpis nově vydaného Cenného papíru;</w:t>
      </w:r>
    </w:p>
    <w:p w14:paraId="03297243" w14:textId="77777777" w:rsidR="00E02C60" w:rsidRPr="00E02C60" w:rsidRDefault="00E02C60" w:rsidP="00C1629D">
      <w:pPr>
        <w:widowControl w:val="0"/>
        <w:numPr>
          <w:ilvl w:val="0"/>
          <w:numId w:val="26"/>
        </w:numPr>
        <w:tabs>
          <w:tab w:val="clear" w:pos="851"/>
          <w:tab w:val="num" w:pos="1134"/>
        </w:tabs>
        <w:spacing w:after="60"/>
        <w:ind w:left="1134" w:hanging="283"/>
        <w:rPr>
          <w:rFonts w:cs="Arial"/>
          <w:sz w:val="16"/>
          <w:szCs w:val="16"/>
        </w:rPr>
      </w:pPr>
      <w:r w:rsidRPr="00E02C60">
        <w:rPr>
          <w:rFonts w:cs="Arial"/>
          <w:sz w:val="16"/>
          <w:szCs w:val="16"/>
        </w:rPr>
        <w:t>zajišťuje registraci a výmaz zástavních práv, zápis, změnu nebo zrušení PPN na příslušných účtech vedených Správcem evidence</w:t>
      </w:r>
      <w:r w:rsidR="00C1629D">
        <w:rPr>
          <w:rFonts w:cs="Arial"/>
          <w:sz w:val="16"/>
          <w:szCs w:val="16"/>
        </w:rPr>
        <w:t>;</w:t>
      </w:r>
    </w:p>
    <w:p w14:paraId="68111DA0" w14:textId="77777777" w:rsidR="00C1629D" w:rsidRPr="00C1629D" w:rsidRDefault="00C1629D" w:rsidP="00C1629D">
      <w:pPr>
        <w:widowControl w:val="0"/>
        <w:numPr>
          <w:ilvl w:val="0"/>
          <w:numId w:val="26"/>
        </w:numPr>
        <w:tabs>
          <w:tab w:val="clear" w:pos="851"/>
          <w:tab w:val="num" w:pos="1134"/>
        </w:tabs>
        <w:spacing w:after="120"/>
        <w:ind w:left="1134" w:hanging="283"/>
        <w:rPr>
          <w:rFonts w:cs="Arial"/>
          <w:sz w:val="14"/>
          <w:szCs w:val="14"/>
        </w:rPr>
      </w:pPr>
      <w:bookmarkStart w:id="151" w:name="_Hlk193704872"/>
      <w:r w:rsidRPr="00C1629D">
        <w:rPr>
          <w:sz w:val="16"/>
          <w:szCs w:val="16"/>
        </w:rPr>
        <w:t>uplatňuje na základě volby Klienta takové právo či práva související s Cennými papíry, jejichž uplatnění příslušné podmínky týkající se takových práv umožňují, jako např. výběr mezi cennými papíry a peněžními prostředky, různými typy cenných papírů apod.</w:t>
      </w:r>
      <w:bookmarkEnd w:id="151"/>
    </w:p>
    <w:p w14:paraId="73AA602F"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Klient a Banka se mohou dohodnout, že Banka na účet Klienta provede jiný úkon související se Správou. Dohoda podle předcházející věty se považuje za uzavřenou tím, že Banka provede úkon podle písemného Pokynu, ve kterém Klient vymezí, jaký úkon má Banka učinit. Odměna Banky za provedení úkonu se řídí Sazebníkem, pokud se Klient a Banka nedohodnou jinak.</w:t>
      </w:r>
    </w:p>
    <w:p w14:paraId="6A38F2D8"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bookmarkStart w:id="152" w:name="_Ref405295899"/>
      <w:bookmarkStart w:id="153" w:name="_Ref183347031"/>
      <w:bookmarkStart w:id="154" w:name="_Ref201564628"/>
      <w:r w:rsidRPr="00E02C60">
        <w:rPr>
          <w:rFonts w:cs="Arial"/>
          <w:sz w:val="16"/>
          <w:szCs w:val="16"/>
        </w:rPr>
        <w:t>Banka v rámci Správy vykonává hlasovací práva spojená s Cenným papírem na valné hromadě v případě akcie nebo na schůzi vlastníků dluhopisů v případě dluhopisu, včetně případného informování Klienta o konání těchto kapitálových událostí,</w:t>
      </w:r>
      <w:bookmarkEnd w:id="152"/>
      <w:bookmarkEnd w:id="153"/>
      <w:r w:rsidRPr="00E02C60">
        <w:rPr>
          <w:rFonts w:cs="Arial"/>
          <w:sz w:val="16"/>
          <w:szCs w:val="16"/>
        </w:rPr>
        <w:t xml:space="preserve"> pouze v případech, kdy je k tomu dle příslušných právních předpisů povinna, a to zejména dle ZPKT, a v případech, kdy se na tom s Klientem výslovně dohodne.</w:t>
      </w:r>
      <w:bookmarkEnd w:id="154"/>
    </w:p>
    <w:p w14:paraId="25C92768" w14:textId="3E486DE1"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b/>
          <w:sz w:val="16"/>
          <w:szCs w:val="16"/>
        </w:rPr>
        <w:t xml:space="preserve">Správa zahraničních Cenných papírů. </w:t>
      </w:r>
      <w:bookmarkStart w:id="155" w:name="_Ref262546218"/>
      <w:r w:rsidRPr="00E02C60">
        <w:rPr>
          <w:rFonts w:cs="Arial"/>
          <w:sz w:val="16"/>
          <w:szCs w:val="16"/>
        </w:rPr>
        <w:t xml:space="preserve">Správu Cenných papírů vydaných v zemích OECD (s výjimkou České republiky) Banka vykonává pouze, pokud jsou evidovány na klientských účtech Banky u Správce evidence, případně přímo na účtu Klienta vedeném u Správce evidence, pokud tyto subjekty Správu v daném rozsahu umožňují a pokud Pokyn nebo plná moc udělená Klientem Bance nestanoví </w:t>
      </w:r>
      <w:r w:rsidRPr="00E02C60">
        <w:rPr>
          <w:rFonts w:cs="Arial"/>
          <w:sz w:val="16"/>
          <w:szCs w:val="16"/>
        </w:rPr>
        <w:t>jinak.</w:t>
      </w:r>
      <w:bookmarkEnd w:id="155"/>
      <w:r w:rsidRPr="00E02C60">
        <w:rPr>
          <w:rFonts w:cs="Arial"/>
          <w:sz w:val="16"/>
          <w:szCs w:val="16"/>
        </w:rPr>
        <w:t xml:space="preserve"> Odstavec </w:t>
      </w:r>
      <w:r w:rsidRPr="00E02C60">
        <w:rPr>
          <w:rFonts w:cs="Arial"/>
          <w:sz w:val="16"/>
          <w:szCs w:val="16"/>
        </w:rPr>
        <w:fldChar w:fldCharType="begin"/>
      </w:r>
      <w:r w:rsidRPr="00E02C60">
        <w:rPr>
          <w:rFonts w:cs="Arial"/>
          <w:sz w:val="16"/>
          <w:szCs w:val="16"/>
        </w:rPr>
        <w:instrText xml:space="preserve"> REF _Ref405295899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5.22.7</w:t>
      </w:r>
      <w:r w:rsidRPr="00E02C60">
        <w:rPr>
          <w:rFonts w:cs="Arial"/>
          <w:sz w:val="16"/>
          <w:szCs w:val="16"/>
        </w:rPr>
        <w:fldChar w:fldCharType="end"/>
      </w:r>
      <w:r w:rsidRPr="00E02C60">
        <w:rPr>
          <w:rFonts w:cs="Arial"/>
          <w:sz w:val="16"/>
          <w:szCs w:val="16"/>
        </w:rPr>
        <w:t xml:space="preserve"> tohoto článku tímto není dotčen.</w:t>
      </w:r>
    </w:p>
    <w:p w14:paraId="30F97994"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sz w:val="16"/>
          <w:szCs w:val="16"/>
        </w:rPr>
        <w:t>Cenné papíry svěřené Klientem do Správy budou evidovány na příslušném účtu, a to zejména na účtu vedeném v:</w:t>
      </w:r>
    </w:p>
    <w:p w14:paraId="6DB9F077" w14:textId="77777777" w:rsidR="00E02C60" w:rsidRPr="00E02C60" w:rsidRDefault="00E02C60" w:rsidP="00D75150">
      <w:pPr>
        <w:widowControl w:val="0"/>
        <w:numPr>
          <w:ilvl w:val="0"/>
          <w:numId w:val="5"/>
        </w:numPr>
        <w:tabs>
          <w:tab w:val="clear" w:pos="851"/>
          <w:tab w:val="num" w:pos="1134"/>
        </w:tabs>
        <w:spacing w:after="60"/>
        <w:ind w:left="1134" w:hanging="283"/>
        <w:rPr>
          <w:rFonts w:cs="Arial"/>
          <w:sz w:val="16"/>
          <w:szCs w:val="16"/>
        </w:rPr>
      </w:pPr>
      <w:r w:rsidRPr="00E02C60">
        <w:rPr>
          <w:rFonts w:cs="Arial"/>
          <w:sz w:val="16"/>
          <w:szCs w:val="16"/>
        </w:rPr>
        <w:t>centrální evidenci CDCP nebo v evidenci navazující na centrální evidenci CDCP nebo</w:t>
      </w:r>
    </w:p>
    <w:p w14:paraId="114AECEF" w14:textId="77777777" w:rsidR="00E02C60" w:rsidRPr="00E02C60" w:rsidRDefault="00E02C60" w:rsidP="00D75150">
      <w:pPr>
        <w:widowControl w:val="0"/>
        <w:numPr>
          <w:ilvl w:val="0"/>
          <w:numId w:val="5"/>
        </w:numPr>
        <w:tabs>
          <w:tab w:val="clear" w:pos="851"/>
          <w:tab w:val="num" w:pos="1134"/>
        </w:tabs>
        <w:spacing w:after="60"/>
        <w:ind w:left="1134" w:hanging="283"/>
        <w:rPr>
          <w:rFonts w:cs="Arial"/>
          <w:sz w:val="16"/>
          <w:szCs w:val="16"/>
        </w:rPr>
      </w:pPr>
      <w:r w:rsidRPr="00E02C60">
        <w:rPr>
          <w:rFonts w:cs="Arial"/>
          <w:sz w:val="16"/>
          <w:szCs w:val="16"/>
        </w:rPr>
        <w:t>samostatné evidence investičních nástrojů nebo v evidenci navazující na samostatnou evidenci investičních nástrojů nebo</w:t>
      </w:r>
    </w:p>
    <w:p w14:paraId="02704F4A" w14:textId="77777777" w:rsidR="00E02C60" w:rsidRPr="00E02C60" w:rsidRDefault="00E02C60" w:rsidP="00D75150">
      <w:pPr>
        <w:widowControl w:val="0"/>
        <w:numPr>
          <w:ilvl w:val="0"/>
          <w:numId w:val="5"/>
        </w:numPr>
        <w:tabs>
          <w:tab w:val="clear" w:pos="851"/>
          <w:tab w:val="num" w:pos="1134"/>
        </w:tabs>
        <w:spacing w:after="120"/>
        <w:ind w:left="1134" w:hanging="283"/>
        <w:rPr>
          <w:rFonts w:cs="Arial"/>
          <w:sz w:val="16"/>
          <w:szCs w:val="16"/>
        </w:rPr>
      </w:pPr>
      <w:r w:rsidRPr="00E02C60">
        <w:rPr>
          <w:rFonts w:cs="Arial"/>
          <w:sz w:val="16"/>
          <w:szCs w:val="16"/>
        </w:rPr>
        <w:t>u jiného Správce evidence.</w:t>
      </w:r>
    </w:p>
    <w:p w14:paraId="299E81C8"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r w:rsidRPr="00E02C60">
        <w:rPr>
          <w:rFonts w:cs="Arial"/>
          <w:sz w:val="16"/>
          <w:szCs w:val="16"/>
        </w:rPr>
        <w:t>Klient je srozuměn s tím, že jeho Cenné papíry (tuzemské i zahraniční) mohou být vedeny na účtech zákazníků (tzv. sběrných účtech) otevřených u Správce evidence na jméno Banky a Banka současně vede tyto Cenné papíry:</w:t>
      </w:r>
    </w:p>
    <w:p w14:paraId="40E59C77" w14:textId="77777777" w:rsidR="00E02C60" w:rsidRPr="00E02C60" w:rsidRDefault="00E02C60" w:rsidP="006D6C7C">
      <w:pPr>
        <w:numPr>
          <w:ilvl w:val="2"/>
          <w:numId w:val="33"/>
        </w:numPr>
        <w:tabs>
          <w:tab w:val="clear" w:pos="992"/>
          <w:tab w:val="num" w:pos="1134"/>
        </w:tabs>
        <w:spacing w:after="60"/>
        <w:ind w:left="1134" w:hanging="283"/>
        <w:rPr>
          <w:rFonts w:cs="Arial"/>
          <w:sz w:val="16"/>
          <w:szCs w:val="16"/>
        </w:rPr>
      </w:pPr>
      <w:r w:rsidRPr="00E02C60">
        <w:rPr>
          <w:rFonts w:cs="Arial"/>
          <w:sz w:val="16"/>
          <w:szCs w:val="16"/>
        </w:rPr>
        <w:t>v evidenci navazující na centrální evidenci zaknihovaných cenných papírů nebo na samostatnou evidenci investičních nástrojů, nebo</w:t>
      </w:r>
    </w:p>
    <w:p w14:paraId="43B064A9" w14:textId="77777777" w:rsidR="00E02C60" w:rsidRPr="00E02C60" w:rsidRDefault="00E02C60" w:rsidP="006D6C7C">
      <w:pPr>
        <w:numPr>
          <w:ilvl w:val="2"/>
          <w:numId w:val="33"/>
        </w:numPr>
        <w:tabs>
          <w:tab w:val="clear" w:pos="992"/>
          <w:tab w:val="num" w:pos="1134"/>
        </w:tabs>
        <w:spacing w:after="60"/>
        <w:ind w:left="1134" w:hanging="283"/>
        <w:rPr>
          <w:rFonts w:cs="Arial"/>
          <w:sz w:val="16"/>
          <w:szCs w:val="16"/>
        </w:rPr>
      </w:pPr>
      <w:r w:rsidRPr="00E02C60">
        <w:rPr>
          <w:rFonts w:cs="Arial"/>
          <w:sz w:val="16"/>
          <w:szCs w:val="16"/>
        </w:rPr>
        <w:t>v samostatné evidenci investičních nástrojů, a to dle příslušných ustanovení ZPKT.</w:t>
      </w:r>
    </w:p>
    <w:p w14:paraId="611282A8" w14:textId="77777777" w:rsidR="00E02C60" w:rsidRPr="00E02C60" w:rsidRDefault="00E02C60" w:rsidP="00D75150">
      <w:pPr>
        <w:spacing w:after="120"/>
        <w:ind w:left="851"/>
        <w:rPr>
          <w:rFonts w:cs="Arial"/>
          <w:sz w:val="16"/>
          <w:szCs w:val="16"/>
        </w:rPr>
      </w:pPr>
      <w:r w:rsidRPr="00E02C60">
        <w:rPr>
          <w:rFonts w:cs="Arial"/>
          <w:sz w:val="16"/>
          <w:szCs w:val="16"/>
        </w:rPr>
        <w:t xml:space="preserve">Cenné papíry jsou na těchto sběrných účtech odděleny od Cenných papírů Banky, ale jsou vedeny společně s Cennými papíry ostatních klientů Banky. </w:t>
      </w:r>
    </w:p>
    <w:p w14:paraId="1E2B4A04"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Banka na základě příkazu oprávněné osoby zapíše k Cenným papírům, které vede v samostatné evidenci, zástavní právo a vyznačí v ní údaje, které jsou vyžadovány pro vznik zástavního práva a které musí být uvedeny v příkazu k zápisu zástavního práva, včetně údaje o zástavním věřiteli.</w:t>
      </w:r>
    </w:p>
    <w:p w14:paraId="7DC32CE7" w14:textId="77777777" w:rsidR="00E02C60" w:rsidRPr="00E02C60" w:rsidRDefault="00E02C60" w:rsidP="006D6C7C">
      <w:pPr>
        <w:pStyle w:val="Nadpis3"/>
        <w:numPr>
          <w:ilvl w:val="2"/>
          <w:numId w:val="13"/>
        </w:numPr>
        <w:tabs>
          <w:tab w:val="num" w:pos="851"/>
          <w:tab w:val="num" w:pos="992"/>
        </w:tabs>
        <w:ind w:left="851" w:hanging="426"/>
        <w:rPr>
          <w:rFonts w:cs="Arial"/>
          <w:b/>
          <w:sz w:val="16"/>
          <w:szCs w:val="16"/>
        </w:rPr>
      </w:pPr>
      <w:bookmarkStart w:id="156" w:name="_Hlk129783326"/>
      <w:r w:rsidRPr="00E02C60">
        <w:rPr>
          <w:rFonts w:cs="Arial"/>
          <w:b/>
          <w:sz w:val="16"/>
          <w:szCs w:val="16"/>
        </w:rPr>
        <w:t>Nekotované tuzemské Cenné papíry.</w:t>
      </w:r>
      <w:r w:rsidRPr="00E02C60">
        <w:rPr>
          <w:rFonts w:cs="Arial"/>
          <w:bCs/>
          <w:sz w:val="16"/>
          <w:szCs w:val="16"/>
        </w:rPr>
        <w:t xml:space="preserve"> Banka neprovádí pro Klienta Správu nekotovaných tuzemských Cenných papírů. Jedná se o tuzemské nekotované akcie, dluhopisy a fondy, které nejsou registrované k obchodování na BCPP. Tímto není dotčena povinnost Klienta uhradit Bance Odměnu a Náklady spojené s vedením takových Cenných papírů v příslušné evidenci. </w:t>
      </w:r>
    </w:p>
    <w:bookmarkEnd w:id="156"/>
    <w:p w14:paraId="439E95A0" w14:textId="77777777" w:rsidR="00E02C60" w:rsidRPr="00E02C60" w:rsidRDefault="00E02C60" w:rsidP="006D6C7C">
      <w:pPr>
        <w:pStyle w:val="Nadpis3"/>
        <w:numPr>
          <w:ilvl w:val="2"/>
          <w:numId w:val="13"/>
        </w:numPr>
        <w:tabs>
          <w:tab w:val="num" w:pos="851"/>
          <w:tab w:val="num" w:pos="992"/>
        </w:tabs>
        <w:ind w:left="851" w:hanging="426"/>
        <w:rPr>
          <w:rFonts w:cs="Arial"/>
          <w:b/>
          <w:sz w:val="16"/>
          <w:szCs w:val="16"/>
        </w:rPr>
      </w:pPr>
      <w:r w:rsidRPr="00E02C60">
        <w:rPr>
          <w:rFonts w:cs="Arial"/>
          <w:b/>
          <w:sz w:val="16"/>
          <w:szCs w:val="16"/>
        </w:rPr>
        <w:t xml:space="preserve">Cenné papíry vydané jako cenný papír (listina). </w:t>
      </w:r>
      <w:r w:rsidRPr="00E02C60">
        <w:rPr>
          <w:rFonts w:cs="Arial"/>
          <w:sz w:val="16"/>
          <w:szCs w:val="16"/>
        </w:rPr>
        <w:t>Banka nepřebírá do Správy tuzemské Cenné papíry vydané jako cenný papír (listina) ani jiné obdobné listiny a nevykonává jejich Správu.</w:t>
      </w:r>
      <w:r w:rsidRPr="00E02C60">
        <w:rPr>
          <w:rFonts w:cs="Arial"/>
          <w:b/>
          <w:sz w:val="16"/>
          <w:szCs w:val="16"/>
        </w:rPr>
        <w:t xml:space="preserve"> </w:t>
      </w:r>
      <w:r w:rsidRPr="00E02C60">
        <w:rPr>
          <w:rFonts w:cs="Arial"/>
          <w:sz w:val="16"/>
          <w:szCs w:val="16"/>
        </w:rPr>
        <w:t xml:space="preserve"> </w:t>
      </w:r>
    </w:p>
    <w:p w14:paraId="35DEF0C5"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 xml:space="preserve">Zdanění příjmů z Cenných papírů a rovněž i zdanění příjmů z portfoliových účtů, se odvíjí od toho, kdo je konečným vlastníkem daných příjmů. Banka bude v případě zdanění postupovat podle příslušných právních předpisů. V případě, že konečný vlastník příjmů bude daňový rezident jiné země, než odkud mu plynou příjmy, a takový konečný vlastník bude chtít uplatnit smlouvu o zamezení dvojího zdanění uzavřenou mezi příslušnými zeměmi (existuje-li taková smlouva), je povinen předložit Bance před uzavřením prvního Obchodu a následně vždy do konce ledna každého kalendářního roku potvrzení o svém daňovém domicilu a prohlášení skutečného vlastníka a dále na základě výzvy Banky další dokumenty případně požadované plátcem příjmu. V případě, že Klient nedodá Bance požadované dokumenty, budou příjmy zdaněny v souladu s legislativou země, odkud příjmy plynou. V případě, že v průběhu kalendářního roku dojde ke změně daňového rezidentství nebo konečného vlastnictví, je Klient povinen tuto skutečnost prokázat Bance bez zbytečného odkladu. Banka nenese odpovědnost za to, jakou sazbou bude příslušný </w:t>
      </w:r>
      <w:r w:rsidRPr="00E02C60">
        <w:rPr>
          <w:rFonts w:cs="Arial"/>
          <w:sz w:val="16"/>
          <w:szCs w:val="16"/>
        </w:rPr>
        <w:lastRenderedPageBreak/>
        <w:t>plátce příjmy zdaňovat a negarantuje Klientovi, že plátce bude postupovat podle smlouvy o zamezení dvojího zdanění, i když obdržel veškeré požadované dokumenty.</w:t>
      </w:r>
    </w:p>
    <w:p w14:paraId="44C780A5" w14:textId="77777777" w:rsidR="00E02C60" w:rsidRPr="00E02C60" w:rsidRDefault="00E02C60" w:rsidP="006D6C7C">
      <w:pPr>
        <w:pStyle w:val="Nadpis3"/>
        <w:numPr>
          <w:ilvl w:val="2"/>
          <w:numId w:val="13"/>
        </w:numPr>
        <w:tabs>
          <w:tab w:val="num" w:pos="851"/>
          <w:tab w:val="num" w:pos="992"/>
        </w:tabs>
        <w:spacing w:after="60"/>
        <w:ind w:left="851" w:hanging="426"/>
        <w:rPr>
          <w:rFonts w:cs="Arial"/>
          <w:sz w:val="16"/>
          <w:szCs w:val="16"/>
        </w:rPr>
      </w:pPr>
      <w:bookmarkStart w:id="157" w:name="_Ref405296126"/>
      <w:bookmarkStart w:id="158" w:name="_Ref233162593"/>
      <w:r w:rsidRPr="00E02C60">
        <w:rPr>
          <w:rFonts w:cs="Arial"/>
          <w:b/>
          <w:sz w:val="16"/>
          <w:szCs w:val="16"/>
        </w:rPr>
        <w:t>Ocenění</w:t>
      </w:r>
      <w:bookmarkEnd w:id="157"/>
      <w:r w:rsidRPr="00E02C60">
        <w:rPr>
          <w:rFonts w:cs="Arial"/>
          <w:sz w:val="16"/>
          <w:szCs w:val="16"/>
        </w:rPr>
        <w:t xml:space="preserve"> </w:t>
      </w:r>
    </w:p>
    <w:p w14:paraId="349F13EE" w14:textId="77777777" w:rsidR="00E02C60" w:rsidRPr="00E02C60" w:rsidRDefault="00E02C60" w:rsidP="006D6C7C">
      <w:pPr>
        <w:widowControl w:val="0"/>
        <w:numPr>
          <w:ilvl w:val="0"/>
          <w:numId w:val="27"/>
        </w:numPr>
        <w:tabs>
          <w:tab w:val="clear" w:pos="851"/>
          <w:tab w:val="num" w:pos="1134"/>
        </w:tabs>
        <w:spacing w:after="60"/>
        <w:ind w:left="1134" w:hanging="283"/>
        <w:rPr>
          <w:rFonts w:cs="Arial"/>
          <w:sz w:val="16"/>
          <w:szCs w:val="16"/>
        </w:rPr>
      </w:pPr>
      <w:r w:rsidRPr="00E02C60">
        <w:rPr>
          <w:rFonts w:cs="Arial"/>
          <w:sz w:val="16"/>
          <w:szCs w:val="16"/>
        </w:rPr>
        <w:t>Pro účely výpočtu Odměny Banka oceňuje Cenné papíry vedené na Portfoliovém účtu, a to následovně:</w:t>
      </w:r>
      <w:bookmarkEnd w:id="158"/>
    </w:p>
    <w:p w14:paraId="55CC7112" w14:textId="77777777" w:rsidR="00E02C60" w:rsidRPr="00E02C60" w:rsidRDefault="00E02C60" w:rsidP="006D6C7C">
      <w:pPr>
        <w:widowControl w:val="0"/>
        <w:numPr>
          <w:ilvl w:val="0"/>
          <w:numId w:val="28"/>
        </w:numPr>
        <w:tabs>
          <w:tab w:val="clear" w:pos="851"/>
          <w:tab w:val="num" w:pos="1418"/>
        </w:tabs>
        <w:spacing w:after="60"/>
        <w:ind w:left="1418" w:hanging="284"/>
        <w:rPr>
          <w:rFonts w:cs="Arial"/>
          <w:sz w:val="16"/>
          <w:szCs w:val="16"/>
        </w:rPr>
      </w:pPr>
      <w:bookmarkStart w:id="159" w:name="_Ref407726260"/>
      <w:r w:rsidRPr="00E02C60">
        <w:rPr>
          <w:rFonts w:cs="Arial"/>
          <w:sz w:val="16"/>
          <w:szCs w:val="16"/>
        </w:rPr>
        <w:t>posledním kurzem Cenného papíru dostupným v systému Reuters nebo Bloomberg nebo oceněním provedeným Bankou, popřípadě oceněním získaným Bankou z jiného externího zdroje, a to způsobem obvyklým na trhu s Cennými papíry; nebo</w:t>
      </w:r>
      <w:bookmarkEnd w:id="159"/>
    </w:p>
    <w:p w14:paraId="1F1A90B0" w14:textId="13F36395" w:rsidR="00E02C60" w:rsidRPr="00E02C60" w:rsidRDefault="00E02C60" w:rsidP="006D6C7C">
      <w:pPr>
        <w:widowControl w:val="0"/>
        <w:numPr>
          <w:ilvl w:val="0"/>
          <w:numId w:val="28"/>
        </w:numPr>
        <w:tabs>
          <w:tab w:val="clear" w:pos="851"/>
          <w:tab w:val="num" w:pos="1418"/>
        </w:tabs>
        <w:spacing w:after="60"/>
        <w:ind w:left="1418" w:hanging="284"/>
        <w:rPr>
          <w:rFonts w:cs="Arial"/>
          <w:sz w:val="16"/>
          <w:szCs w:val="16"/>
        </w:rPr>
      </w:pPr>
      <w:r w:rsidRPr="00E02C60">
        <w:rPr>
          <w:rFonts w:cs="Arial"/>
          <w:sz w:val="16"/>
          <w:szCs w:val="16"/>
        </w:rPr>
        <w:t xml:space="preserve">v případě, že nelze cenu určit podle písmene </w:t>
      </w:r>
      <w:r w:rsidRPr="00E02C60">
        <w:rPr>
          <w:rFonts w:cs="Arial"/>
          <w:sz w:val="16"/>
          <w:szCs w:val="16"/>
        </w:rPr>
        <w:fldChar w:fldCharType="begin"/>
      </w:r>
      <w:r w:rsidRPr="00E02C60">
        <w:rPr>
          <w:rFonts w:cs="Arial"/>
          <w:sz w:val="16"/>
          <w:szCs w:val="16"/>
        </w:rPr>
        <w:instrText xml:space="preserve"> REF _Ref407726260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i)</w:t>
      </w:r>
      <w:r w:rsidRPr="00E02C60">
        <w:rPr>
          <w:rFonts w:cs="Arial"/>
          <w:sz w:val="16"/>
          <w:szCs w:val="16"/>
        </w:rPr>
        <w:fldChar w:fldCharType="end"/>
      </w:r>
      <w:r w:rsidRPr="00E02C60">
        <w:rPr>
          <w:rFonts w:cs="Arial"/>
          <w:sz w:val="16"/>
          <w:szCs w:val="16"/>
        </w:rPr>
        <w:t>, pak cenou, za kterou byl Cenný papír Klientem či pro Klienta nakoupen, popřípadě jmenovitou hodnotou; a</w:t>
      </w:r>
    </w:p>
    <w:p w14:paraId="592D7EE9" w14:textId="77777777" w:rsidR="00E02C60" w:rsidRPr="00E02C60" w:rsidRDefault="00E02C60" w:rsidP="006D6C7C">
      <w:pPr>
        <w:widowControl w:val="0"/>
        <w:numPr>
          <w:ilvl w:val="0"/>
          <w:numId w:val="28"/>
        </w:numPr>
        <w:tabs>
          <w:tab w:val="clear" w:pos="851"/>
          <w:tab w:val="num" w:pos="1418"/>
        </w:tabs>
        <w:spacing w:after="60"/>
        <w:ind w:left="1418" w:hanging="284"/>
        <w:rPr>
          <w:rFonts w:cs="Arial"/>
          <w:sz w:val="16"/>
          <w:szCs w:val="16"/>
        </w:rPr>
      </w:pPr>
      <w:r w:rsidRPr="00E02C60">
        <w:rPr>
          <w:rFonts w:cs="Arial"/>
          <w:sz w:val="16"/>
          <w:szCs w:val="16"/>
        </w:rPr>
        <w:t>v případě Cenných papírů Fondu kurzem dostupným v systému Reuters, Bloomberg nebo kurzem zveřejněným přímo emitentem Cenného papíru Fondu;</w:t>
      </w:r>
    </w:p>
    <w:p w14:paraId="416A9BB8" w14:textId="77777777" w:rsidR="00E02C60" w:rsidRPr="00E02C60" w:rsidRDefault="00E02C60" w:rsidP="006D6C7C">
      <w:pPr>
        <w:widowControl w:val="0"/>
        <w:numPr>
          <w:ilvl w:val="0"/>
          <w:numId w:val="28"/>
        </w:numPr>
        <w:tabs>
          <w:tab w:val="clear" w:pos="851"/>
          <w:tab w:val="num" w:pos="1418"/>
        </w:tabs>
        <w:spacing w:after="60"/>
        <w:ind w:left="1418" w:hanging="284"/>
        <w:rPr>
          <w:rFonts w:cs="Arial"/>
          <w:sz w:val="16"/>
          <w:szCs w:val="16"/>
        </w:rPr>
      </w:pPr>
      <w:r w:rsidRPr="00E02C60">
        <w:rPr>
          <w:rFonts w:cs="Arial"/>
          <w:sz w:val="16"/>
          <w:szCs w:val="16"/>
        </w:rPr>
        <w:t>jiným způsobem definovaným Sazebníkem.</w:t>
      </w:r>
    </w:p>
    <w:p w14:paraId="31E4AAFA" w14:textId="77777777" w:rsidR="00E02C60" w:rsidRPr="00E02C60" w:rsidRDefault="00E02C60" w:rsidP="00D75150">
      <w:pPr>
        <w:spacing w:after="60"/>
        <w:ind w:left="1134"/>
        <w:rPr>
          <w:rFonts w:cs="Arial"/>
          <w:sz w:val="16"/>
          <w:szCs w:val="16"/>
        </w:rPr>
      </w:pPr>
      <w:r w:rsidRPr="00E02C60">
        <w:rPr>
          <w:rFonts w:cs="Arial"/>
          <w:sz w:val="16"/>
          <w:szCs w:val="16"/>
        </w:rPr>
        <w:t xml:space="preserve">K přepočtu do měny CZK bude použit měnový kurs </w:t>
      </w:r>
      <w:r w:rsidR="00C1629D">
        <w:rPr>
          <w:rFonts w:cs="Arial"/>
          <w:sz w:val="16"/>
          <w:szCs w:val="16"/>
        </w:rPr>
        <w:t>–</w:t>
      </w:r>
      <w:r w:rsidRPr="00E02C60">
        <w:rPr>
          <w:rFonts w:cs="Arial"/>
          <w:sz w:val="16"/>
          <w:szCs w:val="16"/>
        </w:rPr>
        <w:t xml:space="preserve"> fixing</w:t>
      </w:r>
      <w:r w:rsidR="00C1629D">
        <w:rPr>
          <w:rFonts w:cs="Arial"/>
          <w:sz w:val="16"/>
          <w:szCs w:val="16"/>
        </w:rPr>
        <w:t xml:space="preserve"> </w:t>
      </w:r>
      <w:r w:rsidRPr="00E02C60">
        <w:rPr>
          <w:rFonts w:cs="Arial"/>
          <w:sz w:val="16"/>
          <w:szCs w:val="16"/>
        </w:rPr>
        <w:t>ČNB vyhlášený k příslušnému dni, k němuž je přepočet prováděn.</w:t>
      </w:r>
    </w:p>
    <w:p w14:paraId="2C7FF716" w14:textId="631CBAB3" w:rsidR="00E02C60" w:rsidRPr="00E02C60" w:rsidRDefault="00E02C60" w:rsidP="006D6C7C">
      <w:pPr>
        <w:widowControl w:val="0"/>
        <w:numPr>
          <w:ilvl w:val="0"/>
          <w:numId w:val="27"/>
        </w:numPr>
        <w:tabs>
          <w:tab w:val="clear" w:pos="851"/>
          <w:tab w:val="num" w:pos="1134"/>
        </w:tabs>
        <w:spacing w:after="60"/>
        <w:ind w:left="1134" w:hanging="283"/>
        <w:rPr>
          <w:rFonts w:cs="Arial"/>
          <w:sz w:val="16"/>
          <w:szCs w:val="16"/>
        </w:rPr>
      </w:pPr>
      <w:r w:rsidRPr="00E02C60">
        <w:rPr>
          <w:rFonts w:cs="Arial"/>
          <w:sz w:val="16"/>
          <w:szCs w:val="16"/>
        </w:rPr>
        <w:t xml:space="preserve">Ačkoliv Banka označuje ceny získané postupem podle odstavce </w:t>
      </w:r>
      <w:r w:rsidRPr="00E02C60">
        <w:rPr>
          <w:rFonts w:cs="Arial"/>
          <w:sz w:val="16"/>
          <w:szCs w:val="16"/>
        </w:rPr>
        <w:fldChar w:fldCharType="begin"/>
      </w:r>
      <w:r w:rsidRPr="00E02C60">
        <w:rPr>
          <w:rFonts w:cs="Arial"/>
          <w:sz w:val="16"/>
          <w:szCs w:val="16"/>
        </w:rPr>
        <w:instrText xml:space="preserve"> REF _Ref405296126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5.22.15</w:t>
      </w:r>
      <w:r w:rsidRPr="00E02C60">
        <w:rPr>
          <w:rFonts w:cs="Arial"/>
          <w:sz w:val="16"/>
          <w:szCs w:val="16"/>
        </w:rPr>
        <w:fldChar w:fldCharType="end"/>
      </w:r>
      <w:r w:rsidRPr="00E02C60">
        <w:rPr>
          <w:rFonts w:cs="Arial"/>
          <w:sz w:val="16"/>
          <w:szCs w:val="16"/>
        </w:rPr>
        <w:t xml:space="preserve"> za „tržní ceny“, „ocenění“ či jiným obdobným termínem, Banka negarantuje, že Klient bude mít možnost koupit nebo prodat příslušný Cenný papír právě za takovou cenu. Nelze vyloučit, že v určitém časovém období nebude na příslušném trhu žádná dostupná cena. Klient pak po tuto dobu nemusí mít možnost požadovaný nákup či prodej vůbec realizovat. Potencionální ztráta vyplývající z tohoto rizika může dosahovat až několik desítek procent rozdílu mezi očekávanou cenou vycházející z posledních známých cen příslušných Cenných papírů a cenou, kterou je případně za tyto Cenné papíry ochotna nabídnout Banka, nebo jiný subjekt na trhu v okamžiku, kdy jí Klient požaduje.</w:t>
      </w:r>
    </w:p>
    <w:p w14:paraId="4436DEA9" w14:textId="77777777" w:rsidR="00E02C60" w:rsidRPr="00E02C60" w:rsidRDefault="00E02C60" w:rsidP="006D6C7C">
      <w:pPr>
        <w:widowControl w:val="0"/>
        <w:numPr>
          <w:ilvl w:val="0"/>
          <w:numId w:val="27"/>
        </w:numPr>
        <w:tabs>
          <w:tab w:val="clear" w:pos="851"/>
          <w:tab w:val="num" w:pos="1134"/>
        </w:tabs>
        <w:spacing w:after="60"/>
        <w:ind w:left="1134" w:hanging="283"/>
        <w:rPr>
          <w:rFonts w:cs="Arial"/>
          <w:sz w:val="16"/>
          <w:szCs w:val="16"/>
        </w:rPr>
      </w:pPr>
      <w:r w:rsidRPr="00E02C60">
        <w:rPr>
          <w:rFonts w:cs="Arial"/>
          <w:sz w:val="16"/>
          <w:szCs w:val="16"/>
        </w:rPr>
        <w:t>Ocenění Cenných papírů slouží pouze pro účely výpočtu Odměny a nelze je považovat za podklad pro účetnictví Klienta či se na něj pro jakýkoliv jiný účel spoléhat. Ačkoliv Banka věnuje odbornou péči ocenění Cenných papírů, jejichž cenu není možné získat z externího zdroje, Banka vylučuje odpovědnost za (i) přesnost použitých modelů nebo odhadů použitých pro odvození ceny, (ii) za přesnost a úplnost dat použitých jako vstupy do příslušných modelů a (iii) za jakékoliv chyby nebo opomenutí v kalkulaci.</w:t>
      </w:r>
    </w:p>
    <w:p w14:paraId="0808C0CE" w14:textId="77777777" w:rsidR="00E02C60" w:rsidRPr="00E02C60" w:rsidRDefault="00E02C60" w:rsidP="006D6C7C">
      <w:pPr>
        <w:widowControl w:val="0"/>
        <w:numPr>
          <w:ilvl w:val="0"/>
          <w:numId w:val="27"/>
        </w:numPr>
        <w:tabs>
          <w:tab w:val="clear" w:pos="851"/>
          <w:tab w:val="num" w:pos="1134"/>
        </w:tabs>
        <w:spacing w:after="120"/>
        <w:ind w:left="1134" w:hanging="283"/>
        <w:rPr>
          <w:rFonts w:cs="Arial"/>
          <w:sz w:val="16"/>
          <w:szCs w:val="16"/>
        </w:rPr>
      </w:pPr>
      <w:r w:rsidRPr="00E02C60">
        <w:rPr>
          <w:rFonts w:cs="Arial"/>
          <w:sz w:val="16"/>
          <w:szCs w:val="16"/>
        </w:rPr>
        <w:t>Další podmínky pro ocenění mohou být stanoveny v Sazebníku.</w:t>
      </w:r>
    </w:p>
    <w:p w14:paraId="52D95648" w14:textId="77777777" w:rsidR="00E02C60" w:rsidRPr="00E02C60" w:rsidRDefault="00E02C60" w:rsidP="006D6C7C">
      <w:pPr>
        <w:pStyle w:val="Nadpis2"/>
        <w:numPr>
          <w:ilvl w:val="1"/>
          <w:numId w:val="13"/>
        </w:numPr>
        <w:tabs>
          <w:tab w:val="num" w:pos="425"/>
        </w:tabs>
        <w:ind w:left="426" w:hanging="426"/>
        <w:rPr>
          <w:rFonts w:cs="Arial"/>
          <w:b/>
          <w:sz w:val="16"/>
          <w:szCs w:val="16"/>
        </w:rPr>
      </w:pPr>
      <w:bookmarkStart w:id="160" w:name="_Ref53760748"/>
      <w:r w:rsidRPr="00E02C60">
        <w:rPr>
          <w:rFonts w:cs="Arial"/>
          <w:b/>
          <w:sz w:val="16"/>
          <w:szCs w:val="16"/>
        </w:rPr>
        <w:t>Výkon hlasovacích práv</w:t>
      </w:r>
      <w:bookmarkEnd w:id="160"/>
    </w:p>
    <w:p w14:paraId="76CFF1E1"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 xml:space="preserve">Vede-li Banka pro Klienta na Portfoliovém účtu cenné papíry představující podíl na emitentovi se sídlem v členském státě Evropské unie přijaté k obchodování na evropském regulovaném trhu a dostane-li od jejich emitenta (napřímo či zprostředkovaně od osoby, která vede centrální evidenci zaknihovaných cenných papírů nebo jinou evidenci investičních nástrojů) informace uvedené v </w:t>
      </w:r>
      <w:r w:rsidRPr="00E02C60">
        <w:rPr>
          <w:rFonts w:cs="Arial"/>
          <w:sz w:val="16"/>
          <w:szCs w:val="16"/>
        </w:rPr>
        <w:t xml:space="preserve">§ 120 odst. 7 ZPKT, např. informace o výplatě výnosu z cenného papíru, svolání valné hromady emitenta nebo změně práv spojených s cenným papírem, předá tyto informace Klientovi. Banka poté předá emitentovi informace od Klienta týkající se výkonu práv spojených s cennými papíry, případně tyto informace předá osobě, která na účtu zákazníků vede pro Banku cenné papíry vydané emitentem, bude-li tak Klient požadovat. </w:t>
      </w:r>
    </w:p>
    <w:p w14:paraId="227F29E5"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Vede-li Banka pro Klienta na Portfoliovém účtu cenné papíry představující podíl na emitentovi se sídlem v členském státě Evropské unie a přijaté k obchodování na evropském regulovaném trhu, předá od emitenta takových cenných papírů informaci o tom, zda a jak byly hlasy Klienta jako akcionáře při hlasování na valné hromadě započteny.</w:t>
      </w:r>
    </w:p>
    <w:p w14:paraId="0376F210"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 xml:space="preserve">Banka jako osoba, která vede evidenci investičních nástrojů, má povinnost sdělit emitentovi na jeho žádost údaje o majiteli účtu vlastníka, na kterém Banka eviduje cenné papíry vydané takovým emitentem. Tyto údaje Banka uchovává a zpracovává pro účely SRDII nejdéle po dobu 12 měsíců ode dne, kdy se dozví, že žádné akcie nebo obdobné cenné papíry vydané emitentem nejsou vedeny na účtu vlastníka daného majitele, pokud Bance jiné právní předpisy neukládají povinnost zpracovávat tyto údaje po delší dobu. </w:t>
      </w:r>
    </w:p>
    <w:p w14:paraId="05310850" w14:textId="4D6E2A11" w:rsidR="00E02C60" w:rsidRPr="00E02C60" w:rsidRDefault="00C1629D" w:rsidP="006D6C7C">
      <w:pPr>
        <w:pStyle w:val="Nadpis3"/>
        <w:numPr>
          <w:ilvl w:val="2"/>
          <w:numId w:val="13"/>
        </w:numPr>
        <w:tabs>
          <w:tab w:val="num" w:pos="851"/>
          <w:tab w:val="num" w:pos="992"/>
        </w:tabs>
        <w:ind w:left="851" w:hanging="426"/>
        <w:rPr>
          <w:rFonts w:cs="Arial"/>
          <w:sz w:val="16"/>
          <w:szCs w:val="16"/>
        </w:rPr>
      </w:pPr>
      <w:bookmarkStart w:id="161" w:name="_Hlk193710984"/>
      <w:r w:rsidRPr="00C1629D">
        <w:rPr>
          <w:rFonts w:cs="Arial"/>
          <w:sz w:val="16"/>
          <w:szCs w:val="16"/>
        </w:rPr>
        <w:t>Aby byla Banka schopna řádně a včas plnit povinnosti dle odst. </w:t>
      </w:r>
      <w:r>
        <w:rPr>
          <w:rFonts w:cs="Arial"/>
          <w:sz w:val="16"/>
          <w:szCs w:val="16"/>
        </w:rPr>
        <w:fldChar w:fldCharType="begin"/>
      </w:r>
      <w:r>
        <w:rPr>
          <w:rFonts w:cs="Arial"/>
          <w:sz w:val="16"/>
          <w:szCs w:val="16"/>
        </w:rPr>
        <w:instrText xml:space="preserve"> REF _Ref201564628 \r \h </w:instrText>
      </w:r>
      <w:r>
        <w:rPr>
          <w:rFonts w:cs="Arial"/>
          <w:sz w:val="16"/>
          <w:szCs w:val="16"/>
        </w:rPr>
      </w:r>
      <w:r>
        <w:rPr>
          <w:rFonts w:cs="Arial"/>
          <w:sz w:val="16"/>
          <w:szCs w:val="16"/>
        </w:rPr>
        <w:fldChar w:fldCharType="separate"/>
      </w:r>
      <w:r w:rsidR="00D93B71">
        <w:rPr>
          <w:rFonts w:cs="Arial"/>
          <w:sz w:val="16"/>
          <w:szCs w:val="16"/>
        </w:rPr>
        <w:t>5.22.7</w:t>
      </w:r>
      <w:r>
        <w:rPr>
          <w:rFonts w:cs="Arial"/>
          <w:sz w:val="16"/>
          <w:szCs w:val="16"/>
        </w:rPr>
        <w:fldChar w:fldCharType="end"/>
      </w:r>
      <w:r w:rsidRPr="00C1629D">
        <w:rPr>
          <w:rFonts w:cs="Arial"/>
          <w:sz w:val="16"/>
          <w:szCs w:val="16"/>
        </w:rPr>
        <w:t xml:space="preserve"> a tohoto odst. </w:t>
      </w:r>
      <w:r>
        <w:rPr>
          <w:rFonts w:cs="Arial"/>
          <w:sz w:val="16"/>
          <w:szCs w:val="16"/>
        </w:rPr>
        <w:fldChar w:fldCharType="begin"/>
      </w:r>
      <w:r>
        <w:rPr>
          <w:rFonts w:cs="Arial"/>
          <w:sz w:val="16"/>
          <w:szCs w:val="16"/>
        </w:rPr>
        <w:instrText xml:space="preserve"> REF _Ref53760748 \r \h </w:instrText>
      </w:r>
      <w:r>
        <w:rPr>
          <w:rFonts w:cs="Arial"/>
          <w:sz w:val="16"/>
          <w:szCs w:val="16"/>
        </w:rPr>
      </w:r>
      <w:r>
        <w:rPr>
          <w:rFonts w:cs="Arial"/>
          <w:sz w:val="16"/>
          <w:szCs w:val="16"/>
        </w:rPr>
        <w:fldChar w:fldCharType="separate"/>
      </w:r>
      <w:r w:rsidR="00D93B71">
        <w:rPr>
          <w:rFonts w:cs="Arial"/>
          <w:sz w:val="16"/>
          <w:szCs w:val="16"/>
        </w:rPr>
        <w:t>5.23</w:t>
      </w:r>
      <w:r>
        <w:rPr>
          <w:rFonts w:cs="Arial"/>
          <w:sz w:val="16"/>
          <w:szCs w:val="16"/>
        </w:rPr>
        <w:fldChar w:fldCharType="end"/>
      </w:r>
      <w:r w:rsidRPr="00C1629D">
        <w:rPr>
          <w:rFonts w:cs="Arial"/>
          <w:sz w:val="16"/>
          <w:szCs w:val="16"/>
        </w:rPr>
        <w:t>, je Klient povinen sdělit Bance svou e-mailovou adresu pro účely doručování na základě Smlouvy. Klientovi, který Bance neposkytne svou e-mailovou adresu, nebude Banka schopna předávat informace od emitentů a umožnit mu výkon práv spojených s cennými papíry.</w:t>
      </w:r>
      <w:bookmarkEnd w:id="161"/>
    </w:p>
    <w:p w14:paraId="451896E4"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Za předávání informací a výkon práv ze strany klientů náleží Bance v souladu s právními předpisy Odměna. Bližší informace a výše Odměny je uvedena v Sazebníku.</w:t>
      </w:r>
    </w:p>
    <w:p w14:paraId="5B617AA6" w14:textId="63FDC50B" w:rsidR="00E02C60" w:rsidRPr="00174F69" w:rsidRDefault="00174F69" w:rsidP="006D6C7C">
      <w:pPr>
        <w:pStyle w:val="Nadpis2"/>
        <w:numPr>
          <w:ilvl w:val="1"/>
          <w:numId w:val="13"/>
        </w:numPr>
        <w:tabs>
          <w:tab w:val="num" w:pos="425"/>
        </w:tabs>
        <w:ind w:left="426" w:hanging="426"/>
        <w:rPr>
          <w:rFonts w:cs="Arial"/>
          <w:b/>
          <w:sz w:val="16"/>
          <w:szCs w:val="16"/>
        </w:rPr>
      </w:pPr>
      <w:r w:rsidRPr="00174F69">
        <w:rPr>
          <w:b/>
          <w:sz w:val="16"/>
          <w:szCs w:val="16"/>
        </w:rPr>
        <w:t xml:space="preserve">Převod Cenných papírů mimo Správu v Bance. </w:t>
      </w:r>
      <w:r w:rsidRPr="00174F69">
        <w:rPr>
          <w:sz w:val="16"/>
          <w:szCs w:val="16"/>
        </w:rPr>
        <w:t xml:space="preserve">Banka si vyhrazuje právo požadovat, aby Klient převedl Cenné papíry ve Správě mimo Banku, je-li v souvislosti s předmětnými Cennými papíry dán některý z důvodů pro odmítnutí provedení Pokynu v odst. </w:t>
      </w:r>
      <w:r w:rsidRPr="00174F69">
        <w:rPr>
          <w:sz w:val="16"/>
          <w:szCs w:val="16"/>
        </w:rPr>
        <w:fldChar w:fldCharType="begin"/>
      </w:r>
      <w:r w:rsidRPr="00174F69">
        <w:rPr>
          <w:sz w:val="16"/>
          <w:szCs w:val="16"/>
        </w:rPr>
        <w:instrText xml:space="preserve"> REF _Ref53997919 \r \h  \* MERGEFORMAT </w:instrText>
      </w:r>
      <w:r w:rsidRPr="00174F69">
        <w:rPr>
          <w:sz w:val="16"/>
          <w:szCs w:val="16"/>
        </w:rPr>
      </w:r>
      <w:r w:rsidRPr="00174F69">
        <w:rPr>
          <w:sz w:val="16"/>
          <w:szCs w:val="16"/>
        </w:rPr>
        <w:fldChar w:fldCharType="separate"/>
      </w:r>
      <w:r w:rsidR="00D93B71">
        <w:rPr>
          <w:sz w:val="16"/>
          <w:szCs w:val="16"/>
        </w:rPr>
        <w:t>2.35</w:t>
      </w:r>
      <w:r w:rsidRPr="00174F69">
        <w:rPr>
          <w:sz w:val="16"/>
          <w:szCs w:val="16"/>
        </w:rPr>
        <w:fldChar w:fldCharType="end"/>
      </w:r>
      <w:r w:rsidRPr="00174F69">
        <w:rPr>
          <w:sz w:val="16"/>
          <w:szCs w:val="16"/>
        </w:rPr>
        <w:t xml:space="preserve"> až </w:t>
      </w:r>
      <w:r w:rsidRPr="00174F69">
        <w:rPr>
          <w:sz w:val="16"/>
          <w:szCs w:val="16"/>
        </w:rPr>
        <w:fldChar w:fldCharType="begin"/>
      </w:r>
      <w:r w:rsidRPr="00174F69">
        <w:rPr>
          <w:sz w:val="16"/>
          <w:szCs w:val="16"/>
        </w:rPr>
        <w:instrText xml:space="preserve"> REF _Ref53997922 \r \h  \* MERGEFORMAT </w:instrText>
      </w:r>
      <w:r w:rsidRPr="00174F69">
        <w:rPr>
          <w:sz w:val="16"/>
          <w:szCs w:val="16"/>
        </w:rPr>
      </w:r>
      <w:r w:rsidRPr="00174F69">
        <w:rPr>
          <w:sz w:val="16"/>
          <w:szCs w:val="16"/>
        </w:rPr>
        <w:fldChar w:fldCharType="separate"/>
      </w:r>
      <w:r w:rsidR="00D93B71">
        <w:rPr>
          <w:sz w:val="16"/>
          <w:szCs w:val="16"/>
        </w:rPr>
        <w:t>2.39</w:t>
      </w:r>
      <w:r w:rsidRPr="00174F69">
        <w:rPr>
          <w:sz w:val="16"/>
          <w:szCs w:val="16"/>
        </w:rPr>
        <w:fldChar w:fldCharType="end"/>
      </w:r>
      <w:r w:rsidRPr="00174F69">
        <w:rPr>
          <w:sz w:val="16"/>
          <w:szCs w:val="16"/>
        </w:rPr>
        <w:t xml:space="preserve"> nebo nepřijetí Pokynu v </w:t>
      </w:r>
      <w:r w:rsidRPr="00174F69">
        <w:rPr>
          <w:sz w:val="16"/>
          <w:szCs w:val="16"/>
        </w:rPr>
        <w:fldChar w:fldCharType="begin"/>
      </w:r>
      <w:r w:rsidRPr="00174F69">
        <w:rPr>
          <w:sz w:val="16"/>
          <w:szCs w:val="16"/>
        </w:rPr>
        <w:instrText xml:space="preserve"> REF _Ref53997925 \r \h  \* MERGEFORMAT </w:instrText>
      </w:r>
      <w:r w:rsidRPr="00174F69">
        <w:rPr>
          <w:sz w:val="16"/>
          <w:szCs w:val="16"/>
        </w:rPr>
      </w:r>
      <w:r w:rsidRPr="00174F69">
        <w:rPr>
          <w:sz w:val="16"/>
          <w:szCs w:val="16"/>
        </w:rPr>
        <w:fldChar w:fldCharType="separate"/>
      </w:r>
      <w:r w:rsidR="00D93B71">
        <w:rPr>
          <w:sz w:val="16"/>
          <w:szCs w:val="16"/>
        </w:rPr>
        <w:t>2.40</w:t>
      </w:r>
      <w:r w:rsidRPr="00174F69">
        <w:rPr>
          <w:sz w:val="16"/>
          <w:szCs w:val="16"/>
        </w:rPr>
        <w:fldChar w:fldCharType="end"/>
      </w:r>
      <w:r w:rsidRPr="00174F69">
        <w:rPr>
          <w:sz w:val="16"/>
          <w:szCs w:val="16"/>
        </w:rPr>
        <w:t xml:space="preserve"> nebo v případě, kdy dochází ke změně v osobě Správce evidence, v nímž vedené evidenci jsou vedeny Cenné papíry zákazníků Banky, a nový Správce evidence informuje Banku o tom, že není schopen některé Cenné papíry vést ve své evidenci. V takovém případě je Klient povinen poskytnout Bance na požádání přiměřenou součinnost, zejména podat příslušné Pokyny, a Cenné papíry převést mimo Správu Banku, a to bez zbytečného prodlení, nejpozději ve lhůtě dané Bankou. Pokud Klient neposkytne přiměřenou součinnost, má Banka právo příslušné Cenné papíry prodat za nejlepší možnou tržní cenu v souladu s postupem dle odst. </w:t>
      </w:r>
      <w:r w:rsidRPr="00174F69">
        <w:rPr>
          <w:sz w:val="16"/>
          <w:szCs w:val="16"/>
        </w:rPr>
        <w:fldChar w:fldCharType="begin"/>
      </w:r>
      <w:r w:rsidRPr="00174F69">
        <w:rPr>
          <w:sz w:val="16"/>
          <w:szCs w:val="16"/>
        </w:rPr>
        <w:instrText xml:space="preserve"> REF _Ref53996613 \r \h  \* MERGEFORMAT </w:instrText>
      </w:r>
      <w:r w:rsidRPr="00174F69">
        <w:rPr>
          <w:sz w:val="16"/>
          <w:szCs w:val="16"/>
        </w:rPr>
      </w:r>
      <w:r w:rsidRPr="00174F69">
        <w:rPr>
          <w:sz w:val="16"/>
          <w:szCs w:val="16"/>
        </w:rPr>
        <w:fldChar w:fldCharType="separate"/>
      </w:r>
      <w:r w:rsidR="00D93B71">
        <w:rPr>
          <w:sz w:val="16"/>
          <w:szCs w:val="16"/>
        </w:rPr>
        <w:t>8.5</w:t>
      </w:r>
      <w:r w:rsidRPr="00174F69">
        <w:rPr>
          <w:sz w:val="16"/>
          <w:szCs w:val="16"/>
        </w:rPr>
        <w:fldChar w:fldCharType="end"/>
      </w:r>
      <w:r>
        <w:rPr>
          <w:sz w:val="16"/>
          <w:szCs w:val="16"/>
          <w:lang w:val="cs-CZ"/>
        </w:rPr>
        <w:t>.</w:t>
      </w:r>
    </w:p>
    <w:p w14:paraId="45AB19A1" w14:textId="77777777" w:rsidR="00E02C60" w:rsidRPr="00E02C60" w:rsidRDefault="00E02C60" w:rsidP="006D6C7C">
      <w:pPr>
        <w:pStyle w:val="Nadpis1"/>
        <w:numPr>
          <w:ilvl w:val="0"/>
          <w:numId w:val="13"/>
        </w:numPr>
        <w:tabs>
          <w:tab w:val="num" w:pos="425"/>
        </w:tabs>
        <w:ind w:left="431" w:hanging="431"/>
        <w:rPr>
          <w:rFonts w:cs="Arial"/>
          <w:sz w:val="16"/>
          <w:szCs w:val="16"/>
        </w:rPr>
      </w:pPr>
      <w:bookmarkStart w:id="162" w:name="_Ref405285246"/>
      <w:r w:rsidRPr="00E02C60">
        <w:rPr>
          <w:rFonts w:cs="Arial"/>
          <w:sz w:val="16"/>
          <w:szCs w:val="16"/>
        </w:rPr>
        <w:t>Zvláštní podmínky pro zlato</w:t>
      </w:r>
      <w:bookmarkEnd w:id="118"/>
      <w:bookmarkEnd w:id="162"/>
    </w:p>
    <w:p w14:paraId="500321D5"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Banka se v rámci poskytování Služeb </w:t>
      </w:r>
      <w:r w:rsidRPr="00E02C60">
        <w:rPr>
          <w:rFonts w:cs="Arial"/>
          <w:b/>
          <w:sz w:val="16"/>
          <w:szCs w:val="16"/>
        </w:rPr>
        <w:t>zavazuje vlastním jménem a na účet Klienta podle jeho Pokynů obstarávat Obchody se Zlatem</w:t>
      </w:r>
      <w:r w:rsidRPr="00E02C60">
        <w:rPr>
          <w:rFonts w:cs="Arial"/>
          <w:sz w:val="16"/>
          <w:szCs w:val="16"/>
        </w:rPr>
        <w:t xml:space="preserve">, zajišťovat jeho </w:t>
      </w:r>
      <w:r w:rsidRPr="00E02C60">
        <w:rPr>
          <w:rFonts w:cs="Arial"/>
          <w:b/>
          <w:sz w:val="16"/>
          <w:szCs w:val="16"/>
        </w:rPr>
        <w:t xml:space="preserve">Úschovu </w:t>
      </w:r>
      <w:r w:rsidRPr="00E02C60">
        <w:rPr>
          <w:rFonts w:cs="Arial"/>
          <w:sz w:val="16"/>
          <w:szCs w:val="16"/>
        </w:rPr>
        <w:t>a další záležitosti související se Zlatem dle Smlouvy.</w:t>
      </w:r>
    </w:p>
    <w:p w14:paraId="2335DB3F" w14:textId="77777777" w:rsidR="00E02C60" w:rsidRPr="00E02C60" w:rsidRDefault="00E02C60" w:rsidP="006D6C7C">
      <w:pPr>
        <w:pStyle w:val="Nadpis2"/>
        <w:keepNext/>
        <w:keepLines/>
        <w:numPr>
          <w:ilvl w:val="1"/>
          <w:numId w:val="13"/>
        </w:numPr>
        <w:tabs>
          <w:tab w:val="num" w:pos="425"/>
        </w:tabs>
        <w:ind w:left="426" w:hanging="426"/>
        <w:rPr>
          <w:rFonts w:cs="Arial"/>
          <w:sz w:val="16"/>
          <w:szCs w:val="16"/>
        </w:rPr>
      </w:pPr>
      <w:r w:rsidRPr="00E02C60">
        <w:rPr>
          <w:rFonts w:cs="Arial"/>
          <w:sz w:val="16"/>
          <w:szCs w:val="16"/>
        </w:rPr>
        <w:lastRenderedPageBreak/>
        <w:t>Banka uspokojuje Pokyny ke koupi či prodeji Zlata u třetí osoby či osob (dále jen „</w:t>
      </w:r>
      <w:r w:rsidRPr="00E02C60">
        <w:rPr>
          <w:rFonts w:cs="Arial"/>
          <w:b/>
          <w:sz w:val="16"/>
          <w:szCs w:val="16"/>
        </w:rPr>
        <w:t>Dodavatel</w:t>
      </w:r>
      <w:r w:rsidRPr="00E02C60">
        <w:rPr>
          <w:rFonts w:cs="Arial"/>
          <w:sz w:val="16"/>
          <w:szCs w:val="16"/>
        </w:rPr>
        <w:t>“), pokud se s Klientem nedohodne jinak.</w:t>
      </w:r>
    </w:p>
    <w:p w14:paraId="6428C4D2" w14:textId="7257013C"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Ve vztahu k Obchodům se Zlatem se </w:t>
      </w:r>
      <w:r w:rsidRPr="00E02C60">
        <w:rPr>
          <w:rFonts w:cs="Arial"/>
          <w:b/>
          <w:sz w:val="16"/>
          <w:szCs w:val="16"/>
        </w:rPr>
        <w:t xml:space="preserve">článek </w:t>
      </w:r>
      <w:r w:rsidRPr="00E02C60">
        <w:rPr>
          <w:rFonts w:cs="Arial"/>
          <w:sz w:val="16"/>
          <w:szCs w:val="16"/>
        </w:rPr>
        <w:fldChar w:fldCharType="begin"/>
      </w:r>
      <w:r w:rsidRPr="00E02C60">
        <w:rPr>
          <w:rFonts w:cs="Arial"/>
          <w:sz w:val="16"/>
          <w:szCs w:val="16"/>
        </w:rPr>
        <w:instrText xml:space="preserve"> REF _Ref395096447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4</w:t>
      </w:r>
      <w:r w:rsidRPr="00E02C60">
        <w:rPr>
          <w:rFonts w:cs="Arial"/>
          <w:sz w:val="16"/>
          <w:szCs w:val="16"/>
        </w:rPr>
        <w:fldChar w:fldCharType="end"/>
      </w:r>
      <w:r w:rsidRPr="00E02C60">
        <w:rPr>
          <w:rFonts w:cs="Arial"/>
          <w:b/>
          <w:sz w:val="16"/>
          <w:szCs w:val="16"/>
        </w:rPr>
        <w:t xml:space="preserve"> (Odpovědnost)</w:t>
      </w:r>
      <w:r w:rsidRPr="00E02C60">
        <w:rPr>
          <w:rFonts w:cs="Arial"/>
          <w:sz w:val="16"/>
          <w:szCs w:val="16"/>
        </w:rPr>
        <w:t xml:space="preserve"> rozšiřuje o následující ustanovení:</w:t>
      </w:r>
    </w:p>
    <w:p w14:paraId="0B138A54"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Banka neodpovídá za jednání, opominutí, nesplnění povinností či dluhů, platební neschopnost či úpadek Dodavatele, které vznikly jinak než v důsledku nedbalosti nebo úmyslu Banky. Dále Banka neodpovídá za jednání či opominutí, nesplnění povinností či dluhů či úpadek jakékoliv jiné třetí osoby, prostřednictvím které bude Banka poskytovat služby dle Smlouvy a Podmínek.</w:t>
      </w:r>
    </w:p>
    <w:p w14:paraId="07AE6A6C" w14:textId="77777777" w:rsidR="00E02C60" w:rsidRPr="00E02C60" w:rsidRDefault="00E02C60" w:rsidP="006D6C7C">
      <w:pPr>
        <w:pStyle w:val="Nadpis2"/>
        <w:numPr>
          <w:ilvl w:val="1"/>
          <w:numId w:val="13"/>
        </w:numPr>
        <w:tabs>
          <w:tab w:val="num" w:pos="425"/>
        </w:tabs>
        <w:ind w:left="425" w:hanging="425"/>
        <w:rPr>
          <w:rFonts w:cs="Arial"/>
          <w:b/>
          <w:i/>
          <w:sz w:val="16"/>
          <w:szCs w:val="16"/>
        </w:rPr>
      </w:pPr>
      <w:bookmarkStart w:id="163" w:name="_Hlk91671809"/>
      <w:r w:rsidRPr="00E02C60">
        <w:rPr>
          <w:rFonts w:cs="Arial"/>
          <w:sz w:val="16"/>
          <w:szCs w:val="16"/>
        </w:rPr>
        <w:t xml:space="preserve">Pokyny k obstarání </w:t>
      </w:r>
      <w:r w:rsidRPr="00E02C60">
        <w:rPr>
          <w:rFonts w:cs="Arial"/>
          <w:b/>
          <w:sz w:val="16"/>
          <w:szCs w:val="16"/>
        </w:rPr>
        <w:t>prodeje</w:t>
      </w:r>
      <w:r w:rsidRPr="00E02C60">
        <w:rPr>
          <w:rFonts w:cs="Arial"/>
          <w:sz w:val="16"/>
          <w:szCs w:val="16"/>
        </w:rPr>
        <w:t xml:space="preserve"> Zlata bude Banka realizovat u Dodavatele za podmínky, že </w:t>
      </w:r>
      <w:r w:rsidRPr="00E02C60">
        <w:rPr>
          <w:rFonts w:cs="Arial"/>
          <w:b/>
          <w:sz w:val="16"/>
          <w:szCs w:val="16"/>
        </w:rPr>
        <w:t>Zlato Klient koupil prostřednictvím Banky</w:t>
      </w:r>
      <w:r w:rsidRPr="00E02C60">
        <w:rPr>
          <w:rFonts w:cs="Arial"/>
          <w:sz w:val="16"/>
          <w:szCs w:val="16"/>
        </w:rPr>
        <w:t>. Pokud Klient hodlá prodat Zlato, které není v úschově u Banky, zprostředkuje Banka prodej pouze u 100 g slitků Zlata v zatavené folii. Klient je povinen předat tyto slitky Zlata Bance, a to ve Vybrané pobočce. Klient je povinen předat Zlato Bance ve shodném stavu a kvalitě, v jaké jej převzal. Banka ověří číslo slitku Zlata. Pokud Dodavatel prohlásí, že slitek Zlata nemá standardizovanou hmotnost nebo jiné požadované vlastnosti, Banka Obchod zruší a Zlato vrátí Klientovi. Klient je oprávněn podat Pokyn k prodeji Zlata, pokud jsou splněny všechny podmínky uvedené v tomto odstavci. Banka Vypořádá obchod až po akceptování Zlata a uhrazení kupní ceny ze strany Dodavatele.</w:t>
      </w:r>
      <w:bookmarkEnd w:id="163"/>
    </w:p>
    <w:p w14:paraId="493563A9"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Minimální množství Zlata</w:t>
      </w:r>
      <w:r w:rsidRPr="00E02C60">
        <w:rPr>
          <w:rFonts w:cs="Arial"/>
          <w:sz w:val="16"/>
          <w:szCs w:val="16"/>
        </w:rPr>
        <w:t>, které může být předmětem Pokynu, stanoví Banka na Internetové adrese nebo jinak, pokud se s Klientem nedohodne jinak.</w:t>
      </w:r>
    </w:p>
    <w:p w14:paraId="203D2D9A"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V případě, že </w:t>
      </w:r>
      <w:r w:rsidRPr="00E02C60">
        <w:rPr>
          <w:rFonts w:cs="Arial"/>
          <w:b/>
          <w:sz w:val="16"/>
          <w:szCs w:val="16"/>
        </w:rPr>
        <w:t>Banka nebude schopna provést Pokyn sama</w:t>
      </w:r>
      <w:r w:rsidRPr="00E02C60">
        <w:rPr>
          <w:rFonts w:cs="Arial"/>
          <w:sz w:val="16"/>
          <w:szCs w:val="16"/>
        </w:rPr>
        <w:t>, není povinna splnit svou povinnost prostřednictvím jiné osoby.</w:t>
      </w:r>
    </w:p>
    <w:p w14:paraId="660B334D"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r w:rsidRPr="00E02C60">
        <w:rPr>
          <w:rFonts w:cs="Arial"/>
          <w:b/>
          <w:sz w:val="16"/>
          <w:szCs w:val="16"/>
        </w:rPr>
        <w:t xml:space="preserve">Typy Pokynů. </w:t>
      </w:r>
      <w:r w:rsidRPr="00E02C60">
        <w:rPr>
          <w:rFonts w:cs="Arial"/>
          <w:sz w:val="16"/>
          <w:szCs w:val="16"/>
        </w:rPr>
        <w:t>Na základě Smlouvy a těchto Podmínek může Klient dávat Bance následující Pokyny týkající se Zlata:</w:t>
      </w:r>
    </w:p>
    <w:p w14:paraId="56BC0051" w14:textId="77777777" w:rsidR="00E02C60" w:rsidRPr="00E02C60" w:rsidRDefault="00E02C60" w:rsidP="006D6C7C">
      <w:pPr>
        <w:pStyle w:val="Nadpis3"/>
        <w:numPr>
          <w:ilvl w:val="2"/>
          <w:numId w:val="13"/>
        </w:numPr>
        <w:tabs>
          <w:tab w:val="num" w:pos="992"/>
        </w:tabs>
        <w:spacing w:after="60"/>
        <w:ind w:left="850" w:hanging="425"/>
        <w:rPr>
          <w:rFonts w:cs="Arial"/>
          <w:sz w:val="16"/>
          <w:szCs w:val="16"/>
        </w:rPr>
      </w:pPr>
      <w:bookmarkStart w:id="164" w:name="_Ref392062465"/>
      <w:r w:rsidRPr="00E02C60">
        <w:rPr>
          <w:rFonts w:cs="Arial"/>
          <w:sz w:val="16"/>
          <w:szCs w:val="16"/>
        </w:rPr>
        <w:t>Obchodní pokyny</w:t>
      </w:r>
      <w:bookmarkEnd w:id="164"/>
    </w:p>
    <w:p w14:paraId="0564FA1F" w14:textId="77777777" w:rsidR="00E02C60" w:rsidRPr="00E02C60" w:rsidRDefault="00E02C60" w:rsidP="006D6C7C">
      <w:pPr>
        <w:pStyle w:val="Nadpis4"/>
        <w:numPr>
          <w:ilvl w:val="0"/>
          <w:numId w:val="15"/>
        </w:numPr>
        <w:spacing w:after="60"/>
        <w:ind w:left="1134" w:hanging="283"/>
        <w:rPr>
          <w:rFonts w:cs="Arial"/>
          <w:b/>
          <w:sz w:val="16"/>
          <w:szCs w:val="16"/>
        </w:rPr>
      </w:pPr>
      <w:r w:rsidRPr="00E02C60">
        <w:rPr>
          <w:rFonts w:cs="Arial"/>
          <w:sz w:val="16"/>
          <w:szCs w:val="16"/>
        </w:rPr>
        <w:t>Pokyn k obstarání koupě Zlata;</w:t>
      </w:r>
    </w:p>
    <w:p w14:paraId="0DDC30CF" w14:textId="77777777" w:rsidR="00E02C60" w:rsidRPr="00E02C60" w:rsidRDefault="00E02C60" w:rsidP="006D6C7C">
      <w:pPr>
        <w:pStyle w:val="Nadpis4"/>
        <w:numPr>
          <w:ilvl w:val="0"/>
          <w:numId w:val="15"/>
        </w:numPr>
        <w:spacing w:after="60"/>
        <w:ind w:left="1134" w:hanging="283"/>
        <w:rPr>
          <w:rFonts w:cs="Arial"/>
          <w:b/>
          <w:sz w:val="16"/>
          <w:szCs w:val="16"/>
        </w:rPr>
      </w:pPr>
      <w:r w:rsidRPr="00E02C60">
        <w:rPr>
          <w:rFonts w:cs="Arial"/>
          <w:sz w:val="16"/>
          <w:szCs w:val="16"/>
        </w:rPr>
        <w:t>Pokyn k obstarání prodeje Zlata;</w:t>
      </w:r>
    </w:p>
    <w:p w14:paraId="53493BDB" w14:textId="77777777" w:rsidR="00E02C60" w:rsidRPr="00E02C60" w:rsidRDefault="00E02C60" w:rsidP="006D6C7C">
      <w:pPr>
        <w:pStyle w:val="Nadpis3"/>
        <w:numPr>
          <w:ilvl w:val="2"/>
          <w:numId w:val="13"/>
        </w:numPr>
        <w:tabs>
          <w:tab w:val="num" w:pos="992"/>
        </w:tabs>
        <w:spacing w:after="60"/>
        <w:ind w:left="851" w:hanging="425"/>
        <w:rPr>
          <w:rFonts w:cs="Arial"/>
          <w:sz w:val="16"/>
          <w:szCs w:val="16"/>
        </w:rPr>
      </w:pPr>
      <w:bookmarkStart w:id="165" w:name="_Ref392062467"/>
      <w:bookmarkStart w:id="166" w:name="_Ref407698859"/>
      <w:r w:rsidRPr="00E02C60">
        <w:rPr>
          <w:rFonts w:cs="Arial"/>
          <w:sz w:val="16"/>
          <w:szCs w:val="16"/>
        </w:rPr>
        <w:t>Neobchodní pokyny</w:t>
      </w:r>
      <w:bookmarkEnd w:id="165"/>
      <w:bookmarkEnd w:id="166"/>
    </w:p>
    <w:p w14:paraId="3B8A256A" w14:textId="77777777" w:rsidR="00E02C60" w:rsidRPr="00E02C60" w:rsidRDefault="00E02C60" w:rsidP="006D6C7C">
      <w:pPr>
        <w:pStyle w:val="Nadpis4"/>
        <w:numPr>
          <w:ilvl w:val="3"/>
          <w:numId w:val="14"/>
        </w:numPr>
        <w:tabs>
          <w:tab w:val="clear" w:pos="1701"/>
          <w:tab w:val="num" w:pos="851"/>
          <w:tab w:val="num" w:pos="1134"/>
        </w:tabs>
        <w:spacing w:after="60"/>
        <w:ind w:left="1276" w:hanging="425"/>
        <w:rPr>
          <w:rFonts w:cs="Arial"/>
          <w:b/>
          <w:sz w:val="16"/>
          <w:szCs w:val="16"/>
        </w:rPr>
      </w:pPr>
      <w:r w:rsidRPr="00E02C60">
        <w:rPr>
          <w:rFonts w:cs="Arial"/>
          <w:sz w:val="16"/>
          <w:szCs w:val="16"/>
        </w:rPr>
        <w:t>Pokyn k převodu Zlata z/na Podúčet cenných papírů;</w:t>
      </w:r>
    </w:p>
    <w:p w14:paraId="3DCA19B7" w14:textId="77777777" w:rsidR="00E02C60" w:rsidRPr="00E02C60" w:rsidRDefault="00E02C60" w:rsidP="006D6C7C">
      <w:pPr>
        <w:pStyle w:val="Nadpis4"/>
        <w:numPr>
          <w:ilvl w:val="3"/>
          <w:numId w:val="14"/>
        </w:numPr>
        <w:tabs>
          <w:tab w:val="clear" w:pos="1701"/>
          <w:tab w:val="num" w:pos="851"/>
          <w:tab w:val="num" w:pos="1134"/>
        </w:tabs>
        <w:spacing w:after="60"/>
        <w:ind w:left="1276" w:hanging="425"/>
        <w:rPr>
          <w:rFonts w:cs="Arial"/>
          <w:b/>
          <w:sz w:val="16"/>
          <w:szCs w:val="16"/>
        </w:rPr>
      </w:pPr>
      <w:bookmarkStart w:id="167" w:name="_Ref407698862"/>
      <w:r w:rsidRPr="00E02C60">
        <w:rPr>
          <w:rFonts w:cs="Arial"/>
          <w:sz w:val="16"/>
          <w:szCs w:val="16"/>
        </w:rPr>
        <w:t>Pokyn k výběru Zlata z Podúčtu cenných papírů;</w:t>
      </w:r>
      <w:bookmarkEnd w:id="167"/>
    </w:p>
    <w:p w14:paraId="0D4962E4" w14:textId="77777777" w:rsidR="00E02C60" w:rsidRPr="00E02C60" w:rsidRDefault="00E02C60" w:rsidP="006D6C7C">
      <w:pPr>
        <w:pStyle w:val="Nadpis4"/>
        <w:numPr>
          <w:ilvl w:val="3"/>
          <w:numId w:val="14"/>
        </w:numPr>
        <w:tabs>
          <w:tab w:val="clear" w:pos="1701"/>
          <w:tab w:val="num" w:pos="851"/>
          <w:tab w:val="num" w:pos="1134"/>
        </w:tabs>
        <w:spacing w:after="60"/>
        <w:ind w:left="1276" w:hanging="425"/>
        <w:rPr>
          <w:rFonts w:cs="Arial"/>
          <w:b/>
          <w:sz w:val="16"/>
          <w:szCs w:val="16"/>
        </w:rPr>
      </w:pPr>
      <w:bookmarkStart w:id="168" w:name="_Ref407698863"/>
      <w:r w:rsidRPr="00E02C60">
        <w:rPr>
          <w:rFonts w:cs="Arial"/>
          <w:sz w:val="16"/>
          <w:szCs w:val="16"/>
        </w:rPr>
        <w:t>Pokyn ke vkladu Zlata na Podúčet cenných papírů;</w:t>
      </w:r>
      <w:bookmarkEnd w:id="168"/>
    </w:p>
    <w:p w14:paraId="53637D66" w14:textId="77777777" w:rsidR="00E02C60" w:rsidRPr="00E02C60" w:rsidRDefault="00E02C60" w:rsidP="006D6C7C">
      <w:pPr>
        <w:pStyle w:val="Nadpis4"/>
        <w:numPr>
          <w:ilvl w:val="3"/>
          <w:numId w:val="14"/>
        </w:numPr>
        <w:tabs>
          <w:tab w:val="clear" w:pos="1701"/>
          <w:tab w:val="num" w:pos="851"/>
          <w:tab w:val="num" w:pos="1134"/>
        </w:tabs>
        <w:ind w:left="1134" w:hanging="283"/>
        <w:rPr>
          <w:rFonts w:cs="Arial"/>
          <w:b/>
          <w:sz w:val="16"/>
          <w:szCs w:val="16"/>
        </w:rPr>
      </w:pPr>
      <w:r w:rsidRPr="00E02C60">
        <w:rPr>
          <w:rFonts w:cs="Arial"/>
          <w:sz w:val="16"/>
          <w:szCs w:val="16"/>
        </w:rPr>
        <w:t>Pokyn k výběru peněžních prostředků z Podúčtu hotovosti.</w:t>
      </w:r>
    </w:p>
    <w:p w14:paraId="2ACE9137"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může podat Neobchodní pokyny, pokud Zlato, resp. peněžní prostředky na příslušném podúčtu nejsou vázány v souvislosti s již podaným Pokynem nebo s Dluhy vyplývajícími z již podaného Pokynu nebo nejsou vázány z jiného důvodu uvedeného ve Smlouvě.</w:t>
      </w:r>
    </w:p>
    <w:p w14:paraId="51A5B8AE" w14:textId="77777777" w:rsidR="00E02C60" w:rsidRDefault="00E02C60" w:rsidP="006D6C7C">
      <w:pPr>
        <w:pStyle w:val="Nadpis2"/>
        <w:numPr>
          <w:ilvl w:val="1"/>
          <w:numId w:val="13"/>
        </w:numPr>
        <w:tabs>
          <w:tab w:val="num" w:pos="425"/>
        </w:tabs>
        <w:ind w:left="425" w:hanging="425"/>
        <w:rPr>
          <w:rFonts w:cs="Arial"/>
          <w:b/>
          <w:sz w:val="16"/>
          <w:szCs w:val="16"/>
        </w:rPr>
      </w:pPr>
      <w:r w:rsidRPr="00E02C60">
        <w:rPr>
          <w:rFonts w:cs="Arial"/>
          <w:b/>
          <w:sz w:val="16"/>
          <w:szCs w:val="16"/>
        </w:rPr>
        <w:t>Provedení Pokynu</w:t>
      </w:r>
    </w:p>
    <w:p w14:paraId="5DAAD2E9"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 xml:space="preserve">Provedení pokynu k obstarání </w:t>
      </w:r>
      <w:r w:rsidRPr="00E02C60">
        <w:rPr>
          <w:rFonts w:cs="Arial"/>
          <w:b/>
          <w:sz w:val="16"/>
          <w:szCs w:val="16"/>
        </w:rPr>
        <w:t>koupě</w:t>
      </w:r>
      <w:r w:rsidRPr="00E02C60">
        <w:rPr>
          <w:rFonts w:cs="Arial"/>
          <w:sz w:val="16"/>
          <w:szCs w:val="16"/>
        </w:rPr>
        <w:t xml:space="preserve"> Zlata bude probíhat během Obchodního dne v pevných časech, které Banka uvede na Internetových stránkách a ke kterým Dodavatel bude sdělovat cenu, za kterou je ochoten Obchod uzavřít. Budou uspokojeny všechny Pokyny splňující Cenovou podmínku. Pokud nedojde k uspokojení Pokynu v období v něm uvedeném, Pokyn pozbývá platnosti.</w:t>
      </w:r>
    </w:p>
    <w:p w14:paraId="7D6A1D77"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 xml:space="preserve">Provedení podaných Obchodních pokynů k obstarání </w:t>
      </w:r>
      <w:r w:rsidRPr="00E02C60">
        <w:rPr>
          <w:rFonts w:cs="Arial"/>
          <w:b/>
          <w:sz w:val="16"/>
          <w:szCs w:val="16"/>
        </w:rPr>
        <w:t>prodeje</w:t>
      </w:r>
      <w:r w:rsidRPr="00E02C60">
        <w:rPr>
          <w:rFonts w:cs="Arial"/>
          <w:sz w:val="16"/>
          <w:szCs w:val="16"/>
        </w:rPr>
        <w:t xml:space="preserve"> </w:t>
      </w:r>
      <w:r w:rsidRPr="00E02C60">
        <w:rPr>
          <w:rFonts w:cs="Arial"/>
          <w:b/>
          <w:sz w:val="16"/>
          <w:szCs w:val="16"/>
        </w:rPr>
        <w:t>Zlata, které nebylo Klientem vyzvednuto z Úschovy</w:t>
      </w:r>
      <w:r w:rsidRPr="00E02C60">
        <w:rPr>
          <w:rFonts w:cs="Arial"/>
          <w:sz w:val="16"/>
          <w:szCs w:val="16"/>
        </w:rPr>
        <w:t>, bude probíhat průběžně do 16:00 během Obchodního dne.</w:t>
      </w:r>
    </w:p>
    <w:p w14:paraId="6AF962DA" w14:textId="77777777" w:rsidR="00E02C60" w:rsidRPr="00E02C60" w:rsidRDefault="00E02C60" w:rsidP="006D6C7C">
      <w:pPr>
        <w:pStyle w:val="Nadpis3"/>
        <w:numPr>
          <w:ilvl w:val="2"/>
          <w:numId w:val="13"/>
        </w:numPr>
        <w:tabs>
          <w:tab w:val="num" w:pos="851"/>
          <w:tab w:val="num" w:pos="992"/>
        </w:tabs>
        <w:ind w:left="851" w:hanging="426"/>
        <w:rPr>
          <w:rFonts w:cs="Arial"/>
          <w:sz w:val="16"/>
          <w:szCs w:val="16"/>
        </w:rPr>
      </w:pPr>
      <w:r w:rsidRPr="00E02C60">
        <w:rPr>
          <w:rFonts w:cs="Arial"/>
          <w:sz w:val="16"/>
          <w:szCs w:val="16"/>
        </w:rPr>
        <w:t xml:space="preserve">Provedení podaných Obchodních pokynů k obstarání </w:t>
      </w:r>
      <w:r w:rsidRPr="00E02C60">
        <w:rPr>
          <w:rFonts w:cs="Arial"/>
          <w:b/>
          <w:sz w:val="16"/>
          <w:szCs w:val="16"/>
        </w:rPr>
        <w:t>prodeje Zlata, které bylo vyzvednuto z </w:t>
      </w:r>
      <w:r w:rsidRPr="00E02C60">
        <w:rPr>
          <w:rFonts w:cs="Arial"/>
          <w:b/>
          <w:bCs/>
          <w:sz w:val="16"/>
          <w:szCs w:val="16"/>
        </w:rPr>
        <w:t>Úschovy</w:t>
      </w:r>
      <w:r w:rsidRPr="00E02C60">
        <w:rPr>
          <w:rFonts w:cs="Arial"/>
          <w:sz w:val="16"/>
          <w:szCs w:val="16"/>
        </w:rPr>
        <w:t>, proběhne po doručení slitků Zlata do Úschovy, nejpozději však do pěti (5) Obchodních dnů poté, co Klient předá prodávané slitky Zlata jedné z Vybraných poboček.</w:t>
      </w:r>
    </w:p>
    <w:p w14:paraId="7C523283"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neumožňuje a neprovádí</w:t>
      </w:r>
      <w:r w:rsidRPr="00E02C60">
        <w:rPr>
          <w:rFonts w:cs="Arial"/>
          <w:b/>
          <w:sz w:val="16"/>
          <w:szCs w:val="16"/>
        </w:rPr>
        <w:t xml:space="preserve"> částečnou realizaci </w:t>
      </w:r>
      <w:r w:rsidRPr="00E02C60">
        <w:rPr>
          <w:rFonts w:cs="Arial"/>
          <w:sz w:val="16"/>
          <w:szCs w:val="16"/>
        </w:rPr>
        <w:t>Obchodního pokynu.</w:t>
      </w:r>
    </w:p>
    <w:p w14:paraId="7868CC63"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Vypořádání obchodu.</w:t>
      </w:r>
      <w:r w:rsidRPr="00E02C60">
        <w:rPr>
          <w:rFonts w:cs="Arial"/>
          <w:sz w:val="16"/>
          <w:szCs w:val="16"/>
        </w:rPr>
        <w:t xml:space="preserve"> Banka vyplácí Klientovi peněžní prostředky za obstaraný prodej Zlata až po jejich obdržení od Dodavatele.</w:t>
      </w:r>
      <w:r w:rsidRPr="00E02C60">
        <w:rPr>
          <w:rFonts w:cs="Arial"/>
          <w:b/>
          <w:sz w:val="16"/>
          <w:szCs w:val="16"/>
        </w:rPr>
        <w:t xml:space="preserve"> </w:t>
      </w:r>
      <w:r w:rsidRPr="00E02C60">
        <w:rPr>
          <w:rFonts w:cs="Arial"/>
          <w:sz w:val="16"/>
          <w:szCs w:val="16"/>
        </w:rPr>
        <w:t xml:space="preserve">Peněžní prostředky obdržené pro Klienta obstaráním prodeje Zlata Banka připíše ve prospěch Podúčtu hotovosti ke dni skutečného Vypořádání obchodu. </w:t>
      </w:r>
    </w:p>
    <w:p w14:paraId="6775FB75"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S ohledem na dodací lhůty Zlata zajišťuje Banka </w:t>
      </w:r>
      <w:r w:rsidRPr="00E02C60">
        <w:rPr>
          <w:rFonts w:cs="Arial"/>
          <w:b/>
          <w:sz w:val="16"/>
          <w:szCs w:val="16"/>
        </w:rPr>
        <w:t>Vypořádání obchodu do deseti</w:t>
      </w:r>
      <w:r w:rsidRPr="00E02C60">
        <w:rPr>
          <w:rFonts w:cs="Arial"/>
          <w:sz w:val="16"/>
          <w:szCs w:val="16"/>
        </w:rPr>
        <w:t xml:space="preserve"> (10) Obchodních dnů od data uzavření Obchodu. V případě, že Vypořádání obchodu nelze realizovat ve stanovené lhůtě, bude Banka neprodleně informovat o každém takovém prodlení Klienta s tím, že strany se dohodnou na podmínkách realizace Obchodního pokynu.</w:t>
      </w:r>
    </w:p>
    <w:p w14:paraId="343C9D55"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Vyzvednutí slitků Zlata.</w:t>
      </w:r>
      <w:r w:rsidRPr="00E02C60">
        <w:rPr>
          <w:rFonts w:cs="Arial"/>
          <w:sz w:val="16"/>
          <w:szCs w:val="16"/>
        </w:rPr>
        <w:t xml:space="preserve"> </w:t>
      </w:r>
      <w:r w:rsidRPr="00E02C60">
        <w:rPr>
          <w:rFonts w:cs="Arial"/>
          <w:b/>
          <w:sz w:val="16"/>
          <w:szCs w:val="16"/>
        </w:rPr>
        <w:t>Klient je povinen vyzvednout</w:t>
      </w:r>
      <w:r w:rsidRPr="00E02C60">
        <w:rPr>
          <w:rFonts w:cs="Arial"/>
          <w:sz w:val="16"/>
          <w:szCs w:val="16"/>
        </w:rPr>
        <w:t xml:space="preserve"> si slitky Zlata, na které byl podán Pokyn k výběru Zlata, v Klientem zvolené Vybrané pobočce. Vyzvednutí slitků Zlata je možné pouze ve Vybraných pobočkách. Pokud si Klient slitky Zlata </w:t>
      </w:r>
      <w:r w:rsidRPr="00E02C60">
        <w:rPr>
          <w:rFonts w:cs="Arial"/>
          <w:b/>
          <w:sz w:val="16"/>
          <w:szCs w:val="16"/>
        </w:rPr>
        <w:t>nevyzvedne do třiceti</w:t>
      </w:r>
      <w:r w:rsidRPr="00E02C60">
        <w:rPr>
          <w:rFonts w:cs="Arial"/>
          <w:sz w:val="16"/>
          <w:szCs w:val="16"/>
        </w:rPr>
        <w:t xml:space="preserve"> (30) kalendářních dnů od doručení oznámení Banky o odeslání slitků Zlata na Vybranou pobočku, je Banka oprávněna slitky Zlata uložit do Úschovy za Odměnu v rozsahu a za podmínek stanovených těmito Podmínkami. Klient je oprávněn současně s podáním Pokynu k obstarání nákupu podat Pokyn k výběru Zlata z Podúčtu cenných papírů. Pokud </w:t>
      </w:r>
      <w:r w:rsidRPr="00E02C60">
        <w:rPr>
          <w:rFonts w:cs="Arial"/>
          <w:b/>
          <w:sz w:val="16"/>
          <w:szCs w:val="16"/>
        </w:rPr>
        <w:t xml:space="preserve">Klient nepodal </w:t>
      </w:r>
      <w:r w:rsidRPr="00E02C60">
        <w:rPr>
          <w:rFonts w:cs="Arial"/>
          <w:sz w:val="16"/>
          <w:szCs w:val="16"/>
        </w:rPr>
        <w:t xml:space="preserve">s Pokynem k obstarání nákupu Zlata současně i Pokyn k výběru Zlata z Podúčtu cenných papírů, strany si sjednaly, že Banka převezme </w:t>
      </w:r>
      <w:r w:rsidRPr="00E02C60">
        <w:rPr>
          <w:rFonts w:cs="Arial"/>
          <w:b/>
          <w:sz w:val="16"/>
          <w:szCs w:val="16"/>
        </w:rPr>
        <w:t>Zlato do Úschovy</w:t>
      </w:r>
      <w:r w:rsidRPr="00E02C60">
        <w:rPr>
          <w:rFonts w:cs="Arial"/>
          <w:sz w:val="16"/>
          <w:szCs w:val="16"/>
        </w:rPr>
        <w:t>.</w:t>
      </w:r>
    </w:p>
    <w:p w14:paraId="146C99F4"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nepřijímá od Klienta jakékoliv slitky Zlata do Úschovy.</w:t>
      </w:r>
    </w:p>
    <w:p w14:paraId="255AD17A"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Banka může, i bez uvedení důvodu, </w:t>
      </w:r>
      <w:r w:rsidRPr="00E02C60">
        <w:rPr>
          <w:rFonts w:cs="Arial"/>
          <w:b/>
          <w:sz w:val="16"/>
          <w:szCs w:val="16"/>
        </w:rPr>
        <w:t>odmítnout převzít od Klienta jakékoliv slitky Zlata za účelem jejich prodeje</w:t>
      </w:r>
      <w:r w:rsidRPr="00E02C60">
        <w:rPr>
          <w:rFonts w:cs="Arial"/>
          <w:sz w:val="16"/>
          <w:szCs w:val="16"/>
        </w:rPr>
        <w:t>.</w:t>
      </w:r>
    </w:p>
    <w:p w14:paraId="2822F2C3"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K vyjmutí uschovaných slitků Zlata</w:t>
      </w:r>
      <w:r w:rsidRPr="00E02C60">
        <w:rPr>
          <w:rFonts w:cs="Arial"/>
          <w:sz w:val="16"/>
          <w:szCs w:val="16"/>
        </w:rPr>
        <w:t xml:space="preserve"> dochází na základě Klientem podaného Pokynu k výběru Zlata. Banka je povinna umožnit Klientovi převzetí slitků Zlata ve lhůtě přiměřené časové náročnosti vyjmutí slitků Zlata z místa úschovy a doručení na Vybranou pobočku. Klient je povinen si převzít slitky Zlata osobně, případně může udělit třetí osobě pro toto konkrétní jednání zvláštní písemnou plnou moc. Banka není povinna vydat Zlato osobě uvedené v Podpisovém vzoru.</w:t>
      </w:r>
    </w:p>
    <w:p w14:paraId="5FC7FA94"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169" w:name="_Ref224091358"/>
      <w:r w:rsidRPr="00E02C60">
        <w:rPr>
          <w:rFonts w:cs="Arial"/>
          <w:sz w:val="16"/>
          <w:szCs w:val="16"/>
        </w:rPr>
        <w:t>Banka poskytuje Obchody se Zlatem v měnách CZK a EUR. Pro Obchody se Zlatem v každé z měn může Banka určit odlišná pravidla pro podávání Pokynů a poskytování Služeb.</w:t>
      </w:r>
    </w:p>
    <w:p w14:paraId="15E4F482" w14:textId="77777777" w:rsidR="00E02C60" w:rsidRPr="00E02C60" w:rsidRDefault="00E02C60" w:rsidP="006D6C7C">
      <w:pPr>
        <w:pStyle w:val="Nadpis2"/>
        <w:numPr>
          <w:ilvl w:val="1"/>
          <w:numId w:val="13"/>
        </w:numPr>
        <w:tabs>
          <w:tab w:val="num" w:pos="425"/>
        </w:tabs>
        <w:ind w:left="426" w:hanging="426"/>
        <w:rPr>
          <w:rFonts w:cs="Arial"/>
          <w:b/>
          <w:sz w:val="16"/>
          <w:szCs w:val="16"/>
        </w:rPr>
      </w:pPr>
      <w:r w:rsidRPr="00E02C60">
        <w:rPr>
          <w:rFonts w:cs="Arial"/>
          <w:sz w:val="16"/>
          <w:szCs w:val="16"/>
        </w:rPr>
        <w:t>V případě, že určitá otázka týkající se Zlata nebude ve Smlouvě upravena, použijí se analogicky ustanovení upravující takovou otázku pro Cenné papíry, pokud to bude z podstaty Zlata možné.</w:t>
      </w:r>
    </w:p>
    <w:bookmarkEnd w:id="169"/>
    <w:p w14:paraId="0B84D28E"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 xml:space="preserve">Garanční fond obchodníků s cennými papíry. </w:t>
      </w:r>
      <w:r w:rsidRPr="00E02C60">
        <w:rPr>
          <w:rFonts w:cs="Arial"/>
          <w:sz w:val="16"/>
          <w:szCs w:val="16"/>
        </w:rPr>
        <w:t xml:space="preserve">Služby Banky spojené se Zlatem nepodléhají příspěvkům do Garančního fondu obchodníků s cennými papíry a Fondu pojištění vkladů stejně, jako se z těchto fondů neposkytuje </w:t>
      </w:r>
      <w:r w:rsidRPr="00E02C60">
        <w:rPr>
          <w:rFonts w:cs="Arial"/>
          <w:sz w:val="16"/>
          <w:szCs w:val="16"/>
        </w:rPr>
        <w:lastRenderedPageBreak/>
        <w:t>za Zlato případná náhrada, jak stanoví příslušný právní předpis.</w:t>
      </w:r>
    </w:p>
    <w:p w14:paraId="018E5553"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si vyhrazuje právo zajišťovat Úschovu Zlata v hromadné Úschově.</w:t>
      </w:r>
    </w:p>
    <w:p w14:paraId="4C6C0C6C" w14:textId="77777777" w:rsidR="00E02C60" w:rsidRPr="00E02C60" w:rsidRDefault="00E02C60" w:rsidP="006D6C7C">
      <w:pPr>
        <w:pStyle w:val="Nadpis1"/>
        <w:numPr>
          <w:ilvl w:val="0"/>
          <w:numId w:val="13"/>
        </w:numPr>
        <w:tabs>
          <w:tab w:val="num" w:pos="425"/>
        </w:tabs>
        <w:ind w:left="425" w:hanging="425"/>
        <w:rPr>
          <w:rFonts w:cs="Arial"/>
          <w:sz w:val="16"/>
          <w:szCs w:val="16"/>
        </w:rPr>
      </w:pPr>
      <w:bookmarkStart w:id="170" w:name="_Ref391986080"/>
      <w:bookmarkEnd w:id="119"/>
      <w:r w:rsidRPr="00E02C60">
        <w:rPr>
          <w:rFonts w:cs="Arial"/>
          <w:sz w:val="16"/>
          <w:szCs w:val="16"/>
        </w:rPr>
        <w:t>Prohlášení klienta</w:t>
      </w:r>
      <w:bookmarkEnd w:id="170"/>
    </w:p>
    <w:p w14:paraId="682558B6"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r w:rsidRPr="00E02C60">
        <w:rPr>
          <w:rFonts w:cs="Arial"/>
          <w:sz w:val="16"/>
          <w:szCs w:val="16"/>
        </w:rPr>
        <w:t>Podpisem Smlouvy Klient činí následující prohlášení a tato prohlášení se považují za zopakovaná při udělení každého Pokynu Bance:</w:t>
      </w:r>
    </w:p>
    <w:p w14:paraId="7BC91C60"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uzavření Smlouvy, jakož i výkon práv a povinností ze Smlouvy, včetně udělení Pokynu a splácení Dluhů Klienta ze Smlouvy vůči Bance, byly řádně schváleny příslušnými orgány v rámci vnitřní struktury Klienta, pokud je Klient právnickou osobou, a nevyžadují žádný souhlas nebo povolení jiných osob nebo orgánů veřejné správy nebo, pokud jej vyžadují, byl takový souhlas udělen a je platný a účinný;</w:t>
      </w:r>
    </w:p>
    <w:p w14:paraId="6D527C0B"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výkonem práv a povinností ze Smlouvy a podáním jakéhokoliv Pokynu Klient neporuší své povinnosti vyplývající z právních předpisů, smluv, které Klient uzavřel nebo jiných jednání, které Klient učinil a neporuší žádná vlastnická, smluvní či jiná práva Klienta nebo třetích osob;</w:t>
      </w:r>
    </w:p>
    <w:p w14:paraId="106DA4DD"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Cenné papíry, které Klient svěří po podpisu Smlouvy Bance k připsání na Podúčet cenných papírů, budou ve všech ohledech způsobilé být předmětem plnění podle Smlouvy;</w:t>
      </w:r>
    </w:p>
    <w:p w14:paraId="595A774B"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Klient nejedná jménem, za nebo na účet třetí osoby nebo třetích osob;</w:t>
      </w:r>
    </w:p>
    <w:p w14:paraId="7E9F5D3F"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 xml:space="preserve">podle nejlepšího vědomí Klienta není zahájeno insolvenční řízení nebo jiné řízení, které má obdobné právní účinky, a to včetně řízení zahájeného podle jakéhokoli zahraničního práva (například řízení o insolvenci, vyrovnání, reorganizaci nebo oddlužení); ani není nařízen výkon rozhodnutí (exekuce) týkající se podstatné části majetku Klienta. V uplynulých třech letech nebyl na majetek Klienta </w:t>
      </w:r>
      <w:r w:rsidRPr="00E02C60">
        <w:rPr>
          <w:rFonts w:cs="Arial"/>
          <w:sz w:val="16"/>
          <w:szCs w:val="16"/>
          <w:lang w:eastAsia="en-US"/>
        </w:rPr>
        <w:t>prohlášen konkurs</w:t>
      </w:r>
      <w:r w:rsidRPr="00E02C60">
        <w:rPr>
          <w:rFonts w:cs="Arial"/>
          <w:sz w:val="16"/>
          <w:szCs w:val="16"/>
        </w:rPr>
        <w:t xml:space="preserve">, nebylo vydáno rozhodnutí, kterým byl zjištěn úpadek či hrozící úpadek Klienta, nedošlo k zamítnutí návrhu na zahájení insolvenčního řízení pro nedostatek Klientova majetku nebo zrušení insolvenčního řízení prohlášeného na majetek Klienta, ani nebylo potvrzeno vyrovnání či přijato jiné rozhodnutí, která má obdobné právní účinky; </w:t>
      </w:r>
    </w:p>
    <w:p w14:paraId="42C93465"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podle nejlepšího vědomí Klienta není vedeno žádné soudní, správní či rozhodčí řízení týkající se Klienta, jeho svéprávnosti nebo jeho majetku, není vedeno ani žádné trestní stíhání Klienta, které by mohlo ovlivnit možnosti Klienta dostát svým povinnostem vyplývajícím ze Smlouvy nebo ovlivnit finanční anebo obchodní situaci Klienta a podle nejlepšího vědomí Klienta takové stíhání nebo řízení ani nehrozí; Klient dále není ve výkonu trestu, ochranného či zajišťovacího opatření, ani nebyl v minulosti pravomocně odsouzen za trestný čin, ledaže se na něj hledí, jako by nebyl odsouzen;</w:t>
      </w:r>
    </w:p>
    <w:p w14:paraId="3BEBDFEE"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 xml:space="preserve">Klient není „U.S. person“ ve smyslu právního předpisu Spojených států amerických Foreign Account Tax Compliance Act (FATCA) nebo Nařízení S (Regulation S) na základě Zákona o cenných papírech z roku 1933 (United States Securities Act of 1933) ani nemá trvalý pobyt nebo sídlo v Kanadě, Spojeném království Velké Británie, Austrálii, Japonsku nebo jakékoli jiné jurisdikci, kde je uzavření Smlouvy zakázáno nebo omezeno; </w:t>
      </w:r>
    </w:p>
    <w:p w14:paraId="62FA941C"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 xml:space="preserve">pokud je právnickou osobou - je řádně založenou a platně existující právnickou osobou v souladu s právním řádem místa svého založení. Stav zápisu </w:t>
      </w:r>
      <w:r w:rsidRPr="00E02C60">
        <w:rPr>
          <w:rFonts w:cs="Arial"/>
          <w:sz w:val="16"/>
          <w:szCs w:val="16"/>
        </w:rPr>
        <w:t>Klienta v obchodním rejstříku nebo jiné zákonné evidenci, ve které je Klient registrován v souladu s právními předpisy upravujícími jeho vznik a existenci, odpovídá skutečnosti;</w:t>
      </w:r>
    </w:p>
    <w:p w14:paraId="4210F088"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žádné sdělení (písemné nebo ústní) obdržené od Banky se nepovažuje za ujištění nebo záruku ohledně očekávaných výsledků Obchodu;</w:t>
      </w:r>
    </w:p>
    <w:p w14:paraId="1EE85CA3"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Klient je srozuměn s tím, že cena či hodnota Nástrojů, výnosy z Obchodů ani výnosy z držby Nástrojů nejsou zaručeny a že výnosy dosahované v minulosti v souvislosti s Obchody nejsou zárukou výnosů budoucích;</w:t>
      </w:r>
    </w:p>
    <w:p w14:paraId="53369AC7"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je si vědom skutečnosti, že při podání Obchodního pokynu v písemné formě může dojít k prodlení mezi podáním Pokynu a jeho faktickou realizací na trhu, což může mít vliv na cenu Nástroje, který je předmětem obstarání;</w:t>
      </w:r>
    </w:p>
    <w:p w14:paraId="70DC9BA8" w14:textId="77777777" w:rsidR="00E02C60" w:rsidRPr="00E02C60" w:rsidRDefault="00E02C60" w:rsidP="006D6C7C">
      <w:pPr>
        <w:pStyle w:val="Nadpis4"/>
        <w:numPr>
          <w:ilvl w:val="3"/>
          <w:numId w:val="23"/>
        </w:numPr>
        <w:tabs>
          <w:tab w:val="left" w:pos="709"/>
        </w:tabs>
        <w:spacing w:after="60"/>
        <w:ind w:left="709" w:hanging="283"/>
        <w:rPr>
          <w:rFonts w:cs="Arial"/>
          <w:b/>
          <w:sz w:val="16"/>
          <w:szCs w:val="16"/>
        </w:rPr>
      </w:pPr>
      <w:r w:rsidRPr="00E02C60">
        <w:rPr>
          <w:rFonts w:cs="Arial"/>
          <w:sz w:val="16"/>
          <w:szCs w:val="16"/>
        </w:rPr>
        <w:t xml:space="preserve">Klient ani žádný Subjekt ze skupiny není Sankcionovanou osobou a podle nejlepšího vědomí Klienta není Sankcionovanou osobou </w:t>
      </w:r>
      <w:bookmarkStart w:id="171" w:name="_Hlk130822167"/>
      <w:r w:rsidRPr="00E02C60">
        <w:rPr>
          <w:rFonts w:cs="Arial"/>
          <w:sz w:val="16"/>
          <w:szCs w:val="16"/>
        </w:rPr>
        <w:t>jakýkoli člen statutárního orgánu, ředitel, zmocněnec,</w:t>
      </w:r>
      <w:bookmarkEnd w:id="171"/>
      <w:r w:rsidRPr="00E02C60">
        <w:rPr>
          <w:rFonts w:cs="Arial"/>
          <w:sz w:val="16"/>
          <w:szCs w:val="16"/>
        </w:rPr>
        <w:t xml:space="preserve"> zaměstnanec Klienta nebo Subjektu ze skupiny nebo propojená osoba;</w:t>
      </w:r>
    </w:p>
    <w:p w14:paraId="5A4C744A" w14:textId="77777777" w:rsidR="00E02C60" w:rsidRPr="00E02C60" w:rsidRDefault="00E02C60" w:rsidP="006D6C7C">
      <w:pPr>
        <w:pStyle w:val="Nadpis4"/>
        <w:numPr>
          <w:ilvl w:val="3"/>
          <w:numId w:val="23"/>
        </w:numPr>
        <w:tabs>
          <w:tab w:val="left" w:pos="709"/>
        </w:tabs>
        <w:ind w:left="709" w:hanging="283"/>
        <w:rPr>
          <w:rFonts w:cs="Arial"/>
          <w:b/>
          <w:sz w:val="16"/>
          <w:szCs w:val="16"/>
        </w:rPr>
      </w:pPr>
      <w:r w:rsidRPr="00E02C60">
        <w:rPr>
          <w:rFonts w:cs="Arial"/>
          <w:sz w:val="16"/>
          <w:szCs w:val="16"/>
        </w:rPr>
        <w:t>v případě předání údajů o třetích osobách Bance při sjednávání či plnění této Smlouvy je Klient oprávněn takové údaje Bance předat k tomu, aby je zpracovávala pro účely sjednání a plnění této Smlouvy s tím, že následně budou takové údaje Bankou uschovávány jako součást smluvní dokumentace v době uložené právními předpisy.</w:t>
      </w:r>
    </w:p>
    <w:p w14:paraId="42162941" w14:textId="77777777" w:rsidR="00E02C60" w:rsidRPr="00E02C60" w:rsidRDefault="00E02C60" w:rsidP="006D6C7C">
      <w:pPr>
        <w:pStyle w:val="Nadpis2"/>
        <w:keepLines/>
        <w:numPr>
          <w:ilvl w:val="1"/>
          <w:numId w:val="13"/>
        </w:numPr>
        <w:tabs>
          <w:tab w:val="num" w:pos="425"/>
        </w:tabs>
        <w:ind w:left="426" w:hanging="426"/>
        <w:rPr>
          <w:rFonts w:cs="Arial"/>
          <w:sz w:val="16"/>
          <w:szCs w:val="16"/>
        </w:rPr>
      </w:pPr>
      <w:r w:rsidRPr="00E02C60">
        <w:rPr>
          <w:rFonts w:cs="Arial"/>
          <w:sz w:val="16"/>
          <w:szCs w:val="16"/>
        </w:rPr>
        <w:t>Klient si je vědom skutečnosti, že případné připomínky či stížnosti na jednání Banky se vyřizují v souladu s Všeobecnými podmínkami na základě reklamačního řádu, a že byl poučen o skutečnosti, že je současně oprávněn kdykoliv se obrátit se stížností na příslušný dozorový orgán Banky, kterým je Česká národní banka, se sídlem Praha 1, Na Příkopě 28, PSČ: 115 03.</w:t>
      </w:r>
    </w:p>
    <w:p w14:paraId="67396B71"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V případě, že předmětem Pokynu je nákup nebo úpis Cenného papíru v rámci Private placementu Banky, Klient prohlašuje, že byl seznámen s Informačním listem takového Cenného papíru, že rozumí podmínkám, finančním povinnostem a možným rizikům vyplývajícím z koupě takového Cenného papíru a tyto podmínky, finanční povinnosti a možná rizika přijímá.</w:t>
      </w:r>
    </w:p>
    <w:p w14:paraId="20DBBD2C" w14:textId="77777777" w:rsidR="00E02C60" w:rsidRPr="00E02C60" w:rsidRDefault="00E02C60" w:rsidP="006D6C7C">
      <w:pPr>
        <w:pStyle w:val="Nadpis2"/>
        <w:numPr>
          <w:ilvl w:val="1"/>
          <w:numId w:val="13"/>
        </w:numPr>
        <w:tabs>
          <w:tab w:val="num" w:pos="425"/>
        </w:tabs>
        <w:spacing w:after="60"/>
        <w:ind w:left="426" w:hanging="426"/>
        <w:rPr>
          <w:rFonts w:cs="Arial"/>
          <w:sz w:val="16"/>
          <w:szCs w:val="16"/>
        </w:rPr>
      </w:pPr>
      <w:r w:rsidRPr="00E02C60">
        <w:rPr>
          <w:rFonts w:cs="Arial"/>
          <w:sz w:val="16"/>
          <w:szCs w:val="16"/>
        </w:rPr>
        <w:t>Podáním Pokynu k nakládání s Nástrojem Klient zároveň činí následující prohlášení:</w:t>
      </w:r>
    </w:p>
    <w:p w14:paraId="28F502C6" w14:textId="77777777" w:rsidR="00E02C60" w:rsidRPr="00E02C60" w:rsidRDefault="00E02C60" w:rsidP="006D6C7C">
      <w:pPr>
        <w:pStyle w:val="Nadpis4"/>
        <w:numPr>
          <w:ilvl w:val="3"/>
          <w:numId w:val="24"/>
        </w:numPr>
        <w:tabs>
          <w:tab w:val="left" w:pos="709"/>
        </w:tabs>
        <w:spacing w:after="60"/>
        <w:ind w:left="709" w:hanging="283"/>
        <w:rPr>
          <w:rFonts w:cs="Arial"/>
          <w:b/>
          <w:bCs w:val="0"/>
          <w:snapToGrid w:val="0"/>
          <w:sz w:val="16"/>
          <w:szCs w:val="16"/>
          <w:lang w:eastAsia="en-US"/>
        </w:rPr>
      </w:pPr>
      <w:r w:rsidRPr="00E02C60">
        <w:rPr>
          <w:rFonts w:cs="Arial"/>
          <w:bCs w:val="0"/>
          <w:snapToGrid w:val="0"/>
          <w:sz w:val="16"/>
          <w:szCs w:val="16"/>
          <w:lang w:eastAsia="en-US"/>
        </w:rPr>
        <w:t>je jediným vlastníkem Nástrojů, jejichž prodej má být podle Pokynu obstarán a je oprávněn s Nástroji nakládat podle Pokynu, a to s výjimkou případu, kdy je Klient na základě dědického řízení oprávněn nakládat s Cennými papíry jiné osoby nebo kdy je Klient oprávněn nakládat s Cennými papíry, jejichž je spoluvlastníkem, s tím, že Banka je oprávněna požadovat prokázání oprávnění Klienta nakládat s takovými Cennými papíry;</w:t>
      </w:r>
    </w:p>
    <w:p w14:paraId="5A782BD6" w14:textId="77777777" w:rsidR="00E02C60" w:rsidRPr="00E02C60" w:rsidRDefault="00E02C60" w:rsidP="006D6C7C">
      <w:pPr>
        <w:pStyle w:val="Nadpis4"/>
        <w:numPr>
          <w:ilvl w:val="3"/>
          <w:numId w:val="24"/>
        </w:numPr>
        <w:tabs>
          <w:tab w:val="left" w:pos="709"/>
        </w:tabs>
        <w:spacing w:after="60"/>
        <w:ind w:left="709" w:hanging="283"/>
        <w:rPr>
          <w:rFonts w:cs="Arial"/>
          <w:b/>
          <w:bCs w:val="0"/>
          <w:snapToGrid w:val="0"/>
          <w:sz w:val="16"/>
          <w:szCs w:val="16"/>
          <w:lang w:eastAsia="en-US"/>
        </w:rPr>
      </w:pPr>
      <w:r w:rsidRPr="00E02C60">
        <w:rPr>
          <w:rFonts w:cs="Arial"/>
          <w:bCs w:val="0"/>
          <w:snapToGrid w:val="0"/>
          <w:sz w:val="16"/>
          <w:szCs w:val="16"/>
          <w:lang w:eastAsia="en-US"/>
        </w:rPr>
        <w:t>Cenné papíry, jejichž prodej má být podle Pokynu obstarán, nejsou zatíženy zástavním ani jiným právem třetích osob, které by znemožnilo plnění předmětu Smlouvy, ani není vedeno žádné řízení týkající se těchto Nástrojů;</w:t>
      </w:r>
    </w:p>
    <w:p w14:paraId="4F369CA3" w14:textId="77777777" w:rsidR="00E02C60" w:rsidRPr="00E02C60" w:rsidRDefault="00E02C60" w:rsidP="006D6C7C">
      <w:pPr>
        <w:pStyle w:val="Nadpis4"/>
        <w:numPr>
          <w:ilvl w:val="3"/>
          <w:numId w:val="24"/>
        </w:numPr>
        <w:tabs>
          <w:tab w:val="left" w:pos="709"/>
        </w:tabs>
        <w:spacing w:after="60"/>
        <w:ind w:left="709" w:hanging="283"/>
        <w:rPr>
          <w:rFonts w:cs="Arial"/>
          <w:b/>
          <w:bCs w:val="0"/>
          <w:snapToGrid w:val="0"/>
          <w:sz w:val="16"/>
          <w:szCs w:val="16"/>
          <w:lang w:eastAsia="en-US"/>
        </w:rPr>
      </w:pPr>
      <w:r w:rsidRPr="00E02C60">
        <w:rPr>
          <w:rFonts w:cs="Arial"/>
          <w:bCs w:val="0"/>
          <w:snapToGrid w:val="0"/>
          <w:sz w:val="16"/>
          <w:szCs w:val="16"/>
          <w:lang w:eastAsia="en-US"/>
        </w:rPr>
        <w:t>veškeré informace, které Klient Bance poskytl v souvislosti s Pokynem, jsou úplné, pravdivé a nezavádějící;</w:t>
      </w:r>
    </w:p>
    <w:p w14:paraId="7D2408A1" w14:textId="77777777" w:rsidR="00E02C60" w:rsidRPr="00E02C60" w:rsidRDefault="00E02C60" w:rsidP="006D6C7C">
      <w:pPr>
        <w:pStyle w:val="Nadpis4"/>
        <w:numPr>
          <w:ilvl w:val="3"/>
          <w:numId w:val="24"/>
        </w:numPr>
        <w:tabs>
          <w:tab w:val="left" w:pos="709"/>
        </w:tabs>
        <w:spacing w:after="60"/>
        <w:ind w:left="709" w:hanging="283"/>
        <w:rPr>
          <w:rFonts w:cs="Arial"/>
          <w:b/>
          <w:bCs w:val="0"/>
          <w:snapToGrid w:val="0"/>
          <w:sz w:val="16"/>
          <w:szCs w:val="16"/>
          <w:lang w:eastAsia="en-US"/>
        </w:rPr>
      </w:pPr>
      <w:r w:rsidRPr="00E02C60">
        <w:rPr>
          <w:rFonts w:cs="Arial"/>
          <w:bCs w:val="0"/>
          <w:snapToGrid w:val="0"/>
          <w:sz w:val="16"/>
          <w:szCs w:val="16"/>
          <w:lang w:eastAsia="en-US"/>
        </w:rPr>
        <w:t xml:space="preserve">Klient získal všechny nezbytné souhlasy, povolení nebo jiná oprávnění k podání a provedení Pokynu, pokud </w:t>
      </w:r>
      <w:r w:rsidRPr="00E02C60">
        <w:rPr>
          <w:rFonts w:cs="Arial"/>
          <w:bCs w:val="0"/>
          <w:snapToGrid w:val="0"/>
          <w:sz w:val="16"/>
          <w:szCs w:val="16"/>
          <w:lang w:eastAsia="en-US"/>
        </w:rPr>
        <w:lastRenderedPageBreak/>
        <w:t>jsou takové souhlasy, povolení nebo jiná oprávnění zapotřebí;</w:t>
      </w:r>
    </w:p>
    <w:p w14:paraId="6A6C0C82" w14:textId="77777777" w:rsidR="00E02C60" w:rsidRPr="00E02C60" w:rsidRDefault="00E02C60" w:rsidP="006D6C7C">
      <w:pPr>
        <w:pStyle w:val="Nadpis4"/>
        <w:numPr>
          <w:ilvl w:val="3"/>
          <w:numId w:val="24"/>
        </w:numPr>
        <w:tabs>
          <w:tab w:val="left" w:pos="709"/>
        </w:tabs>
        <w:spacing w:after="60"/>
        <w:ind w:left="709" w:hanging="283"/>
        <w:rPr>
          <w:rFonts w:cs="Arial"/>
          <w:b/>
          <w:bCs w:val="0"/>
          <w:snapToGrid w:val="0"/>
          <w:sz w:val="16"/>
          <w:szCs w:val="16"/>
          <w:lang w:eastAsia="en-US"/>
        </w:rPr>
      </w:pPr>
      <w:r w:rsidRPr="00E02C60">
        <w:rPr>
          <w:rFonts w:cs="Arial"/>
          <w:bCs w:val="0"/>
          <w:snapToGrid w:val="0"/>
          <w:sz w:val="16"/>
          <w:szCs w:val="16"/>
          <w:lang w:eastAsia="en-US"/>
        </w:rPr>
        <w:t>Klient je oprávněn podat příslušný Pokyn a provedení Pokynu neporuší povinnosti vyplývající z právních předpisů, smluv, které Klient uzavřel, nebo jiných jednání, které Klient učinil a neporuší žádná vlastnická, smluvní či jiná práva Klienta nebo třetích osob;</w:t>
      </w:r>
    </w:p>
    <w:p w14:paraId="4E28D987" w14:textId="77777777" w:rsidR="00E02C60" w:rsidRPr="00E02C60" w:rsidRDefault="00E02C60" w:rsidP="006D6C7C">
      <w:pPr>
        <w:pStyle w:val="Nadpis4"/>
        <w:numPr>
          <w:ilvl w:val="3"/>
          <w:numId w:val="24"/>
        </w:numPr>
        <w:tabs>
          <w:tab w:val="left" w:pos="709"/>
        </w:tabs>
        <w:spacing w:after="60"/>
        <w:ind w:left="709" w:hanging="283"/>
        <w:rPr>
          <w:rFonts w:cs="Arial"/>
          <w:b/>
          <w:sz w:val="16"/>
          <w:szCs w:val="16"/>
        </w:rPr>
      </w:pPr>
      <w:r w:rsidRPr="00E02C60">
        <w:rPr>
          <w:rFonts w:cs="Arial"/>
          <w:sz w:val="16"/>
          <w:szCs w:val="16"/>
        </w:rPr>
        <w:t>je schopen ohodnotit všechny Obchody a porozumět jim, rozumí podmínkám, finančním povinnostem a možným rizikům vyplývajícím z Obchodů a tyto podmínky, finanční povinnosti a možná rizika přijímá, a pokud není schopen je ohodnotit nebo jim porozumět sám, vyhledal si svého dostatečně odborně zdatného a zkušeného poradce, přičemž si je rovněž vědom skutečnosti, že minulé výnosy nejsou zárukou výnosů budoucích;</w:t>
      </w:r>
    </w:p>
    <w:p w14:paraId="102DE504" w14:textId="77777777" w:rsidR="00E02C60" w:rsidRPr="00E02C60" w:rsidRDefault="00E02C60" w:rsidP="006D6C7C">
      <w:pPr>
        <w:pStyle w:val="Nadpis4"/>
        <w:numPr>
          <w:ilvl w:val="3"/>
          <w:numId w:val="24"/>
        </w:numPr>
        <w:tabs>
          <w:tab w:val="left" w:pos="709"/>
        </w:tabs>
        <w:ind w:left="709" w:hanging="283"/>
        <w:rPr>
          <w:rFonts w:cs="Arial"/>
          <w:b/>
          <w:sz w:val="16"/>
          <w:szCs w:val="16"/>
        </w:rPr>
      </w:pPr>
      <w:r w:rsidRPr="00E02C60">
        <w:rPr>
          <w:rFonts w:cs="Arial"/>
          <w:sz w:val="16"/>
          <w:szCs w:val="16"/>
        </w:rPr>
        <w:t>jedná na svůj vlastní účet a nezávisle se rozhodne udělit Bance Pokyn, a pokud jde o to, zda je pro něj Obchod správný nebo vhodný, rozhodne se tak na základě své vlastní úvahy a rady svých poradců. Žádné sdělení (písemné nebo ústní) obdržené od Banky se nepovažuje za ujištění nebo záruku ohledně očekávaných výsledků Obchodu;</w:t>
      </w:r>
    </w:p>
    <w:p w14:paraId="4BB77D2E"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tímto bere na vědomí, že Banka při plnění svých povinností podle Smlouvy nejedná jako investiční zprostředkovatel ani jako investiční, právní nebo daňový poradce Klienta.</w:t>
      </w:r>
    </w:p>
    <w:p w14:paraId="594A266D"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tímto Banku výslovně zmocňuje k výkonu veškerých práv spojených s Cenným papírem, a to v rozsahu a za podmínek uvedených v článku nazvaném Správa cenných papírů v Informacích o investičních službách a Nástrojích.</w:t>
      </w:r>
    </w:p>
    <w:p w14:paraId="0CB0FFD6"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je povinen poskytnout Bance veškerou součinnost nezbytnou k řádnému plnění povinností Banky podle Smlouvy, zejména předávat Bance veškeré dokumenty a informace, které jsou nezbytné pro plnění Smlouvy, včetně zvláštních plných mocí.</w:t>
      </w:r>
    </w:p>
    <w:p w14:paraId="7D537F38"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je povinen bez zbytečného odkladu písemně informovat Banku o změnách všech skutečností, které mají význam pro výkon práv a povinností podle Smlouvy. Oznámení podle předcházející věty je vůči Bance účinné počínaje Obchodním dnem následujícím po Obchodním dni, kdy je jí takové oznámení doručeno.</w:t>
      </w:r>
    </w:p>
    <w:p w14:paraId="07447651"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Banka není povinna vydat Klientovi Nástroje či Hotovost z Portfoliového účtu dříve, než budou řádně splněny veškeré Dluhy.</w:t>
      </w:r>
    </w:p>
    <w:p w14:paraId="687BB559"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Klient se zavazuje, že prohlášení uvedená v tomto článku budou pravdivá, úplná a nezavádějící po celou dobu trvání Smlouvy.</w:t>
      </w:r>
    </w:p>
    <w:p w14:paraId="6CE912D0"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Bez předchozího výslovného písemného souhlasu Banky není Klient oprávněn postoupit (včetně zajišťovacího postoupení pohledávky či práva) nebo zastavit své pohledávky za Bankou v souvislosti se Smlouvou, případně postoupit Smlouvu nebo její část nebo práva a povinnosti z ní vyplývající. Omezení uvedené v předchozí větě neplatí pro postoupení (včetně zajišťovacího postoupení pohledávky či práva) pohledávek Klienta za Bankou na Banku a na zastavení těchto pohledávek ve prospěch Banky a dále na zákonem předvídané postoupení pohledávky na základě odkazu zůstavitele z dědice obtíženého odkazem (Klienta) na odkazovníka. Zákaz postoupení a zastavení platí pro všechny pohledávky, zejména pro ty, které se vztahují k peněžním prostředkům evidovaným na Podúčtu hotovosti a k Nástrojům evidovaným na Podúčtu cenných papírů.</w:t>
      </w:r>
    </w:p>
    <w:p w14:paraId="44839C97" w14:textId="77777777" w:rsidR="00E02C60" w:rsidRPr="00E02C60" w:rsidRDefault="00E02C60" w:rsidP="006D6C7C">
      <w:pPr>
        <w:pStyle w:val="Nadpis2"/>
        <w:numPr>
          <w:ilvl w:val="1"/>
          <w:numId w:val="13"/>
        </w:numPr>
        <w:tabs>
          <w:tab w:val="num" w:pos="426"/>
        </w:tabs>
        <w:ind w:left="426" w:hanging="426"/>
        <w:rPr>
          <w:rFonts w:cs="Arial"/>
          <w:sz w:val="16"/>
          <w:szCs w:val="16"/>
        </w:rPr>
      </w:pPr>
      <w:r w:rsidRPr="00E02C60">
        <w:rPr>
          <w:rFonts w:cs="Arial"/>
          <w:sz w:val="16"/>
          <w:szCs w:val="16"/>
        </w:rPr>
        <w:t>Klient se zavazuje, že přímo či nepřímo</w:t>
      </w:r>
      <w:r w:rsidRPr="00E02C60" w:rsidDel="008344A6">
        <w:rPr>
          <w:rFonts w:cs="Arial"/>
          <w:sz w:val="16"/>
          <w:szCs w:val="16"/>
        </w:rPr>
        <w:t xml:space="preserve"> </w:t>
      </w:r>
      <w:r w:rsidRPr="00E02C60">
        <w:rPr>
          <w:rFonts w:cs="Arial"/>
          <w:sz w:val="16"/>
          <w:szCs w:val="16"/>
        </w:rPr>
        <w:t xml:space="preserve">nepoužije prostředky z Obchodu, </w:t>
      </w:r>
      <w:r w:rsidRPr="00E02C60">
        <w:rPr>
          <w:rFonts w:cs="Arial"/>
          <w:sz w:val="16"/>
          <w:szCs w:val="16"/>
          <w:lang w:eastAsia="cs-CZ"/>
        </w:rPr>
        <w:t xml:space="preserve">ani neumožní, aby byly tyto prostředky z Obchodu použity </w:t>
      </w:r>
      <w:r w:rsidRPr="00E02C60">
        <w:rPr>
          <w:rFonts w:cs="Arial"/>
          <w:sz w:val="16"/>
          <w:szCs w:val="16"/>
        </w:rPr>
        <w:t>(</w:t>
      </w:r>
      <w:r w:rsidRPr="00E02C60">
        <w:rPr>
          <w:rFonts w:cs="Arial"/>
          <w:sz w:val="16"/>
          <w:szCs w:val="16"/>
          <w:lang w:eastAsia="cs-CZ"/>
        </w:rPr>
        <w:t>nebo zapůjčeny, poskytnuty jako příspěvek či jiným způsobem poskytnuty jakékoliv osobě</w:t>
      </w:r>
      <w:r w:rsidRPr="00E02C60">
        <w:rPr>
          <w:rFonts w:cs="Arial"/>
          <w:sz w:val="16"/>
          <w:szCs w:val="16"/>
        </w:rPr>
        <w:t xml:space="preserve">) </w:t>
      </w:r>
      <w:r w:rsidRPr="00E02C60">
        <w:rPr>
          <w:rFonts w:cs="Arial"/>
          <w:sz w:val="16"/>
          <w:szCs w:val="16"/>
          <w:lang w:eastAsia="cs-CZ"/>
        </w:rPr>
        <w:t>za účelem financování, účasti nebo poskytnutí příspěvku na jakékoliv aktivity nebo obchod</w:t>
      </w:r>
      <w:r w:rsidRPr="00E02C60">
        <w:rPr>
          <w:rFonts w:cs="Arial"/>
          <w:sz w:val="16"/>
          <w:szCs w:val="16"/>
        </w:rPr>
        <w:t xml:space="preserve"> s jakoukoliv osobou, která je Sankcionovanou osobou, nebo v souvislosti s ní (nebo jí jinak či v její prospěch takové prostředky neposkytne). .</w:t>
      </w:r>
    </w:p>
    <w:p w14:paraId="081B1D68" w14:textId="77777777" w:rsidR="00E02C60" w:rsidRPr="00E02C60" w:rsidRDefault="00E02C60" w:rsidP="006D6C7C">
      <w:pPr>
        <w:pStyle w:val="Nadpis2"/>
        <w:numPr>
          <w:ilvl w:val="1"/>
          <w:numId w:val="13"/>
        </w:numPr>
        <w:tabs>
          <w:tab w:val="num" w:pos="426"/>
        </w:tabs>
        <w:ind w:left="426" w:hanging="426"/>
        <w:rPr>
          <w:rFonts w:cs="Arial"/>
          <w:sz w:val="16"/>
          <w:szCs w:val="16"/>
        </w:rPr>
      </w:pPr>
      <w:bookmarkStart w:id="172" w:name="_Hlk130993987"/>
      <w:r w:rsidRPr="00E02C60">
        <w:rPr>
          <w:rFonts w:cs="Arial"/>
          <w:sz w:val="16"/>
          <w:szCs w:val="16"/>
        </w:rPr>
        <w:t>Klient se dále zavazuje, že nepoužije jakýkoliv příjem či výnos pocházející z jakékoliv činnosti nebo obchodování se Sankcionovanou osobou za účelem uhrazení jakýchkoliv částek splatných Bance v souvislosti s touto</w:t>
      </w:r>
      <w:r w:rsidRPr="00E02C60" w:rsidDel="00247171">
        <w:rPr>
          <w:rFonts w:cs="Arial"/>
          <w:sz w:val="16"/>
          <w:szCs w:val="16"/>
        </w:rPr>
        <w:t xml:space="preserve"> </w:t>
      </w:r>
      <w:r w:rsidRPr="00E02C60">
        <w:rPr>
          <w:rFonts w:cs="Arial"/>
          <w:sz w:val="16"/>
          <w:szCs w:val="16"/>
        </w:rPr>
        <w:t>Smlouvou včetně Obchodu.</w:t>
      </w:r>
      <w:bookmarkEnd w:id="172"/>
    </w:p>
    <w:p w14:paraId="1343DC60" w14:textId="77777777" w:rsidR="00E02C60" w:rsidRPr="00E02C60" w:rsidRDefault="00E02C60" w:rsidP="006D6C7C">
      <w:pPr>
        <w:pStyle w:val="Nadpis1"/>
        <w:numPr>
          <w:ilvl w:val="0"/>
          <w:numId w:val="13"/>
        </w:numPr>
        <w:tabs>
          <w:tab w:val="num" w:pos="425"/>
        </w:tabs>
        <w:ind w:left="425" w:hanging="425"/>
        <w:rPr>
          <w:rFonts w:cs="Arial"/>
          <w:sz w:val="16"/>
          <w:szCs w:val="16"/>
        </w:rPr>
      </w:pPr>
      <w:r w:rsidRPr="00E02C60">
        <w:rPr>
          <w:rFonts w:cs="Arial"/>
          <w:sz w:val="16"/>
          <w:szCs w:val="16"/>
        </w:rPr>
        <w:t>Zánik smluvního vztahu</w:t>
      </w:r>
    </w:p>
    <w:p w14:paraId="2D6A0E31" w14:textId="77777777" w:rsidR="00E02C60" w:rsidRPr="00E02C60" w:rsidRDefault="00E02C60" w:rsidP="006D6C7C">
      <w:pPr>
        <w:pStyle w:val="Nadpis2"/>
        <w:numPr>
          <w:ilvl w:val="1"/>
          <w:numId w:val="13"/>
        </w:numPr>
        <w:tabs>
          <w:tab w:val="num" w:pos="425"/>
        </w:tabs>
        <w:ind w:left="425" w:hanging="425"/>
        <w:rPr>
          <w:rFonts w:cs="Arial"/>
          <w:sz w:val="16"/>
          <w:szCs w:val="16"/>
        </w:rPr>
      </w:pPr>
      <w:bookmarkStart w:id="173" w:name="_Ref222815524"/>
      <w:r w:rsidRPr="00E02C60">
        <w:rPr>
          <w:rFonts w:cs="Arial"/>
          <w:sz w:val="16"/>
          <w:szCs w:val="16"/>
        </w:rPr>
        <w:t xml:space="preserve">Každá ze smluvních stran je oprávněna Smlouvu písemně vypovědět i bez uvedení důvodu. Výpověď Smlouvy musí být druhé straně zaslána doporučeným dopisem nebo kurýrní službou nebo doručena osobně. Výpověď Klienta nabývá účinnosti Obchodním dnem, kdy byla doručena Bance, nevyplývá-li z výpovědi pozdější den účinnosti. Výpověď Banky nabývá účinnosti ke konci kalendářního měsíce následujícího po měsíci, v němž byla výpověď doručena Klientovi, nevyplývá-li z výpovědi pozdější den účinnosti. Smlouva zaniká dnem účinnosti výpovědi. Právo Banky odstoupit od Smlouvy podle článku 10. odstavce 1 Všeobecných podmínek tím není dotčeno. </w:t>
      </w:r>
    </w:p>
    <w:p w14:paraId="58AF33EF"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Pokud Banka neeviduje na Portfoliovém účtu žádné Nástroje a žádnou Hotovost po dobu 24 měsíců, má Banka právo smlouvu ukončit. Ukončení smlouvy Banka klientovi bez zbytečného prodlení písemně oznámí.</w:t>
      </w:r>
    </w:p>
    <w:p w14:paraId="54683243" w14:textId="77777777" w:rsidR="00E02C60" w:rsidRPr="00E02C60" w:rsidRDefault="00E02C60" w:rsidP="006D6C7C">
      <w:pPr>
        <w:pStyle w:val="Nadpis2"/>
        <w:numPr>
          <w:ilvl w:val="1"/>
          <w:numId w:val="13"/>
        </w:numPr>
        <w:tabs>
          <w:tab w:val="num" w:pos="425"/>
        </w:tabs>
        <w:ind w:left="425" w:hanging="425"/>
        <w:rPr>
          <w:rFonts w:cs="Arial"/>
          <w:sz w:val="16"/>
          <w:szCs w:val="16"/>
        </w:rPr>
      </w:pPr>
      <w:bookmarkStart w:id="174" w:name="_Hlk91665319"/>
      <w:bookmarkStart w:id="175" w:name="_Hlk91507285"/>
      <w:bookmarkStart w:id="176" w:name="_Hlk91672655"/>
      <w:r w:rsidRPr="00E02C60">
        <w:rPr>
          <w:rFonts w:cs="Arial"/>
          <w:sz w:val="16"/>
          <w:szCs w:val="16"/>
        </w:rPr>
        <w:t>Ke dni zániku Smlouvy zanikají všechny Obchodní pokyny</w:t>
      </w:r>
      <w:bookmarkStart w:id="177" w:name="_Hlk91672898"/>
      <w:r w:rsidRPr="00E02C60">
        <w:rPr>
          <w:rFonts w:cs="Arial"/>
          <w:sz w:val="16"/>
          <w:szCs w:val="16"/>
        </w:rPr>
        <w:t>, u kterých nebyla úspěšně provedena Validace pokynu. Neobchodní pokyny a Obchodní pokyny</w:t>
      </w:r>
      <w:bookmarkEnd w:id="177"/>
      <w:r w:rsidRPr="00E02C60">
        <w:rPr>
          <w:rFonts w:cs="Arial"/>
          <w:sz w:val="16"/>
          <w:szCs w:val="16"/>
        </w:rPr>
        <w:t xml:space="preserve">, u kterých byla úspěšně provedena Validace pokynu a které byly ke dni zániku Smlouvy uspokojeny pouze částečně nebo vůbec, Banka provede, a to v rozsahu, ve kterém ještě nebyly uspokojeny. </w:t>
      </w:r>
      <w:bookmarkEnd w:id="174"/>
      <w:r w:rsidRPr="00E02C60">
        <w:rPr>
          <w:rFonts w:cs="Arial"/>
          <w:sz w:val="16"/>
          <w:szCs w:val="16"/>
        </w:rPr>
        <w:t>V případě, kdy by Klientovi mohla v souvislosti se zánikem Smlouvy vzniknout škoda, je Banka povinna jej upozornit, jaká opatření je třeba učinit k jejímu odvrácení. Jestliže Klient nemůže tato opatření učinit ani prostřednictvím jiných osob a požádal-li Banku, aby je učinila, je Banka povinna tato opatření učinit. Za činnost uskutečněnou po účinnosti výpovědi náleží Bance úhrada veškerých Nákladů a přiměřená část Odměny podle Sazebníku</w:t>
      </w:r>
      <w:bookmarkEnd w:id="175"/>
      <w:r w:rsidRPr="00E02C60">
        <w:rPr>
          <w:rFonts w:cs="Arial"/>
          <w:sz w:val="16"/>
          <w:szCs w:val="16"/>
        </w:rPr>
        <w:t>.</w:t>
      </w:r>
      <w:bookmarkEnd w:id="176"/>
    </w:p>
    <w:p w14:paraId="3C5D1765" w14:textId="77777777" w:rsidR="00E02C60" w:rsidRPr="00E02C60" w:rsidRDefault="00E02C60" w:rsidP="006D6C7C">
      <w:pPr>
        <w:pStyle w:val="Nadpis2"/>
        <w:numPr>
          <w:ilvl w:val="1"/>
          <w:numId w:val="13"/>
        </w:numPr>
        <w:tabs>
          <w:tab w:val="num" w:pos="425"/>
        </w:tabs>
        <w:spacing w:after="60"/>
        <w:ind w:left="425" w:hanging="425"/>
        <w:rPr>
          <w:rFonts w:cs="Arial"/>
          <w:sz w:val="16"/>
          <w:szCs w:val="16"/>
        </w:rPr>
      </w:pPr>
      <w:bookmarkStart w:id="178" w:name="_Ref183330493"/>
      <w:r w:rsidRPr="00E02C60">
        <w:rPr>
          <w:rFonts w:cs="Arial"/>
          <w:sz w:val="16"/>
          <w:szCs w:val="16"/>
        </w:rPr>
        <w:t>V případě zániku Smlouvy:</w:t>
      </w:r>
      <w:bookmarkEnd w:id="178"/>
    </w:p>
    <w:p w14:paraId="5A575C79" w14:textId="77777777" w:rsidR="00E02C60" w:rsidRPr="00E02C60" w:rsidRDefault="00E02C60" w:rsidP="006D6C7C">
      <w:pPr>
        <w:pStyle w:val="Nadpis3"/>
        <w:numPr>
          <w:ilvl w:val="2"/>
          <w:numId w:val="13"/>
        </w:numPr>
        <w:tabs>
          <w:tab w:val="num" w:pos="851"/>
          <w:tab w:val="num" w:pos="992"/>
        </w:tabs>
        <w:spacing w:after="60"/>
        <w:ind w:left="851" w:hanging="426"/>
        <w:rPr>
          <w:rFonts w:cs="Arial"/>
          <w:b/>
          <w:sz w:val="16"/>
          <w:szCs w:val="16"/>
        </w:rPr>
      </w:pPr>
      <w:r w:rsidRPr="00E02C60">
        <w:rPr>
          <w:rFonts w:cs="Arial"/>
          <w:sz w:val="16"/>
          <w:szCs w:val="16"/>
        </w:rPr>
        <w:t>Banka bez zbytečného odkladu převede zůstatek Hotovosti na Peněžní účet nebo jiný Klientem sdělený účet vedený v ČR nebo ho vyplatí Klientovi v hotovosti;</w:t>
      </w:r>
    </w:p>
    <w:p w14:paraId="6483858A" w14:textId="77777777" w:rsidR="00E02C60" w:rsidRPr="00E02C60" w:rsidRDefault="00E02C60" w:rsidP="006D6C7C">
      <w:pPr>
        <w:pStyle w:val="Nadpis3"/>
        <w:numPr>
          <w:ilvl w:val="2"/>
          <w:numId w:val="13"/>
        </w:numPr>
        <w:tabs>
          <w:tab w:val="num" w:pos="851"/>
          <w:tab w:val="num" w:pos="992"/>
        </w:tabs>
        <w:spacing w:after="60"/>
        <w:ind w:left="851" w:hanging="426"/>
        <w:rPr>
          <w:rFonts w:cs="Arial"/>
          <w:b/>
          <w:sz w:val="16"/>
          <w:szCs w:val="16"/>
        </w:rPr>
      </w:pPr>
      <w:bookmarkStart w:id="179" w:name="_Ref183330496"/>
      <w:r w:rsidRPr="00E02C60">
        <w:rPr>
          <w:rFonts w:cs="Arial"/>
          <w:sz w:val="16"/>
          <w:szCs w:val="16"/>
        </w:rPr>
        <w:t>Banka bez zbytečného odkladu převede Nástroje evidované na Podúčtu cenných papírů osobě určené Klientem, která povede jeho Nástroje, pokud je tato osoba oprávněna podle příslušných právních předpisů Cenné papíry držet;</w:t>
      </w:r>
    </w:p>
    <w:p w14:paraId="24A6FB71" w14:textId="77777777" w:rsidR="00E02C60" w:rsidRPr="00E02C60" w:rsidRDefault="00E02C60" w:rsidP="006D6C7C">
      <w:pPr>
        <w:pStyle w:val="Nadpis3"/>
        <w:numPr>
          <w:ilvl w:val="2"/>
          <w:numId w:val="13"/>
        </w:numPr>
        <w:tabs>
          <w:tab w:val="num" w:pos="851"/>
          <w:tab w:val="num" w:pos="992"/>
        </w:tabs>
        <w:ind w:left="851" w:hanging="426"/>
        <w:rPr>
          <w:rFonts w:cs="Arial"/>
          <w:b/>
          <w:sz w:val="16"/>
          <w:szCs w:val="16"/>
        </w:rPr>
      </w:pPr>
      <w:r w:rsidRPr="00E02C60">
        <w:rPr>
          <w:rFonts w:cs="Arial"/>
          <w:sz w:val="16"/>
          <w:szCs w:val="16"/>
        </w:rPr>
        <w:t xml:space="preserve">je </w:t>
      </w:r>
      <w:bookmarkEnd w:id="179"/>
      <w:r w:rsidRPr="00E02C60">
        <w:rPr>
          <w:rFonts w:cs="Arial"/>
          <w:sz w:val="16"/>
          <w:szCs w:val="16"/>
        </w:rPr>
        <w:t>Klient povinen si osobně vyzvednout Zlato, které je evidováno na jeho Podúčtu cenných papírů.</w:t>
      </w:r>
    </w:p>
    <w:p w14:paraId="3508DEA4" w14:textId="0DCA3E1E" w:rsidR="00E02C60" w:rsidRPr="00E02C60" w:rsidRDefault="00E02C60" w:rsidP="006D6C7C">
      <w:pPr>
        <w:pStyle w:val="Nadpis2"/>
        <w:numPr>
          <w:ilvl w:val="1"/>
          <w:numId w:val="13"/>
        </w:numPr>
        <w:tabs>
          <w:tab w:val="num" w:pos="425"/>
        </w:tabs>
        <w:ind w:left="425" w:hanging="425"/>
        <w:rPr>
          <w:rFonts w:cs="Arial"/>
          <w:sz w:val="16"/>
          <w:szCs w:val="16"/>
        </w:rPr>
      </w:pPr>
      <w:bookmarkStart w:id="180" w:name="_Ref53996613"/>
      <w:r w:rsidRPr="00E02C60">
        <w:rPr>
          <w:rFonts w:cs="Arial"/>
          <w:sz w:val="16"/>
          <w:szCs w:val="16"/>
        </w:rPr>
        <w:t xml:space="preserve">V případě, že Klient neposkytne Bance součinnost potřebnou k převodu Nástrojů dle odstavce </w:t>
      </w:r>
      <w:r w:rsidRPr="00E02C60">
        <w:rPr>
          <w:rFonts w:cs="Arial"/>
          <w:sz w:val="16"/>
          <w:szCs w:val="16"/>
        </w:rPr>
        <w:fldChar w:fldCharType="begin"/>
      </w:r>
      <w:r w:rsidRPr="00E02C60">
        <w:rPr>
          <w:rFonts w:cs="Arial"/>
          <w:sz w:val="16"/>
          <w:szCs w:val="16"/>
        </w:rPr>
        <w:instrText xml:space="preserve"> REF _Ref183330493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8.4</w:t>
      </w:r>
      <w:r w:rsidRPr="00E02C60">
        <w:rPr>
          <w:rFonts w:cs="Arial"/>
          <w:sz w:val="16"/>
          <w:szCs w:val="16"/>
        </w:rPr>
        <w:fldChar w:fldCharType="end"/>
      </w:r>
      <w:r w:rsidRPr="00E02C60">
        <w:rPr>
          <w:rFonts w:cs="Arial"/>
          <w:sz w:val="16"/>
          <w:szCs w:val="16"/>
        </w:rPr>
        <w:t xml:space="preserve"> ani v Bankou stanovené lhůtě, která nesmí být kratší než třicet (30) kalendářních dnů od doručení oznámení Banky Klientovi o stanovení této lhůty, je Banka oprávněna Nástroje darovat Nadačnímu fondu CDCP nebo prodat. Banka je oprávněna  peněžní prostředky získané prodejem </w:t>
      </w:r>
      <w:r w:rsidRPr="00E02C60">
        <w:rPr>
          <w:rFonts w:cs="Arial"/>
          <w:sz w:val="16"/>
          <w:szCs w:val="16"/>
        </w:rPr>
        <w:lastRenderedPageBreak/>
        <w:t>Nástrojů po odečtení Odměny, Nákladů vzniklých v souvislosti s takovýmto zpeněžením, Správou či jinou službou Banky poskytnutou po zániku Smlouvy, převést na Peněžní účet.</w:t>
      </w:r>
      <w:bookmarkEnd w:id="180"/>
    </w:p>
    <w:p w14:paraId="30520316" w14:textId="77777777" w:rsidR="00E02C60" w:rsidRPr="00E02C60" w:rsidRDefault="00E02C60" w:rsidP="006D6C7C">
      <w:pPr>
        <w:pStyle w:val="Nadpis2"/>
        <w:numPr>
          <w:ilvl w:val="1"/>
          <w:numId w:val="13"/>
        </w:numPr>
        <w:tabs>
          <w:tab w:val="num" w:pos="425"/>
        </w:tabs>
        <w:ind w:left="425" w:hanging="425"/>
        <w:rPr>
          <w:rFonts w:cs="Arial"/>
          <w:sz w:val="16"/>
          <w:szCs w:val="16"/>
        </w:rPr>
      </w:pPr>
      <w:r w:rsidRPr="00E02C60">
        <w:rPr>
          <w:rFonts w:cs="Arial"/>
          <w:sz w:val="16"/>
          <w:szCs w:val="16"/>
        </w:rPr>
        <w:t>Zánikem Smlouvy nejsou dotčena práva Banky na úhradu Odměny a Nákladů, na které Bance vznikl nárok před zánikem Smlouvy nebo po zániku Smlouvy.</w:t>
      </w:r>
    </w:p>
    <w:p w14:paraId="554D1DBC" w14:textId="77777777" w:rsidR="00E02C60" w:rsidRPr="00E02C60" w:rsidRDefault="00E02C60" w:rsidP="006D6C7C">
      <w:pPr>
        <w:pStyle w:val="Nadpis1"/>
        <w:numPr>
          <w:ilvl w:val="0"/>
          <w:numId w:val="13"/>
        </w:numPr>
        <w:tabs>
          <w:tab w:val="num" w:pos="425"/>
        </w:tabs>
        <w:ind w:left="431" w:hanging="431"/>
        <w:rPr>
          <w:rFonts w:cs="Arial"/>
          <w:sz w:val="16"/>
          <w:szCs w:val="16"/>
        </w:rPr>
      </w:pPr>
      <w:bookmarkStart w:id="181" w:name="_Ref412647717"/>
      <w:r w:rsidRPr="00E02C60">
        <w:rPr>
          <w:rFonts w:cs="Arial"/>
          <w:sz w:val="16"/>
          <w:szCs w:val="16"/>
        </w:rPr>
        <w:t>Vymezení pojmů</w:t>
      </w:r>
      <w:bookmarkEnd w:id="173"/>
      <w:bookmarkEnd w:id="181"/>
    </w:p>
    <w:p w14:paraId="0A7A9EB9" w14:textId="77777777" w:rsidR="00E02C60" w:rsidRPr="00E02C60" w:rsidRDefault="00E02C60" w:rsidP="006D6C7C">
      <w:pPr>
        <w:pStyle w:val="Nadpis2"/>
        <w:numPr>
          <w:ilvl w:val="1"/>
          <w:numId w:val="13"/>
        </w:numPr>
        <w:tabs>
          <w:tab w:val="num" w:pos="425"/>
        </w:tabs>
        <w:ind w:left="425" w:hanging="425"/>
        <w:rPr>
          <w:rFonts w:cs="Arial"/>
          <w:sz w:val="16"/>
          <w:szCs w:val="16"/>
        </w:rPr>
      </w:pPr>
      <w:bookmarkStart w:id="182" w:name="_Ref407694978"/>
      <w:r w:rsidRPr="00E02C60">
        <w:rPr>
          <w:rFonts w:cs="Arial"/>
          <w:sz w:val="16"/>
          <w:szCs w:val="16"/>
        </w:rPr>
        <w:t>Kromě případů, kdy z kontextu vyplývá něco jiného, slova uvedená ve Smlouvě v jednotném čísle zahrnují rovněž množné číslo a slova v množném čísle zahrnují i číslo jednotné. Všechny nadpisy a podnadpisy jsou v textu umístěny pro jeho přehlednost a nebudou brány v potaz při výkladu Smlouvy. Jakýkoliv odkaz na Smlouvu nebo jakýkoliv jiný dokument či dohodu zahrnuje veškeré jeho dodatky a změny, které byly učiněny v souladu se Smlouvou a s příslušnými právními předpisy.</w:t>
      </w:r>
      <w:bookmarkEnd w:id="182"/>
    </w:p>
    <w:p w14:paraId="1D27E87D" w14:textId="77777777" w:rsidR="00E02C60" w:rsidRPr="00E02C60" w:rsidRDefault="00E02C60" w:rsidP="006D6C7C">
      <w:pPr>
        <w:pStyle w:val="Nadpis2"/>
        <w:numPr>
          <w:ilvl w:val="1"/>
          <w:numId w:val="13"/>
        </w:numPr>
        <w:tabs>
          <w:tab w:val="num" w:pos="425"/>
        </w:tabs>
        <w:ind w:left="432" w:hanging="432"/>
        <w:rPr>
          <w:rFonts w:cs="Arial"/>
          <w:sz w:val="16"/>
          <w:szCs w:val="16"/>
        </w:rPr>
      </w:pPr>
      <w:r w:rsidRPr="00E02C60">
        <w:rPr>
          <w:rFonts w:cs="Arial"/>
          <w:sz w:val="16"/>
          <w:szCs w:val="16"/>
        </w:rPr>
        <w:t>Pojmy, které nejsou definovány ve Smlouvě a Podmínkách, mají význam stanovený příslušnými předpisy BCPP. Kromě pojmů definovaných ve Smlouvě a ve Všeobecných podmínkách, a pokud není dále v těchto Podmínkách definováno jinak, další pojmy s velkým počátečním písmenem mají v těchto Podmínkách následující význam:</w:t>
      </w:r>
    </w:p>
    <w:p w14:paraId="1F0ECF9D" w14:textId="77777777" w:rsidR="00E02C60" w:rsidRPr="00E02C60" w:rsidRDefault="00E02C60" w:rsidP="00E02C60">
      <w:pPr>
        <w:tabs>
          <w:tab w:val="left" w:pos="7371"/>
        </w:tabs>
        <w:spacing w:after="120"/>
        <w:ind w:right="57"/>
        <w:rPr>
          <w:rFonts w:cs="Arial"/>
          <w:sz w:val="16"/>
          <w:szCs w:val="16"/>
        </w:rPr>
      </w:pPr>
      <w:r w:rsidRPr="00E02C60">
        <w:rPr>
          <w:rFonts w:cs="Arial"/>
          <w:sz w:val="16"/>
          <w:szCs w:val="16"/>
        </w:rPr>
        <w:t>„</w:t>
      </w:r>
      <w:r w:rsidRPr="00E02C60">
        <w:rPr>
          <w:rFonts w:cs="Arial"/>
          <w:b/>
          <w:sz w:val="16"/>
          <w:szCs w:val="16"/>
        </w:rPr>
        <w:t>Banka</w:t>
      </w:r>
      <w:r w:rsidRPr="00E02C60">
        <w:rPr>
          <w:rFonts w:cs="Arial"/>
          <w:sz w:val="16"/>
          <w:szCs w:val="16"/>
        </w:rPr>
        <w:t>“ je Komerční banka, a.s., se sídlem Praha 1, Na Příkopě 33 čp. 969, PSČ 114 07, IČO: 453 17 054, zapsaná v obchodním rejstříku vedeném Městským soudem v Praze, oddíl B, vložka 1360.</w:t>
      </w:r>
    </w:p>
    <w:p w14:paraId="163F8976"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BCPP</w:t>
      </w:r>
      <w:r w:rsidRPr="00E02C60">
        <w:rPr>
          <w:rFonts w:cs="Arial"/>
          <w:sz w:val="16"/>
          <w:szCs w:val="16"/>
        </w:rPr>
        <w:t>“ je Burza cenných papírů Praha, a.s., se sídlem Praha 1, Rybná 14/682, IČO: 471 15 629, zapsaná v obchodním rejstříku vedeném Městským soudem v Praze oddíl B, vložka 1773.</w:t>
      </w:r>
    </w:p>
    <w:p w14:paraId="1E893C07"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CDCP</w:t>
      </w:r>
      <w:r w:rsidRPr="00E02C60">
        <w:rPr>
          <w:rFonts w:cs="Arial"/>
          <w:sz w:val="16"/>
          <w:szCs w:val="16"/>
        </w:rPr>
        <w:t>“ je Centrální depozitář cenných papírů, a.s., se sídlem Praha 1, Rybná 14, IČO: 250 81 489, zapsaná v obchodním rejstříku vedeném Městským soudem v Praze, oddíl B, vložka 4308.</w:t>
      </w:r>
    </w:p>
    <w:p w14:paraId="11D088F3"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Cenné papíry</w:t>
      </w:r>
      <w:r w:rsidRPr="00E02C60">
        <w:rPr>
          <w:rFonts w:cs="Arial"/>
          <w:sz w:val="16"/>
          <w:szCs w:val="16"/>
        </w:rPr>
        <w:t xml:space="preserve">“ jsou cenné papíry, zaknihované cenné papíry, imobilizované cenné papíry, investiční certifikáty, cenné papíry vydané investičními fondy nebo jiné obdobné majetkové hodnoty, ohledně nichž Banka přijímá Pokyny. </w:t>
      </w:r>
    </w:p>
    <w:p w14:paraId="082292CB"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Cenový limit</w:t>
      </w:r>
      <w:r w:rsidRPr="00E02C60">
        <w:rPr>
          <w:rFonts w:cs="Arial"/>
          <w:sz w:val="16"/>
          <w:szCs w:val="16"/>
        </w:rPr>
        <w:t>“ je minimální prodejní cena, za kterou si Klient přeje obstarat prodej Nástrojů, nebo maximální kupní cena, za kterou si Klient přeje obstarat koupi Nástrojů anebo jiné cenové určení.</w:t>
      </w:r>
    </w:p>
    <w:p w14:paraId="31663849"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CSDR</w:t>
      </w:r>
      <w:r w:rsidRPr="00E02C60">
        <w:rPr>
          <w:rFonts w:cs="Arial"/>
          <w:sz w:val="16"/>
          <w:szCs w:val="16"/>
        </w:rPr>
        <w:t xml:space="preserve">“ je </w:t>
      </w:r>
      <w:r w:rsidRPr="00E02C60">
        <w:rPr>
          <w:rFonts w:cs="Arial"/>
          <w:iCs/>
          <w:sz w:val="16"/>
          <w:szCs w:val="16"/>
        </w:rPr>
        <w:t>Nařízení Evropského parlamentu a Rady č. 909/2014 o zlepšení vypořádání obchodů s cennými papíry v Evropské unii a centrálních depozitářích cenných papírů a o změně směrnic 98/26/ES a 2014/65/EU a nařízení (EU) č. 236/2012.</w:t>
      </w:r>
    </w:p>
    <w:p w14:paraId="398A0763"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Dluhy</w:t>
      </w:r>
      <w:r w:rsidRPr="00E02C60">
        <w:rPr>
          <w:rFonts w:cs="Arial"/>
          <w:sz w:val="16"/>
          <w:szCs w:val="16"/>
        </w:rPr>
        <w:t>“ jsou peněžité dluhy Klienta, které vzniknou v souvislosti s provedením Pokynu k obstarání koupě Nástroje nebo jiného jednání Banky dle Smlouvy. V případě Pokynu k nákupu Cenných papírů odpovídá výše Dluhů součtu kupní ceny Cenných papírů, jejichž koupě má být obstarána, určené podle Cenového limitu, předpokládaných Nákladů a Odměny. V případě Pokynu k obstarání koupě Zlata odpovídá výše Dluhů součtu kupní ceny Zlata, jehož koupě má být obstarána, určené podle Cenového limitu, a Odměny.</w:t>
      </w:r>
    </w:p>
    <w:p w14:paraId="7F4A23A6"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Elektronický klient</w:t>
      </w:r>
      <w:r w:rsidRPr="00E02C60">
        <w:rPr>
          <w:rFonts w:cs="Arial"/>
          <w:sz w:val="16"/>
          <w:szCs w:val="16"/>
        </w:rPr>
        <w:t>” je Klient, který uvedl pro účely doručování svoji e-mailovou adresu, a to při uzavření této Smlouvy nebo i při uzavření jiné smlouvy o poskytnutí Bankovní služby, nebo kdykoliv poté.</w:t>
      </w:r>
    </w:p>
    <w:p w14:paraId="5A468A78" w14:textId="77777777" w:rsidR="00E02C60" w:rsidRPr="00174F69" w:rsidRDefault="00E02C60" w:rsidP="00E02C60">
      <w:pPr>
        <w:tabs>
          <w:tab w:val="num" w:pos="426"/>
        </w:tabs>
        <w:spacing w:after="120"/>
        <w:rPr>
          <w:rFonts w:cs="Arial"/>
          <w:sz w:val="16"/>
          <w:szCs w:val="16"/>
        </w:rPr>
      </w:pPr>
      <w:r w:rsidRPr="00174F69">
        <w:rPr>
          <w:rFonts w:cs="Arial"/>
          <w:sz w:val="16"/>
          <w:szCs w:val="16"/>
        </w:rPr>
        <w:t>„</w:t>
      </w:r>
      <w:r w:rsidR="00174F69" w:rsidRPr="00174F69">
        <w:rPr>
          <w:rFonts w:cs="Arial"/>
          <w:b/>
          <w:sz w:val="16"/>
          <w:szCs w:val="16"/>
        </w:rPr>
        <w:t>Elektronický podpis</w:t>
      </w:r>
      <w:r w:rsidRPr="00174F69">
        <w:rPr>
          <w:rFonts w:cs="Arial"/>
          <w:sz w:val="16"/>
          <w:szCs w:val="16"/>
        </w:rPr>
        <w:t xml:space="preserve">“ </w:t>
      </w:r>
      <w:r w:rsidR="00174F69" w:rsidRPr="00174F69">
        <w:rPr>
          <w:bCs/>
          <w:sz w:val="16"/>
          <w:szCs w:val="16"/>
        </w:rPr>
        <w:t xml:space="preserve">je elektronický podpis ve smyslu nařízení evropského parlamentu a rady (EU) č. 910/2014, o elektronické identifikaci a službách vytvářejících důvěru pro elektronické </w:t>
      </w:r>
      <w:r w:rsidR="00174F69" w:rsidRPr="00174F69">
        <w:rPr>
          <w:bCs/>
          <w:sz w:val="16"/>
          <w:szCs w:val="16"/>
        </w:rPr>
        <w:t>transakce na vnitřním trhu a o zrušení směrnice 1999/93/ES, a</w:t>
      </w:r>
      <w:r w:rsidR="00174F69">
        <w:rPr>
          <w:bCs/>
          <w:sz w:val="16"/>
          <w:szCs w:val="16"/>
        </w:rPr>
        <w:t> </w:t>
      </w:r>
      <w:r w:rsidR="00174F69" w:rsidRPr="00174F69">
        <w:rPr>
          <w:bCs/>
          <w:sz w:val="16"/>
          <w:szCs w:val="16"/>
        </w:rPr>
        <w:t>na něho navazujícího zákona č. 297/2016 Sb., o službách vytvářejících důvěru pro elektronické transakce, v platném znění. Použití Elektronického podpisu je upraveno dále v těchto Podmínkách</w:t>
      </w:r>
      <w:r w:rsidRPr="00174F69">
        <w:rPr>
          <w:rFonts w:cs="Arial"/>
          <w:sz w:val="16"/>
          <w:szCs w:val="16"/>
        </w:rPr>
        <w:t>.</w:t>
      </w:r>
    </w:p>
    <w:p w14:paraId="5F3AFE79" w14:textId="77777777" w:rsidR="00174F69" w:rsidRPr="00E02C60" w:rsidRDefault="00174F69" w:rsidP="00174F69">
      <w:pPr>
        <w:tabs>
          <w:tab w:val="num" w:pos="426"/>
        </w:tabs>
        <w:spacing w:after="120"/>
        <w:rPr>
          <w:rFonts w:cs="Arial"/>
          <w:sz w:val="16"/>
          <w:szCs w:val="16"/>
        </w:rPr>
      </w:pPr>
      <w:r w:rsidRPr="00E02C60">
        <w:rPr>
          <w:rFonts w:cs="Arial"/>
          <w:sz w:val="16"/>
          <w:szCs w:val="16"/>
        </w:rPr>
        <w:t>„</w:t>
      </w:r>
      <w:r w:rsidRPr="00E02C60">
        <w:rPr>
          <w:rFonts w:cs="Arial"/>
          <w:b/>
          <w:sz w:val="16"/>
          <w:szCs w:val="16"/>
        </w:rPr>
        <w:t>Hotovost</w:t>
      </w:r>
      <w:r w:rsidRPr="00E02C60">
        <w:rPr>
          <w:rFonts w:cs="Arial"/>
          <w:sz w:val="16"/>
          <w:szCs w:val="16"/>
        </w:rPr>
        <w:t>“ jsou peněžní prostředky Klienta vedené u Banky v Kč nebo v jiných měnách poukázané Klientem nebo inkasované Bankou ve prospěch Klienta od třetích osob v souvislosti s Vypořádáním obchodu nebo které představují výnosy z Cenných papírů Klienta.</w:t>
      </w:r>
    </w:p>
    <w:p w14:paraId="754162D6" w14:textId="77777777" w:rsidR="00E02C60" w:rsidRPr="00597C5D" w:rsidRDefault="00E02C60" w:rsidP="00E02C60">
      <w:pPr>
        <w:tabs>
          <w:tab w:val="num" w:pos="360"/>
          <w:tab w:val="num" w:pos="426"/>
        </w:tabs>
        <w:spacing w:after="120" w:line="40" w:lineRule="atLeast"/>
        <w:rPr>
          <w:rFonts w:cs="Arial"/>
          <w:sz w:val="16"/>
          <w:szCs w:val="16"/>
        </w:rPr>
      </w:pPr>
      <w:r w:rsidRPr="00597C5D">
        <w:rPr>
          <w:rFonts w:cs="Arial"/>
          <w:sz w:val="16"/>
          <w:szCs w:val="16"/>
        </w:rPr>
        <w:t>„</w:t>
      </w:r>
      <w:r w:rsidRPr="00597C5D">
        <w:rPr>
          <w:rFonts w:cs="Arial"/>
          <w:b/>
          <w:sz w:val="16"/>
          <w:szCs w:val="16"/>
        </w:rPr>
        <w:t>Informace o investičních službách a nástrojích</w:t>
      </w:r>
      <w:r w:rsidRPr="00597C5D">
        <w:rPr>
          <w:rFonts w:cs="Arial"/>
          <w:sz w:val="16"/>
          <w:szCs w:val="16"/>
        </w:rPr>
        <w:t xml:space="preserve">“ </w:t>
      </w:r>
      <w:r w:rsidR="00597C5D" w:rsidRPr="00597C5D">
        <w:rPr>
          <w:sz w:val="16"/>
          <w:szCs w:val="16"/>
        </w:rPr>
        <w:t>jsou informace poskytované Bankou Klientovi, které jsou v souladu s</w:t>
      </w:r>
      <w:r w:rsidR="00597C5D">
        <w:rPr>
          <w:sz w:val="16"/>
          <w:szCs w:val="16"/>
        </w:rPr>
        <w:t> </w:t>
      </w:r>
      <w:r w:rsidR="00597C5D" w:rsidRPr="00597C5D">
        <w:rPr>
          <w:sz w:val="16"/>
          <w:szCs w:val="16"/>
        </w:rPr>
        <w:t>§ 1751 občanského zákoníku nedílnou součástí této Smlouvy</w:t>
      </w:r>
      <w:r w:rsidRPr="00597C5D">
        <w:rPr>
          <w:rFonts w:cs="Arial"/>
          <w:sz w:val="16"/>
          <w:szCs w:val="16"/>
        </w:rPr>
        <w:t>.</w:t>
      </w:r>
    </w:p>
    <w:p w14:paraId="6879A7BF" w14:textId="77777777" w:rsidR="00E02C60" w:rsidRPr="00E02C60" w:rsidRDefault="00E02C60" w:rsidP="00E02C60">
      <w:pPr>
        <w:tabs>
          <w:tab w:val="num" w:pos="360"/>
          <w:tab w:val="num" w:pos="426"/>
        </w:tabs>
        <w:spacing w:after="120" w:line="40" w:lineRule="atLeast"/>
        <w:rPr>
          <w:rFonts w:cs="Arial"/>
          <w:sz w:val="16"/>
          <w:szCs w:val="16"/>
        </w:rPr>
      </w:pPr>
      <w:r w:rsidRPr="00E02C60">
        <w:rPr>
          <w:rFonts w:cs="Arial"/>
          <w:sz w:val="16"/>
          <w:szCs w:val="16"/>
        </w:rPr>
        <w:t>„</w:t>
      </w:r>
      <w:r w:rsidRPr="00E02C60">
        <w:rPr>
          <w:rFonts w:cs="Arial"/>
          <w:b/>
          <w:bCs/>
          <w:sz w:val="16"/>
          <w:szCs w:val="16"/>
        </w:rPr>
        <w:t>Informační list</w:t>
      </w:r>
      <w:r w:rsidRPr="00E02C60">
        <w:rPr>
          <w:rFonts w:cs="Arial"/>
          <w:sz w:val="16"/>
          <w:szCs w:val="16"/>
        </w:rPr>
        <w:t>“ je dokument obsahující informace týkající se jednotlivých Cenných papírů, které jsou nakupovány nebo upisovány v rámci Private placementu Banky. Informační list obsahuje popis podmínek, finančních povinností a možných rizik vyplývajících z koupě takovýchto Cenných papírů.</w:t>
      </w:r>
    </w:p>
    <w:p w14:paraId="1E253BE8" w14:textId="5A786757" w:rsidR="00E02C60" w:rsidRPr="00597C5D" w:rsidRDefault="00E02C60" w:rsidP="00E02C60">
      <w:pPr>
        <w:tabs>
          <w:tab w:val="num" w:pos="426"/>
        </w:tabs>
        <w:spacing w:after="120"/>
        <w:rPr>
          <w:rFonts w:cs="Arial"/>
          <w:sz w:val="16"/>
          <w:szCs w:val="16"/>
        </w:rPr>
      </w:pPr>
      <w:r w:rsidRPr="00597C5D">
        <w:rPr>
          <w:rFonts w:cs="Arial"/>
          <w:sz w:val="16"/>
          <w:szCs w:val="16"/>
        </w:rPr>
        <w:t>„</w:t>
      </w:r>
      <w:r w:rsidRPr="00597C5D">
        <w:rPr>
          <w:rFonts w:cs="Arial"/>
          <w:b/>
          <w:sz w:val="16"/>
          <w:szCs w:val="16"/>
        </w:rPr>
        <w:t>Internetová adresa</w:t>
      </w:r>
      <w:r w:rsidRPr="00597C5D">
        <w:rPr>
          <w:rFonts w:cs="Arial"/>
          <w:sz w:val="16"/>
          <w:szCs w:val="16"/>
        </w:rPr>
        <w:t xml:space="preserve">“ </w:t>
      </w:r>
      <w:r w:rsidR="00597C5D" w:rsidRPr="00597C5D">
        <w:rPr>
          <w:sz w:val="16"/>
          <w:szCs w:val="16"/>
        </w:rPr>
        <w:t xml:space="preserve">je internetová stránka Banky </w:t>
      </w:r>
      <w:hyperlink r:id="rId28" w:history="1">
        <w:r w:rsidR="00597C5D" w:rsidRPr="00597C5D">
          <w:rPr>
            <w:rStyle w:val="Hypertextovodkaz"/>
            <w:sz w:val="16"/>
            <w:szCs w:val="16"/>
          </w:rPr>
          <w:t>www.kb.cz</w:t>
        </w:r>
      </w:hyperlink>
      <w:r w:rsidR="00597C5D" w:rsidRPr="00597C5D">
        <w:rPr>
          <w:sz w:val="16"/>
          <w:szCs w:val="16"/>
        </w:rPr>
        <w:t xml:space="preserve"> nebo jiná internetová adresa, která ji nahradí</w:t>
      </w:r>
      <w:r w:rsidRPr="00597C5D">
        <w:rPr>
          <w:rFonts w:cs="Arial"/>
          <w:sz w:val="16"/>
          <w:szCs w:val="16"/>
        </w:rPr>
        <w:t>.</w:t>
      </w:r>
    </w:p>
    <w:p w14:paraId="1577EDE1" w14:textId="77777777" w:rsidR="00174F69" w:rsidRPr="00174F69" w:rsidRDefault="00174F69" w:rsidP="00174F69">
      <w:pPr>
        <w:tabs>
          <w:tab w:val="num" w:pos="426"/>
        </w:tabs>
        <w:spacing w:after="120"/>
        <w:rPr>
          <w:rFonts w:cs="Arial"/>
          <w:sz w:val="16"/>
          <w:szCs w:val="16"/>
        </w:rPr>
      </w:pPr>
      <w:r w:rsidRPr="00174F69">
        <w:rPr>
          <w:rFonts w:cs="Arial"/>
          <w:sz w:val="16"/>
          <w:szCs w:val="16"/>
        </w:rPr>
        <w:t>„</w:t>
      </w:r>
      <w:r w:rsidRPr="00174F69">
        <w:rPr>
          <w:rFonts w:cs="Arial"/>
          <w:b/>
          <w:sz w:val="16"/>
          <w:szCs w:val="16"/>
        </w:rPr>
        <w:t>KB Klíč</w:t>
      </w:r>
      <w:r w:rsidRPr="00174F69">
        <w:rPr>
          <w:rFonts w:cs="Arial"/>
          <w:sz w:val="16"/>
          <w:szCs w:val="16"/>
        </w:rPr>
        <w:t xml:space="preserve">“ </w:t>
      </w:r>
      <w:r w:rsidRPr="00174F69">
        <w:rPr>
          <w:sz w:val="16"/>
          <w:szCs w:val="16"/>
        </w:rPr>
        <w:t>je metoda pro vytváření Elektronického podpisu založená na individuálních vlastnostech aktivované aplikace pro podporovaná zařízení a znalosti bezpečnostního PINU nebo biometrie, umožňující zejména ověřit identitu podepisující osoby nebo elektronicky podepisovat dokumenty; možnost využití této metody vyplývá z příslušné smlouvy uzavřené mezi Bankou a</w:t>
      </w:r>
      <w:r>
        <w:rPr>
          <w:sz w:val="16"/>
          <w:szCs w:val="16"/>
        </w:rPr>
        <w:t> </w:t>
      </w:r>
      <w:r w:rsidRPr="00174F69">
        <w:rPr>
          <w:sz w:val="16"/>
          <w:szCs w:val="16"/>
        </w:rPr>
        <w:t>uživatelem této metody</w:t>
      </w:r>
      <w:r w:rsidRPr="00174F69">
        <w:rPr>
          <w:rFonts w:cs="Arial"/>
          <w:sz w:val="16"/>
          <w:szCs w:val="16"/>
        </w:rPr>
        <w:t>.</w:t>
      </w:r>
    </w:p>
    <w:p w14:paraId="34ED85DD" w14:textId="77777777" w:rsidR="00E02C60" w:rsidRPr="00597C5D" w:rsidRDefault="00E02C60" w:rsidP="00E02C60">
      <w:pPr>
        <w:tabs>
          <w:tab w:val="num" w:pos="426"/>
        </w:tabs>
        <w:spacing w:after="120"/>
        <w:rPr>
          <w:rFonts w:cs="Arial"/>
          <w:sz w:val="16"/>
          <w:szCs w:val="16"/>
        </w:rPr>
      </w:pPr>
      <w:r w:rsidRPr="00597C5D">
        <w:rPr>
          <w:rFonts w:cs="Arial"/>
          <w:sz w:val="16"/>
          <w:szCs w:val="16"/>
        </w:rPr>
        <w:t>„</w:t>
      </w:r>
      <w:r w:rsidRPr="00597C5D">
        <w:rPr>
          <w:rFonts w:cs="Arial"/>
          <w:b/>
          <w:sz w:val="16"/>
          <w:szCs w:val="16"/>
        </w:rPr>
        <w:t>Kontaktní adresa</w:t>
      </w:r>
      <w:r w:rsidRPr="00597C5D">
        <w:rPr>
          <w:rFonts w:cs="Arial"/>
          <w:sz w:val="16"/>
          <w:szCs w:val="16"/>
        </w:rPr>
        <w:t xml:space="preserve">“ </w:t>
      </w:r>
      <w:r w:rsidR="00597C5D" w:rsidRPr="00597C5D">
        <w:rPr>
          <w:sz w:val="16"/>
          <w:szCs w:val="16"/>
        </w:rPr>
        <w:t>je poslední doručovací adresa sdělená Klientem Bance podle Smlouvy, jiné smlouvě o poskytnutí Bankovní služby, nebo kdykoliv poté</w:t>
      </w:r>
      <w:r w:rsidRPr="00597C5D">
        <w:rPr>
          <w:rFonts w:cs="Arial"/>
          <w:sz w:val="16"/>
          <w:szCs w:val="16"/>
        </w:rPr>
        <w:t>.</w:t>
      </w:r>
    </w:p>
    <w:p w14:paraId="173540CF" w14:textId="77777777" w:rsidR="00E02C60" w:rsidRPr="00E02C60" w:rsidRDefault="00E02C60" w:rsidP="00E02C60">
      <w:pPr>
        <w:spacing w:after="80"/>
        <w:rPr>
          <w:rFonts w:cs="Arial"/>
          <w:sz w:val="16"/>
          <w:szCs w:val="16"/>
        </w:rPr>
      </w:pPr>
      <w:r w:rsidRPr="00E02C60">
        <w:rPr>
          <w:rFonts w:cs="Arial"/>
          <w:sz w:val="16"/>
          <w:szCs w:val="16"/>
        </w:rPr>
        <w:t>„</w:t>
      </w:r>
      <w:r w:rsidRPr="00E02C60">
        <w:rPr>
          <w:rFonts w:cs="Arial"/>
          <w:b/>
          <w:sz w:val="16"/>
          <w:szCs w:val="16"/>
        </w:rPr>
        <w:t>Kontaktní</w:t>
      </w:r>
      <w:r w:rsidRPr="00E02C60">
        <w:rPr>
          <w:rFonts w:cs="Arial"/>
          <w:sz w:val="16"/>
          <w:szCs w:val="16"/>
        </w:rPr>
        <w:t xml:space="preserve"> </w:t>
      </w:r>
      <w:r w:rsidRPr="00E02C60">
        <w:rPr>
          <w:rFonts w:cs="Arial"/>
          <w:b/>
          <w:sz w:val="16"/>
          <w:szCs w:val="16"/>
        </w:rPr>
        <w:t>e-mailová adresa</w:t>
      </w:r>
      <w:r w:rsidRPr="00E02C60">
        <w:rPr>
          <w:rFonts w:cs="Arial"/>
          <w:sz w:val="16"/>
          <w:szCs w:val="16"/>
        </w:rPr>
        <w:t>“ je e-mailová adresa klienta sdělená Bance za účelem elektronické komunikace s Klientem pro účely Smlouvy včetně adresy sdělené kdykoliv v budoucnu. Za Kontaktní e-mailovou adresu se považuje taktéž datová schránka zřízená v rámci aplikace internetového bankovnictví Moje Banka nebo obdobné aplikace internetového či jiného přímého bankovnictví Banky.</w:t>
      </w:r>
    </w:p>
    <w:p w14:paraId="710410A6"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Kontaktní údaje Banky</w:t>
      </w:r>
      <w:r w:rsidRPr="00E02C60">
        <w:rPr>
          <w:rFonts w:cs="Arial"/>
          <w:sz w:val="16"/>
          <w:szCs w:val="16"/>
        </w:rPr>
        <w:t>“ je příloha Smlouvy obsahující kontaktní údaje a spojení Banky pro účely Smlouvy a pravidla určená pro příslušný Pokyn či Službu.</w:t>
      </w:r>
    </w:p>
    <w:p w14:paraId="43FFAD23"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Kontaktní údaje Klienta</w:t>
      </w:r>
      <w:r w:rsidRPr="00E02C60">
        <w:rPr>
          <w:rFonts w:cs="Arial"/>
          <w:sz w:val="16"/>
          <w:szCs w:val="16"/>
        </w:rPr>
        <w:t>“ je příloha Smlouvy obsahující kontaktní údaje Klienta pro účely Smlouvy.</w:t>
      </w:r>
    </w:p>
    <w:p w14:paraId="42A1E2DE" w14:textId="72D14E86"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Náklady</w:t>
      </w:r>
      <w:r w:rsidRPr="00E02C60">
        <w:rPr>
          <w:rFonts w:cs="Arial"/>
          <w:sz w:val="16"/>
          <w:szCs w:val="16"/>
        </w:rPr>
        <w:t xml:space="preserve">“ mají význam uvedený v odstavci </w:t>
      </w:r>
      <w:r w:rsidRPr="00E02C60">
        <w:rPr>
          <w:rFonts w:cs="Arial"/>
          <w:sz w:val="16"/>
          <w:szCs w:val="16"/>
        </w:rPr>
        <w:fldChar w:fldCharType="begin"/>
      </w:r>
      <w:r w:rsidRPr="00E02C60">
        <w:rPr>
          <w:rFonts w:cs="Arial"/>
          <w:sz w:val="16"/>
          <w:szCs w:val="16"/>
        </w:rPr>
        <w:instrText xml:space="preserve"> REF _Ref178427255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1.13</w:t>
      </w:r>
      <w:r w:rsidRPr="00E02C60">
        <w:rPr>
          <w:rFonts w:cs="Arial"/>
          <w:sz w:val="16"/>
          <w:szCs w:val="16"/>
        </w:rPr>
        <w:fldChar w:fldCharType="end"/>
      </w:r>
      <w:r w:rsidRPr="00E02C60">
        <w:rPr>
          <w:rFonts w:cs="Arial"/>
          <w:sz w:val="16"/>
          <w:szCs w:val="16"/>
        </w:rPr>
        <w:t>.</w:t>
      </w:r>
    </w:p>
    <w:p w14:paraId="57893F9B"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Nástroj</w:t>
      </w:r>
      <w:r w:rsidRPr="00E02C60">
        <w:rPr>
          <w:rFonts w:cs="Arial"/>
          <w:sz w:val="16"/>
          <w:szCs w:val="16"/>
        </w:rPr>
        <w:t>” je investiční nástroj nebo jiný nástroj, včetně nástroje s pákovým efektem, ohledně kterého Banka poskytuje Služby.</w:t>
      </w:r>
    </w:p>
    <w:p w14:paraId="4759F8CC" w14:textId="04C7867F"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Neobchodní pokyny</w:t>
      </w:r>
      <w:r w:rsidRPr="00E02C60">
        <w:rPr>
          <w:rFonts w:cs="Arial"/>
          <w:sz w:val="16"/>
          <w:szCs w:val="16"/>
        </w:rPr>
        <w:t xml:space="preserve">“ jsou Pokyny uvedené v odstavci </w:t>
      </w:r>
      <w:r w:rsidRPr="00E02C60">
        <w:rPr>
          <w:rFonts w:cs="Arial"/>
          <w:sz w:val="16"/>
          <w:szCs w:val="16"/>
        </w:rPr>
        <w:fldChar w:fldCharType="begin"/>
      </w:r>
      <w:r w:rsidRPr="00E02C60">
        <w:rPr>
          <w:rFonts w:cs="Arial"/>
          <w:sz w:val="16"/>
          <w:szCs w:val="16"/>
        </w:rPr>
        <w:instrText xml:space="preserve"> REF _Ref405295455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5.3.2</w:t>
      </w:r>
      <w:r w:rsidRPr="00E02C60">
        <w:rPr>
          <w:rFonts w:cs="Arial"/>
          <w:sz w:val="16"/>
          <w:szCs w:val="16"/>
        </w:rPr>
        <w:fldChar w:fldCharType="end"/>
      </w:r>
      <w:r w:rsidRPr="00E02C60">
        <w:rPr>
          <w:rFonts w:cs="Arial"/>
          <w:sz w:val="16"/>
          <w:szCs w:val="16"/>
        </w:rPr>
        <w:t xml:space="preserve"> a v případě Zlata Pokyny uvedené v odstavci </w:t>
      </w:r>
      <w:r w:rsidRPr="00E02C60">
        <w:rPr>
          <w:rFonts w:cs="Arial"/>
          <w:sz w:val="16"/>
          <w:szCs w:val="16"/>
        </w:rPr>
        <w:fldChar w:fldCharType="begin"/>
      </w:r>
      <w:r w:rsidRPr="00E02C60">
        <w:rPr>
          <w:rFonts w:cs="Arial"/>
          <w:sz w:val="16"/>
          <w:szCs w:val="16"/>
        </w:rPr>
        <w:instrText xml:space="preserve"> REF _Ref392062467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6.7.2</w:t>
      </w:r>
      <w:r w:rsidRPr="00E02C60">
        <w:rPr>
          <w:rFonts w:cs="Arial"/>
          <w:sz w:val="16"/>
          <w:szCs w:val="16"/>
        </w:rPr>
        <w:fldChar w:fldCharType="end"/>
      </w:r>
      <w:r w:rsidRPr="00E02C60">
        <w:rPr>
          <w:rFonts w:cs="Arial"/>
          <w:sz w:val="16"/>
          <w:szCs w:val="16"/>
        </w:rPr>
        <w:t xml:space="preserve"> .</w:t>
      </w:r>
    </w:p>
    <w:p w14:paraId="61AA7BA1" w14:textId="76BCC90C"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Obchodní pokyny</w:t>
      </w:r>
      <w:r w:rsidRPr="00E02C60">
        <w:rPr>
          <w:rFonts w:cs="Arial"/>
          <w:sz w:val="16"/>
          <w:szCs w:val="16"/>
        </w:rPr>
        <w:t xml:space="preserve">“ jsou Pokyny uvedené v odstavci </w:t>
      </w:r>
      <w:r w:rsidRPr="00E02C60">
        <w:rPr>
          <w:rFonts w:cs="Arial"/>
          <w:sz w:val="16"/>
          <w:szCs w:val="16"/>
        </w:rPr>
        <w:fldChar w:fldCharType="begin"/>
      </w:r>
      <w:r w:rsidRPr="00E02C60">
        <w:rPr>
          <w:rFonts w:cs="Arial"/>
          <w:sz w:val="16"/>
          <w:szCs w:val="16"/>
        </w:rPr>
        <w:instrText xml:space="preserve"> REF _Ref405295488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5.3.1</w:t>
      </w:r>
      <w:r w:rsidRPr="00E02C60">
        <w:rPr>
          <w:rFonts w:cs="Arial"/>
          <w:sz w:val="16"/>
          <w:szCs w:val="16"/>
        </w:rPr>
        <w:fldChar w:fldCharType="end"/>
      </w:r>
      <w:r w:rsidRPr="00E02C60">
        <w:rPr>
          <w:rFonts w:cs="Arial"/>
          <w:sz w:val="16"/>
          <w:szCs w:val="16"/>
        </w:rPr>
        <w:t xml:space="preserve"> a v případě Zlata Pokyny uvedené v odstavci </w:t>
      </w:r>
      <w:r w:rsidRPr="00E02C60">
        <w:rPr>
          <w:rFonts w:cs="Arial"/>
          <w:sz w:val="16"/>
          <w:szCs w:val="16"/>
        </w:rPr>
        <w:fldChar w:fldCharType="begin"/>
      </w:r>
      <w:r w:rsidRPr="00E02C60">
        <w:rPr>
          <w:rFonts w:cs="Arial"/>
          <w:sz w:val="16"/>
          <w:szCs w:val="16"/>
        </w:rPr>
        <w:instrText xml:space="preserve"> REF _Ref392062465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6.7.1</w:t>
      </w:r>
      <w:r w:rsidRPr="00E02C60">
        <w:rPr>
          <w:rFonts w:cs="Arial"/>
          <w:sz w:val="16"/>
          <w:szCs w:val="16"/>
        </w:rPr>
        <w:fldChar w:fldCharType="end"/>
      </w:r>
      <w:r w:rsidRPr="00E02C60">
        <w:rPr>
          <w:rFonts w:cs="Arial"/>
          <w:sz w:val="16"/>
          <w:szCs w:val="16"/>
        </w:rPr>
        <w:t>.</w:t>
      </w:r>
    </w:p>
    <w:p w14:paraId="6455C14D" w14:textId="30C8B153"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Odměna</w:t>
      </w:r>
      <w:r w:rsidRPr="00E02C60">
        <w:rPr>
          <w:rFonts w:cs="Arial"/>
          <w:sz w:val="16"/>
          <w:szCs w:val="16"/>
        </w:rPr>
        <w:t xml:space="preserve">“ má význam uvedený v odstavci </w:t>
      </w:r>
      <w:r w:rsidRPr="00E02C60">
        <w:rPr>
          <w:rFonts w:cs="Arial"/>
          <w:sz w:val="16"/>
          <w:szCs w:val="16"/>
        </w:rPr>
        <w:fldChar w:fldCharType="begin"/>
      </w:r>
      <w:r w:rsidRPr="00E02C60">
        <w:rPr>
          <w:rFonts w:cs="Arial"/>
          <w:sz w:val="16"/>
          <w:szCs w:val="16"/>
        </w:rPr>
        <w:instrText xml:space="preserve"> REF _Ref178427214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1.12</w:t>
      </w:r>
      <w:r w:rsidRPr="00E02C60">
        <w:rPr>
          <w:rFonts w:cs="Arial"/>
          <w:sz w:val="16"/>
          <w:szCs w:val="16"/>
        </w:rPr>
        <w:fldChar w:fldCharType="end"/>
      </w:r>
      <w:r w:rsidRPr="00E02C60">
        <w:rPr>
          <w:rFonts w:cs="Arial"/>
          <w:sz w:val="16"/>
          <w:szCs w:val="16"/>
        </w:rPr>
        <w:t>.</w:t>
      </w:r>
    </w:p>
    <w:p w14:paraId="48E5A3CE" w14:textId="77777777" w:rsidR="00E02C60" w:rsidRPr="00E02C60" w:rsidRDefault="00E02C60" w:rsidP="00E02C60">
      <w:pPr>
        <w:spacing w:after="120"/>
        <w:rPr>
          <w:rFonts w:cs="Arial"/>
          <w:sz w:val="16"/>
          <w:szCs w:val="16"/>
        </w:rPr>
      </w:pPr>
      <w:r w:rsidRPr="00E02C60">
        <w:rPr>
          <w:rFonts w:cs="Arial"/>
          <w:sz w:val="16"/>
          <w:szCs w:val="16"/>
        </w:rPr>
        <w:t>„</w:t>
      </w:r>
      <w:r w:rsidRPr="00E02C60">
        <w:rPr>
          <w:rFonts w:cs="Arial"/>
          <w:b/>
          <w:sz w:val="16"/>
          <w:szCs w:val="16"/>
        </w:rPr>
        <w:t>Online Portfolio</w:t>
      </w:r>
      <w:r w:rsidRPr="00E02C60">
        <w:rPr>
          <w:rFonts w:cs="Arial"/>
          <w:sz w:val="16"/>
          <w:szCs w:val="16"/>
        </w:rPr>
        <w:t>“ je on-line aplikace Banky dostupná na trading.kb.cz.</w:t>
      </w:r>
    </w:p>
    <w:p w14:paraId="2CC9E0D7"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Oznámení o provádění platebního styku</w:t>
      </w:r>
      <w:r w:rsidRPr="00E02C60">
        <w:rPr>
          <w:rFonts w:cs="Arial"/>
          <w:sz w:val="16"/>
          <w:szCs w:val="16"/>
        </w:rPr>
        <w:t xml:space="preserve">“ je Oznámením ve smyslu Všeobecných podmínek, v němž jsou stanoveny podmínky poskytování služeb platebního styku, zejména lhůty pro provádění platebních transakcí. Oznámení o provádění platebního styku je </w:t>
      </w:r>
      <w:r w:rsidRPr="00E02C60">
        <w:rPr>
          <w:rFonts w:cs="Arial"/>
          <w:sz w:val="16"/>
          <w:szCs w:val="16"/>
          <w:lang w:bidi="th-TH"/>
        </w:rPr>
        <w:t xml:space="preserve">na základě § 1751 z.č. 89/2012 Sb., občanského zákoníku, ve znění pozdějších předpisů, </w:t>
      </w:r>
      <w:r w:rsidRPr="00E02C60">
        <w:rPr>
          <w:rFonts w:cs="Arial"/>
          <w:sz w:val="16"/>
          <w:szCs w:val="16"/>
        </w:rPr>
        <w:t>nedílnou součástí Smlouvy.</w:t>
      </w:r>
    </w:p>
    <w:p w14:paraId="57C36B20" w14:textId="77777777" w:rsidR="00E02C60" w:rsidRPr="00E02C60" w:rsidRDefault="00E02C60" w:rsidP="00E02C60">
      <w:pPr>
        <w:tabs>
          <w:tab w:val="num" w:pos="426"/>
        </w:tabs>
        <w:spacing w:after="120"/>
        <w:rPr>
          <w:rFonts w:cs="Arial"/>
          <w:sz w:val="16"/>
          <w:szCs w:val="16"/>
        </w:rPr>
      </w:pPr>
      <w:bookmarkStart w:id="183" w:name="_Hlk91673356"/>
      <w:r w:rsidRPr="00E02C60">
        <w:rPr>
          <w:rFonts w:cs="Arial"/>
          <w:sz w:val="16"/>
          <w:szCs w:val="16"/>
        </w:rPr>
        <w:lastRenderedPageBreak/>
        <w:t>„</w:t>
      </w:r>
      <w:r w:rsidRPr="00E02C60">
        <w:rPr>
          <w:rFonts w:cs="Arial"/>
          <w:b/>
          <w:bCs/>
          <w:sz w:val="16"/>
          <w:szCs w:val="16"/>
        </w:rPr>
        <w:t>Oznámení o úrokových sazbách</w:t>
      </w:r>
      <w:r w:rsidRPr="00E02C60">
        <w:rPr>
          <w:rFonts w:cs="Arial"/>
          <w:sz w:val="16"/>
          <w:szCs w:val="16"/>
        </w:rPr>
        <w:t>“ je oznámení Banky o úrokových sazbách v českých korunách nebo oznámení Banky o úrokových sazbách v cizí měně uveřejněné Bankou na Internetové adrese nebo jakýkoliv dokument, který takové oznámení nahradí.</w:t>
      </w:r>
    </w:p>
    <w:p w14:paraId="7EF18E5A"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bCs/>
          <w:sz w:val="16"/>
          <w:szCs w:val="16"/>
        </w:rPr>
        <w:t>Peněžitá náhrada</w:t>
      </w:r>
      <w:r w:rsidRPr="00E02C60">
        <w:rPr>
          <w:rFonts w:cs="Arial"/>
          <w:sz w:val="16"/>
          <w:szCs w:val="16"/>
        </w:rPr>
        <w:t>“ jsou peněžní prostředky, které Banka obdrží v souladu s čl. 17 odst. 2 nařízení č. 2018/1229, kterým se doplňuje CSDR, pokud jde o regulační technické normy pro zajištění disciplíny při vypořádání, v důsledku Selhání vypořádání obchodu a které z tohoto důvodu náleží Klientovi.</w:t>
      </w:r>
    </w:p>
    <w:p w14:paraId="13EF09D6"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bCs/>
          <w:sz w:val="16"/>
          <w:szCs w:val="16"/>
        </w:rPr>
        <w:t>Peněžitá sankce</w:t>
      </w:r>
      <w:r w:rsidRPr="00E02C60">
        <w:rPr>
          <w:rFonts w:cs="Arial"/>
          <w:sz w:val="16"/>
          <w:szCs w:val="16"/>
        </w:rPr>
        <w:t>“ jsou peněžní prostředky ve výši odpovídající peněžité sankci uložené ve smyslu čl. 7 odst. 2 CSDR v důsledku Selhání vypořádání a uhrazené Bankou, k jejíž náhradě Bance je z tohoto důvodu Klient povinen s výjimkou případů, kdy Selhání vypořádání obchodu způsobí Banka porušením svých povinností v souvislosti s poskytováním Služeb týkajících se Obchodů s Cennými papíry podle Smlouvy.</w:t>
      </w:r>
      <w:bookmarkEnd w:id="183"/>
    </w:p>
    <w:p w14:paraId="54590306"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Peněžní účet</w:t>
      </w:r>
      <w:r w:rsidRPr="00E02C60">
        <w:rPr>
          <w:rFonts w:cs="Arial"/>
          <w:sz w:val="16"/>
          <w:szCs w:val="16"/>
        </w:rPr>
        <w:t>“ je účet Klienta vedený bankou se sídlem na území České republiky uvedený v Kontaktních údajích Klienta.</w:t>
      </w:r>
    </w:p>
    <w:p w14:paraId="75D5E46E"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Podpisový vzor</w:t>
      </w:r>
      <w:r w:rsidRPr="00E02C60">
        <w:rPr>
          <w:rFonts w:cs="Arial"/>
          <w:sz w:val="16"/>
          <w:szCs w:val="16"/>
        </w:rPr>
        <w:t>“ je seznam osob, které jsou oprávněny udělovat Pokyny, rozsah jejich oprávnění a vzor jejich podpisů. Podpisový vzor je přílohou Smlouvy a je k dispozici na Internetové adrese.</w:t>
      </w:r>
    </w:p>
    <w:p w14:paraId="29A93557"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Podúčet cenných papírů</w:t>
      </w:r>
      <w:r w:rsidRPr="00E02C60">
        <w:rPr>
          <w:rFonts w:cs="Arial"/>
          <w:sz w:val="16"/>
          <w:szCs w:val="16"/>
        </w:rPr>
        <w:t>“ je podúčet Portfoliového účtu, na kterém Banka eviduje Nástroje, jehož koupi pro Klienta obstarala na základě Smlouvy, a eviduje a provádí Správu Cenných papírů Klienta, které jsou vedeny u příslušného Správce evidence a v příslušné evidenci investičních nástrojů.</w:t>
      </w:r>
    </w:p>
    <w:p w14:paraId="5B701B4D"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Podúčet hotovosti</w:t>
      </w:r>
      <w:r w:rsidRPr="00E02C60">
        <w:rPr>
          <w:rFonts w:cs="Arial"/>
          <w:sz w:val="16"/>
          <w:szCs w:val="16"/>
        </w:rPr>
        <w:t>“ je podúčet Portfoliového účtu, na kterém Banka eviduje Hotovost.</w:t>
      </w:r>
    </w:p>
    <w:p w14:paraId="76D44ADC"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Pokyn</w:t>
      </w:r>
      <w:r w:rsidRPr="00E02C60">
        <w:rPr>
          <w:rFonts w:cs="Arial"/>
          <w:sz w:val="16"/>
          <w:szCs w:val="16"/>
        </w:rPr>
        <w:t>“ je jakýkoliv pokyn Klienta Bance týkající se nakládání s Cennými papíry, se Zlatem nebo Hotovostí nebo týkající se dalších jednání Banky podle těchto Podmínek a zahrnuje Obchodní pokyny i Neobchodní pokyny.</w:t>
      </w:r>
    </w:p>
    <w:p w14:paraId="4948DDB8"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Portfoliový účet</w:t>
      </w:r>
      <w:r w:rsidRPr="00E02C60">
        <w:rPr>
          <w:rFonts w:cs="Arial"/>
          <w:sz w:val="16"/>
          <w:szCs w:val="16"/>
        </w:rPr>
        <w:t>“ nebo „</w:t>
      </w:r>
      <w:r w:rsidRPr="00E02C60">
        <w:rPr>
          <w:rFonts w:cs="Arial"/>
          <w:b/>
          <w:sz w:val="16"/>
          <w:szCs w:val="16"/>
        </w:rPr>
        <w:t>Portfolio</w:t>
      </w:r>
      <w:r w:rsidRPr="00E02C60">
        <w:rPr>
          <w:rFonts w:cs="Arial"/>
          <w:sz w:val="16"/>
          <w:szCs w:val="16"/>
        </w:rPr>
        <w:t>“ je účet vedený Bankou pro Klienta, který se skládá z Podúčtu hotovosti a z Podúčtu cenných papírů, založený na základě řádně vyplněného a Bance písemně doručeného formuláře Založení Portfoliového účtu.</w:t>
      </w:r>
    </w:p>
    <w:p w14:paraId="0B6EC92B" w14:textId="77777777" w:rsidR="00E02C60" w:rsidRPr="00E02C60" w:rsidRDefault="00E02C60" w:rsidP="00E02C60">
      <w:pPr>
        <w:tabs>
          <w:tab w:val="num" w:pos="426"/>
        </w:tabs>
        <w:spacing w:after="120" w:line="40" w:lineRule="atLeast"/>
        <w:rPr>
          <w:rFonts w:cs="Arial"/>
          <w:sz w:val="16"/>
          <w:szCs w:val="16"/>
        </w:rPr>
      </w:pPr>
      <w:r w:rsidRPr="00E02C60">
        <w:rPr>
          <w:rFonts w:cs="Arial"/>
          <w:sz w:val="16"/>
          <w:szCs w:val="16"/>
        </w:rPr>
        <w:t>„</w:t>
      </w:r>
      <w:r w:rsidRPr="00E02C60">
        <w:rPr>
          <w:rFonts w:cs="Arial"/>
          <w:b/>
          <w:sz w:val="16"/>
          <w:szCs w:val="16"/>
        </w:rPr>
        <w:t>PPN</w:t>
      </w:r>
      <w:r w:rsidRPr="00E02C60">
        <w:rPr>
          <w:rFonts w:cs="Arial"/>
          <w:sz w:val="16"/>
          <w:szCs w:val="16"/>
        </w:rPr>
        <w:t>“ je pozastavení výkonu práva vlastníka nakládat s Cenným papírem vedeným v centrální evidenci zaknihovaných cenných papírů, v evidenci navazující na centrální evidenci zaknihovaných cenných papírů nebo v samostatné evidenci investičních nástrojů.</w:t>
      </w:r>
    </w:p>
    <w:p w14:paraId="34282A9F" w14:textId="77777777" w:rsidR="00E02C60" w:rsidRPr="00E02C60" w:rsidRDefault="00E02C60" w:rsidP="00E02C60">
      <w:pPr>
        <w:tabs>
          <w:tab w:val="num" w:pos="426"/>
        </w:tabs>
        <w:spacing w:after="120" w:line="40" w:lineRule="atLeast"/>
        <w:rPr>
          <w:rFonts w:cs="Arial"/>
          <w:sz w:val="16"/>
          <w:szCs w:val="16"/>
        </w:rPr>
      </w:pPr>
      <w:r w:rsidRPr="00E02C60">
        <w:rPr>
          <w:rFonts w:cs="Arial"/>
          <w:sz w:val="16"/>
          <w:szCs w:val="16"/>
        </w:rPr>
        <w:t>„</w:t>
      </w:r>
      <w:r w:rsidRPr="00E02C60">
        <w:rPr>
          <w:rFonts w:cs="Arial"/>
          <w:b/>
          <w:sz w:val="16"/>
          <w:szCs w:val="16"/>
        </w:rPr>
        <w:t>Private placement</w:t>
      </w:r>
      <w:r w:rsidRPr="00E02C60">
        <w:rPr>
          <w:rFonts w:cs="Arial"/>
          <w:sz w:val="16"/>
          <w:szCs w:val="16"/>
        </w:rPr>
        <w:t>“ je způsob nabídky a prodeje Cenných papírů omezenému okruhu investorů, který není veřejnou nabídkou ve smyslu ZPKT.</w:t>
      </w:r>
    </w:p>
    <w:p w14:paraId="03F7F1DA"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Převodní místo</w:t>
      </w:r>
      <w:r w:rsidRPr="00E02C60">
        <w:rPr>
          <w:rFonts w:cs="Arial"/>
          <w:sz w:val="16"/>
          <w:szCs w:val="16"/>
        </w:rPr>
        <w:t>“ je regulovaný trh, mnohostranný obchodní systém, organizovaný obchodní systém, systematický internalizátor nebo tvůrce trhu či jiný poskytovatel likvidity nebo jiný subjekt, který plní ve třetí zemi podobnou funkci, jako jsou funkce plněné některým z výše uvedených.</w:t>
      </w:r>
    </w:p>
    <w:p w14:paraId="5A05F4BC" w14:textId="77777777" w:rsidR="00E02C60" w:rsidRPr="00E02C60" w:rsidRDefault="00E02C60" w:rsidP="00E02C60">
      <w:pPr>
        <w:tabs>
          <w:tab w:val="num" w:pos="426"/>
        </w:tabs>
        <w:spacing w:after="120"/>
        <w:rPr>
          <w:rStyle w:val="ARIEL9"/>
          <w:sz w:val="16"/>
          <w:szCs w:val="16"/>
        </w:rPr>
      </w:pPr>
      <w:r w:rsidRPr="00E02C60">
        <w:rPr>
          <w:rFonts w:cs="Arial"/>
          <w:sz w:val="16"/>
          <w:szCs w:val="16"/>
        </w:rPr>
        <w:t>„</w:t>
      </w:r>
      <w:r w:rsidRPr="00E02C60">
        <w:rPr>
          <w:rFonts w:cs="Arial"/>
          <w:b/>
          <w:sz w:val="16"/>
          <w:szCs w:val="16"/>
        </w:rPr>
        <w:t>Sazebník</w:t>
      </w:r>
      <w:r w:rsidRPr="00E02C60">
        <w:rPr>
          <w:rFonts w:cs="Arial"/>
          <w:sz w:val="16"/>
          <w:szCs w:val="16"/>
        </w:rPr>
        <w:t>“ je sazebník poplatků Banky, který je zejména pro Elektronického klienta uveden na Internetové adrese a</w:t>
      </w:r>
      <w:r w:rsidRPr="00E02C60">
        <w:rPr>
          <w:rStyle w:val="ARIEL9"/>
          <w:sz w:val="16"/>
          <w:szCs w:val="16"/>
        </w:rPr>
        <w:t xml:space="preserve"> pro ostatní klienty je jeho písemné vyhotovení k dispozici ve všech obchodních místech Banky. </w:t>
      </w:r>
    </w:p>
    <w:p w14:paraId="318AC782" w14:textId="77777777" w:rsidR="00E02C60" w:rsidRPr="00E02C60" w:rsidRDefault="00E02C60" w:rsidP="00E02C60">
      <w:pPr>
        <w:tabs>
          <w:tab w:val="num" w:pos="426"/>
        </w:tabs>
        <w:spacing w:after="120"/>
        <w:rPr>
          <w:rFonts w:cs="Arial"/>
          <w:sz w:val="16"/>
          <w:szCs w:val="16"/>
        </w:rPr>
      </w:pPr>
      <w:bookmarkStart w:id="184" w:name="_Hlk91673434"/>
      <w:r w:rsidRPr="00E02C60">
        <w:rPr>
          <w:rFonts w:cs="Arial"/>
          <w:sz w:val="16"/>
          <w:szCs w:val="16"/>
        </w:rPr>
        <w:t>„</w:t>
      </w:r>
      <w:r w:rsidRPr="00E02C60">
        <w:rPr>
          <w:rFonts w:cs="Arial"/>
          <w:b/>
          <w:bCs/>
          <w:sz w:val="16"/>
          <w:szCs w:val="16"/>
        </w:rPr>
        <w:t>Selhání vypořádání obchodu</w:t>
      </w:r>
      <w:r w:rsidRPr="00E02C60">
        <w:rPr>
          <w:rFonts w:cs="Arial"/>
          <w:sz w:val="16"/>
          <w:szCs w:val="16"/>
        </w:rPr>
        <w:t>“ je neuskutečnění Vypořádání obchodu, částečné Vypořádání obchodu nebo způsobení zpoždění Vypořádání obchodu k určenému dni Vypořádání obchodu v důsledku nedodání Cenných papírů nebo peněžních prostředků bez ohledu na důvod.</w:t>
      </w:r>
    </w:p>
    <w:bookmarkEnd w:id="184"/>
    <w:p w14:paraId="34149FB1"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Služby</w:t>
      </w:r>
      <w:r w:rsidRPr="00E02C60">
        <w:rPr>
          <w:rFonts w:cs="Arial"/>
          <w:sz w:val="16"/>
          <w:szCs w:val="16"/>
        </w:rPr>
        <w:t>“ jsou investiční služby, případně jiné služby, poskytované Klientovi Bankou podle Smlouvy.</w:t>
      </w:r>
    </w:p>
    <w:p w14:paraId="163F1E7F"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Správa</w:t>
      </w:r>
      <w:r w:rsidRPr="00E02C60">
        <w:rPr>
          <w:rFonts w:cs="Arial"/>
          <w:sz w:val="16"/>
          <w:szCs w:val="16"/>
        </w:rPr>
        <w:t>“ je správa Cenných papírů Bankou vykonávaná podle Smlouvy.</w:t>
      </w:r>
    </w:p>
    <w:p w14:paraId="0E81B5C6" w14:textId="77777777" w:rsidR="00E02C60" w:rsidRPr="00E02C60" w:rsidRDefault="00E02C60" w:rsidP="00E02C60">
      <w:pPr>
        <w:pStyle w:val="Zhlav"/>
        <w:spacing w:after="120"/>
        <w:rPr>
          <w:rFonts w:cs="Arial"/>
          <w:spacing w:val="-2"/>
          <w:szCs w:val="16"/>
        </w:rPr>
      </w:pPr>
      <w:r w:rsidRPr="00E02C60">
        <w:rPr>
          <w:rFonts w:cs="Arial"/>
          <w:szCs w:val="16"/>
        </w:rPr>
        <w:t>„</w:t>
      </w:r>
      <w:r w:rsidRPr="00E02C60">
        <w:rPr>
          <w:rFonts w:cs="Arial"/>
          <w:b/>
          <w:szCs w:val="16"/>
        </w:rPr>
        <w:t>Správce evidence</w:t>
      </w:r>
      <w:r w:rsidRPr="00E02C60">
        <w:rPr>
          <w:rFonts w:cs="Arial"/>
          <w:szCs w:val="16"/>
        </w:rPr>
        <w:t>“ je CDCP, mezinárodní vypořádací centrum Euroclear, CSD definovaný v CSDR, jiný globální či lokální správce či depozitář, Banka nebo jiná osoba vedoucí evidenci Cenných papírů, případně Cenných papírů Fondu.</w:t>
      </w:r>
    </w:p>
    <w:p w14:paraId="212712EC" w14:textId="77777777" w:rsidR="00E02C60" w:rsidRPr="00E02C60" w:rsidRDefault="00E02C60" w:rsidP="00E02C60">
      <w:pPr>
        <w:pStyle w:val="Zhlav"/>
        <w:spacing w:after="120"/>
        <w:rPr>
          <w:rFonts w:cs="Arial"/>
          <w:szCs w:val="16"/>
        </w:rPr>
      </w:pPr>
      <w:r w:rsidRPr="00E02C60">
        <w:rPr>
          <w:rFonts w:cs="Arial"/>
          <w:szCs w:val="16"/>
        </w:rPr>
        <w:t>„</w:t>
      </w:r>
      <w:r w:rsidRPr="00E02C60">
        <w:rPr>
          <w:rFonts w:cs="Arial"/>
          <w:b/>
          <w:szCs w:val="16"/>
        </w:rPr>
        <w:t>SRDII</w:t>
      </w:r>
      <w:r w:rsidRPr="00E02C60">
        <w:rPr>
          <w:rFonts w:cs="Arial"/>
          <w:szCs w:val="16"/>
        </w:rPr>
        <w:t>“ je Směrnice Evropského parlamentu a Rady (EU) 2017/828, kterou se mění směrnice 2007/36/ES, pokud jde o podporu dlouhodobého zapojení akcionářů.</w:t>
      </w:r>
    </w:p>
    <w:p w14:paraId="730D9EBB" w14:textId="77777777" w:rsidR="00E02C60" w:rsidRPr="00E02C60" w:rsidRDefault="00E02C60" w:rsidP="00E02C60">
      <w:pPr>
        <w:pStyle w:val="Zhlav"/>
        <w:spacing w:after="120"/>
        <w:rPr>
          <w:rFonts w:cs="Arial"/>
          <w:spacing w:val="-2"/>
          <w:szCs w:val="16"/>
        </w:rPr>
      </w:pPr>
      <w:r w:rsidRPr="00E02C60">
        <w:rPr>
          <w:rFonts w:cs="Arial"/>
          <w:szCs w:val="16"/>
        </w:rPr>
        <w:t>„</w:t>
      </w:r>
      <w:r w:rsidRPr="00E02C60">
        <w:rPr>
          <w:rFonts w:cs="Arial"/>
          <w:b/>
          <w:szCs w:val="16"/>
        </w:rPr>
        <w:t>Subjekt ze skupiny</w:t>
      </w:r>
      <w:r w:rsidRPr="00E02C60">
        <w:rPr>
          <w:rFonts w:cs="Arial"/>
          <w:szCs w:val="16"/>
        </w:rPr>
        <w:t>“</w:t>
      </w:r>
      <w:r w:rsidRPr="00E02C60">
        <w:rPr>
          <w:rFonts w:cs="Arial"/>
          <w:spacing w:val="-2"/>
          <w:szCs w:val="16"/>
        </w:rPr>
        <w:t xml:space="preserve"> </w:t>
      </w:r>
      <w:r w:rsidRPr="00E02C60">
        <w:rPr>
          <w:rFonts w:cs="Arial"/>
          <w:szCs w:val="16"/>
        </w:rPr>
        <w:t>je osoba, s kterou je Klient majetkově nebo personálně propojen nebo s ní tvoří koncern.</w:t>
      </w:r>
      <w:r w:rsidRPr="00E02C60">
        <w:rPr>
          <w:rFonts w:cs="Arial"/>
          <w:spacing w:val="-2"/>
          <w:szCs w:val="16"/>
        </w:rPr>
        <w:t xml:space="preserve">  </w:t>
      </w:r>
    </w:p>
    <w:p w14:paraId="6C8F5235" w14:textId="77777777" w:rsidR="00E02C60" w:rsidRPr="00E02C60" w:rsidRDefault="00E02C60" w:rsidP="00E02C60">
      <w:pPr>
        <w:spacing w:after="120"/>
        <w:rPr>
          <w:rFonts w:cs="Arial"/>
          <w:sz w:val="16"/>
          <w:szCs w:val="16"/>
        </w:rPr>
      </w:pPr>
      <w:r w:rsidRPr="00E02C60">
        <w:rPr>
          <w:rFonts w:cs="Arial"/>
          <w:sz w:val="16"/>
          <w:szCs w:val="16"/>
        </w:rPr>
        <w:t>„</w:t>
      </w:r>
      <w:r w:rsidRPr="00E02C60">
        <w:rPr>
          <w:rFonts w:cs="Arial"/>
          <w:b/>
          <w:sz w:val="16"/>
          <w:szCs w:val="16"/>
        </w:rPr>
        <w:t>Transfer agent</w:t>
      </w:r>
      <w:r w:rsidRPr="00E02C60">
        <w:rPr>
          <w:rFonts w:cs="Arial"/>
          <w:sz w:val="16"/>
          <w:szCs w:val="16"/>
        </w:rPr>
        <w:t>“ je obchodní společnost určená v příslušném Statutu, která je administrativním, korporátním a místním zástupcem, registrátorem a převodním agentem Fondu odpovědná za administrativní činnosti a osobou vedoucí primární evidenci vlastníků příslušných Cenných papírů Fondu (např. Société Générale Luxembourg, Amundi Czech Republic, investiční společnost, a.s., nebo Euroclear).</w:t>
      </w:r>
    </w:p>
    <w:p w14:paraId="5151B935" w14:textId="77777777" w:rsidR="00E02C60" w:rsidRPr="00E02C60" w:rsidRDefault="00E02C60" w:rsidP="00E02C60">
      <w:pPr>
        <w:tabs>
          <w:tab w:val="num" w:pos="0"/>
        </w:tabs>
        <w:spacing w:after="120"/>
        <w:rPr>
          <w:rFonts w:cs="Arial"/>
          <w:sz w:val="16"/>
          <w:szCs w:val="16"/>
        </w:rPr>
      </w:pPr>
      <w:r w:rsidRPr="00E02C60">
        <w:rPr>
          <w:rFonts w:cs="Arial"/>
          <w:sz w:val="16"/>
          <w:szCs w:val="16"/>
        </w:rPr>
        <w:t>„</w:t>
      </w:r>
      <w:r w:rsidRPr="00E02C60">
        <w:rPr>
          <w:rFonts w:cs="Arial"/>
          <w:b/>
          <w:sz w:val="16"/>
          <w:szCs w:val="16"/>
        </w:rPr>
        <w:t>Úschova</w:t>
      </w:r>
      <w:r w:rsidRPr="00E02C60">
        <w:rPr>
          <w:rFonts w:cs="Arial"/>
          <w:sz w:val="16"/>
          <w:szCs w:val="16"/>
        </w:rPr>
        <w:t>“ je povinnost Banky převzít Zlato a opatrovat ho a povinnost Klienta zaplatit Bance za to Odměnu.</w:t>
      </w:r>
    </w:p>
    <w:p w14:paraId="473B0D21"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Validace pokynu</w:t>
      </w:r>
      <w:r w:rsidRPr="00E02C60">
        <w:rPr>
          <w:rFonts w:cs="Arial"/>
          <w:sz w:val="16"/>
          <w:szCs w:val="16"/>
        </w:rPr>
        <w:t>“ je kontrola, zda je na Podúčtu hotovosti dostatek Hotovosti k uhrazení Dluhů, nebo na Podúčtu cenných papírů dostatek neblokovaných Cenných papírů či dostatek Zlata k provedení Pokynu k obstarání prodeje Cenných papírů, Zlata nebo jiného Pokynu. Úspěšné provedení Validace pokynu je podmínkou, aby Banka zahájila provedení Pokynu.</w:t>
      </w:r>
    </w:p>
    <w:p w14:paraId="3F7393E3"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Všeobecné podmínky</w:t>
      </w:r>
      <w:r w:rsidRPr="00E02C60">
        <w:rPr>
          <w:rFonts w:cs="Arial"/>
          <w:sz w:val="16"/>
          <w:szCs w:val="16"/>
        </w:rPr>
        <w:t>“ jsou všeobecné obchodní podmínky Banky, které jsou v souladu s § 1751 občanského zákoníku nedílnou součástí Smlouvy, a které Banka uveřejňuje na Internetové adrese.</w:t>
      </w:r>
    </w:p>
    <w:p w14:paraId="4FFD50B1" w14:textId="77777777" w:rsidR="00E02C60" w:rsidRPr="00E02C60" w:rsidRDefault="00E02C60" w:rsidP="00E02C60">
      <w:pPr>
        <w:spacing w:after="120"/>
        <w:rPr>
          <w:rFonts w:cs="Arial"/>
          <w:sz w:val="16"/>
          <w:szCs w:val="16"/>
        </w:rPr>
      </w:pPr>
      <w:r w:rsidRPr="00E02C60">
        <w:rPr>
          <w:rFonts w:cs="Arial"/>
          <w:sz w:val="16"/>
          <w:szCs w:val="16"/>
        </w:rPr>
        <w:t>„</w:t>
      </w:r>
      <w:r w:rsidRPr="00E02C60">
        <w:rPr>
          <w:rFonts w:cs="Arial"/>
          <w:b/>
          <w:sz w:val="16"/>
          <w:szCs w:val="16"/>
        </w:rPr>
        <w:t>Vybraná pobočka</w:t>
      </w:r>
      <w:r w:rsidRPr="00E02C60">
        <w:rPr>
          <w:rFonts w:cs="Arial"/>
          <w:sz w:val="16"/>
          <w:szCs w:val="16"/>
        </w:rPr>
        <w:t>“ je obchodní místo Banky uvedené jako Vybraná pobočka v Kontaktních údajích Banky, kde Banka od Klientů přebírá a kde Klient Bance odevzdává slitky Zlata. Na jiných obchodních místech Banky Banka nepřebírá a neumožňuje odevzdání slitků Zlata Klientům.</w:t>
      </w:r>
    </w:p>
    <w:p w14:paraId="440D7F5A" w14:textId="77777777" w:rsidR="00E02C60" w:rsidRPr="00E02C60" w:rsidRDefault="00E02C60" w:rsidP="00E02C60">
      <w:pPr>
        <w:spacing w:after="120"/>
        <w:rPr>
          <w:rFonts w:cs="Arial"/>
          <w:sz w:val="16"/>
          <w:szCs w:val="16"/>
        </w:rPr>
      </w:pPr>
      <w:r w:rsidRPr="00E02C60">
        <w:rPr>
          <w:rFonts w:cs="Arial"/>
          <w:sz w:val="16"/>
          <w:szCs w:val="16"/>
        </w:rPr>
        <w:t>„</w:t>
      </w:r>
      <w:r w:rsidRPr="00E02C60">
        <w:rPr>
          <w:rFonts w:cs="Arial"/>
          <w:b/>
          <w:sz w:val="16"/>
          <w:szCs w:val="16"/>
        </w:rPr>
        <w:t>Vypořádání obchodu</w:t>
      </w:r>
      <w:r w:rsidRPr="00E02C60">
        <w:rPr>
          <w:rFonts w:cs="Arial"/>
          <w:sz w:val="16"/>
          <w:szCs w:val="16"/>
        </w:rPr>
        <w:t>“ je převod Cenných papírů mezi stranami Obchodu a vyrovnání peněžitých dluhů souvisejících s převodem Cenných papírů mezi stranami Obchodu či (i) v případě koupě Zlata Klientem jeho převzetí Bankou od třetí osoby a (ii) v případě prodeje Zlata Klientem jeho předání Bankou třetí osobě, a to vždy za podmínky, že byly vyrovnány peněžité dluhy související s převodem Zlata.</w:t>
      </w:r>
    </w:p>
    <w:p w14:paraId="54DB6C7F"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Zahraniční trh</w:t>
      </w:r>
      <w:r w:rsidRPr="00E02C60">
        <w:rPr>
          <w:rFonts w:cs="Arial"/>
          <w:sz w:val="16"/>
          <w:szCs w:val="16"/>
        </w:rPr>
        <w:t>“ je trh cenných papírů mimo území České republiky, na který má Banka přístup a ohledně něhož má Banka smluvně zajištěnou možnost Vypořádání obchodů a Správy.</w:t>
      </w:r>
    </w:p>
    <w:p w14:paraId="00DE24F3" w14:textId="77777777" w:rsidR="00E02C60" w:rsidRPr="00E02C60" w:rsidRDefault="00E02C60" w:rsidP="00E02C60">
      <w:pPr>
        <w:spacing w:after="120"/>
        <w:rPr>
          <w:rFonts w:cs="Arial"/>
          <w:sz w:val="16"/>
          <w:szCs w:val="16"/>
        </w:rPr>
      </w:pPr>
      <w:r w:rsidRPr="00E02C60">
        <w:rPr>
          <w:rFonts w:cs="Arial"/>
          <w:sz w:val="16"/>
          <w:szCs w:val="16"/>
        </w:rPr>
        <w:t>„</w:t>
      </w:r>
      <w:r w:rsidRPr="00E02C60">
        <w:rPr>
          <w:rFonts w:cs="Arial"/>
          <w:b/>
          <w:sz w:val="16"/>
          <w:szCs w:val="16"/>
        </w:rPr>
        <w:t>Zlato</w:t>
      </w:r>
      <w:r w:rsidRPr="00E02C60">
        <w:rPr>
          <w:rFonts w:cs="Arial"/>
          <w:sz w:val="16"/>
          <w:szCs w:val="16"/>
        </w:rPr>
        <w:t>“ je investiční zlato, které je zvláštní formou zlata (kovu) ve tvaru uzančních slitků o hmotnosti připouštěné na trhy zlata a ryzosti nejméně 995 tisícin (995/1000 Au) a které je dále specifikováno na Internetové adrese nebo jiným způsobem.</w:t>
      </w:r>
    </w:p>
    <w:p w14:paraId="653C2577" w14:textId="77777777" w:rsidR="00E02C60" w:rsidRPr="00E02C60" w:rsidRDefault="00E02C60" w:rsidP="00E02C60">
      <w:pPr>
        <w:tabs>
          <w:tab w:val="num" w:pos="426"/>
        </w:tabs>
        <w:spacing w:after="120"/>
        <w:rPr>
          <w:rFonts w:cs="Arial"/>
          <w:sz w:val="16"/>
          <w:szCs w:val="16"/>
        </w:rPr>
      </w:pPr>
      <w:r w:rsidRPr="00E02C60">
        <w:rPr>
          <w:rFonts w:cs="Arial"/>
          <w:sz w:val="16"/>
          <w:szCs w:val="16"/>
        </w:rPr>
        <w:t>„</w:t>
      </w:r>
      <w:r w:rsidRPr="00E02C60">
        <w:rPr>
          <w:rFonts w:cs="Arial"/>
          <w:b/>
          <w:sz w:val="16"/>
          <w:szCs w:val="16"/>
        </w:rPr>
        <w:t>ZPKT</w:t>
      </w:r>
      <w:r w:rsidRPr="00E02C60">
        <w:rPr>
          <w:rFonts w:cs="Arial"/>
          <w:sz w:val="16"/>
          <w:szCs w:val="16"/>
        </w:rPr>
        <w:t>“ je z.č. 256/2004 Sb., o podnikání na kapitálovém trhu, ve znění pozdějších předpisů.</w:t>
      </w:r>
    </w:p>
    <w:p w14:paraId="4F761FFF" w14:textId="77777777" w:rsidR="00E02C60" w:rsidRPr="00E02C60" w:rsidRDefault="00E02C60" w:rsidP="006D6C7C">
      <w:pPr>
        <w:pStyle w:val="Nadpis1"/>
        <w:numPr>
          <w:ilvl w:val="0"/>
          <w:numId w:val="13"/>
        </w:numPr>
        <w:tabs>
          <w:tab w:val="num" w:pos="425"/>
        </w:tabs>
        <w:ind w:left="431" w:hanging="431"/>
        <w:rPr>
          <w:rFonts w:cs="Arial"/>
          <w:sz w:val="16"/>
          <w:szCs w:val="16"/>
        </w:rPr>
      </w:pPr>
      <w:bookmarkStart w:id="185" w:name="_Ref58510622"/>
      <w:r w:rsidRPr="00E02C60">
        <w:rPr>
          <w:rFonts w:cs="Arial"/>
          <w:sz w:val="16"/>
          <w:szCs w:val="16"/>
        </w:rPr>
        <w:t>Změna podmínek</w:t>
      </w:r>
      <w:bookmarkEnd w:id="185"/>
    </w:p>
    <w:p w14:paraId="01B64FCF"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Právo navrhovat změny</w:t>
      </w:r>
      <w:r w:rsidRPr="00E02C60">
        <w:rPr>
          <w:rFonts w:cs="Arial"/>
          <w:sz w:val="16"/>
          <w:szCs w:val="16"/>
        </w:rPr>
        <w:t>. Banka je oprávněna navrhovat změny Podmínek.</w:t>
      </w:r>
    </w:p>
    <w:p w14:paraId="4A206754"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186" w:name="_Ref518909076"/>
      <w:r w:rsidRPr="00E02C60">
        <w:rPr>
          <w:rFonts w:cs="Arial"/>
          <w:b/>
          <w:sz w:val="16"/>
          <w:szCs w:val="16"/>
        </w:rPr>
        <w:t>Informace o navrhované změně</w:t>
      </w:r>
      <w:r w:rsidRPr="00E02C60">
        <w:rPr>
          <w:rFonts w:cs="Arial"/>
          <w:sz w:val="16"/>
          <w:szCs w:val="16"/>
        </w:rPr>
        <w:t>. Banka Klienta informuje o navrhované změně Podmínek nejméně 1 měsíc před navrhovaným dnem jejich účinnosti. O navrhované změně a navrhovaném dni účinnosti, informuje Banka způsobem dle článku 8.4 Všeobecných podmínek, ve výpise stavu Portfoliového účtu či výpise z jakéhokoliv jiného účtu. Klient je povinen se s navrhovaným zněním seznámit.</w:t>
      </w:r>
      <w:bookmarkEnd w:id="186"/>
      <w:r w:rsidRPr="00E02C60">
        <w:rPr>
          <w:rFonts w:cs="Arial"/>
          <w:sz w:val="16"/>
          <w:szCs w:val="16"/>
        </w:rPr>
        <w:t xml:space="preserve"> </w:t>
      </w:r>
    </w:p>
    <w:p w14:paraId="5828E506" w14:textId="77777777" w:rsidR="00E02C60" w:rsidRPr="00E02C60" w:rsidRDefault="00E02C60" w:rsidP="006D6C7C">
      <w:pPr>
        <w:pStyle w:val="Nadpis2"/>
        <w:numPr>
          <w:ilvl w:val="1"/>
          <w:numId w:val="13"/>
        </w:numPr>
        <w:tabs>
          <w:tab w:val="num" w:pos="425"/>
        </w:tabs>
        <w:ind w:left="426" w:hanging="426"/>
        <w:rPr>
          <w:rFonts w:cs="Arial"/>
          <w:sz w:val="16"/>
          <w:szCs w:val="16"/>
        </w:rPr>
      </w:pPr>
      <w:bookmarkStart w:id="187" w:name="_Ref518909124"/>
      <w:r w:rsidRPr="00E02C60">
        <w:rPr>
          <w:rFonts w:cs="Arial"/>
          <w:b/>
          <w:sz w:val="16"/>
          <w:szCs w:val="16"/>
        </w:rPr>
        <w:lastRenderedPageBreak/>
        <w:t>Účinnost a odmítnutí změny</w:t>
      </w:r>
      <w:r w:rsidRPr="00E02C60">
        <w:rPr>
          <w:rFonts w:cs="Arial"/>
          <w:sz w:val="16"/>
          <w:szCs w:val="16"/>
        </w:rPr>
        <w:t>. Pokud Klient nesouhlasí s navrhovanou změnou Podmínek, je povinen odmítnout návrh na takovou změnu, a to písemným oznámením o jejím odmítnutí doručeným Bance nejpozději 1 kalendářní den před navrhovaným dnem účinnosti takové změny společně s výpovědí závazku ze Smlouvy. Výpovědní doba v takovém případě činí 1 měsíc a počíná běžet dnem účinnosti změn Podmínek. Jestliže Klient navrhovanou změnu neodmítne nebo navrhovanou změnu odmítne, ale nevyužije vzniklé právo závazek ze Smlouvy výše uvedeným způsobem vypovědět, platí, že navrhovanou změnu Podmínek přijal s účinností ode dne účinnosti navrženého Bankou.</w:t>
      </w:r>
      <w:bookmarkEnd w:id="187"/>
      <w:r w:rsidRPr="00E02C60">
        <w:rPr>
          <w:rFonts w:cs="Arial"/>
          <w:sz w:val="16"/>
          <w:szCs w:val="16"/>
        </w:rPr>
        <w:t xml:space="preserve"> </w:t>
      </w:r>
    </w:p>
    <w:p w14:paraId="33E6EA0D" w14:textId="377BEDDB"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Forma odmítnutí a výpovědi</w:t>
      </w:r>
      <w:r w:rsidRPr="00E02C60">
        <w:rPr>
          <w:rFonts w:cs="Arial"/>
          <w:sz w:val="16"/>
          <w:szCs w:val="16"/>
        </w:rPr>
        <w:t xml:space="preserve">. Výpověď a oznámení o odmítnutí navrhovaných změn učiněné Klientem podle odstavce </w:t>
      </w:r>
      <w:r w:rsidRPr="00E02C60">
        <w:rPr>
          <w:rFonts w:cs="Arial"/>
          <w:sz w:val="16"/>
          <w:szCs w:val="16"/>
        </w:rPr>
        <w:fldChar w:fldCharType="begin"/>
      </w:r>
      <w:r w:rsidRPr="00E02C60">
        <w:rPr>
          <w:rFonts w:cs="Arial"/>
          <w:sz w:val="16"/>
          <w:szCs w:val="16"/>
        </w:rPr>
        <w:instrText xml:space="preserve"> REF _Ref518909124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10.3</w:t>
      </w:r>
      <w:r w:rsidRPr="00E02C60">
        <w:rPr>
          <w:rFonts w:cs="Arial"/>
          <w:sz w:val="16"/>
          <w:szCs w:val="16"/>
        </w:rPr>
        <w:fldChar w:fldCharType="end"/>
      </w:r>
      <w:r w:rsidRPr="00E02C60">
        <w:rPr>
          <w:rFonts w:cs="Arial"/>
          <w:sz w:val="16"/>
          <w:szCs w:val="16"/>
        </w:rPr>
        <w:t xml:space="preserve"> musí mít písemnou formu, podpis Klienta na nich musí být úředně ověřen nebo učiněn před zaměstnancem Banky (neakceptuje-li Banka jiný způsob ověření) a musí být doručeny Bance dle článku 8.3 Všeobecných podmínek. </w:t>
      </w:r>
    </w:p>
    <w:p w14:paraId="3CADCA84"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Omezení práva odmítnout změnu</w:t>
      </w:r>
      <w:r w:rsidRPr="00E02C60">
        <w:rPr>
          <w:rFonts w:cs="Arial"/>
          <w:sz w:val="16"/>
          <w:szCs w:val="16"/>
        </w:rPr>
        <w:t>. V případě změny Podmínek má Klient právo odmítnout navrhovanou změnu a případně vypovědět Smlouvu pouze, pokud se navrhovaná změna přímo týká Služby poskytované Klientovi na základě příslušné Smlouvy.</w:t>
      </w:r>
    </w:p>
    <w:p w14:paraId="723F02F7" w14:textId="315A7E5E" w:rsidR="00E02C60" w:rsidRPr="00E02C60" w:rsidRDefault="00E02C60" w:rsidP="006D6C7C">
      <w:pPr>
        <w:pStyle w:val="Nadpis2"/>
        <w:numPr>
          <w:ilvl w:val="1"/>
          <w:numId w:val="13"/>
        </w:numPr>
        <w:tabs>
          <w:tab w:val="num" w:pos="425"/>
        </w:tabs>
        <w:ind w:left="426" w:hanging="426"/>
        <w:rPr>
          <w:rFonts w:cs="Arial"/>
          <w:sz w:val="16"/>
          <w:szCs w:val="16"/>
        </w:rPr>
      </w:pPr>
      <w:bookmarkStart w:id="188" w:name="_Ref518908998"/>
      <w:r w:rsidRPr="00E02C60">
        <w:rPr>
          <w:rFonts w:cs="Arial"/>
          <w:b/>
          <w:sz w:val="16"/>
          <w:szCs w:val="16"/>
        </w:rPr>
        <w:t>Změny s okamžitou účinností</w:t>
      </w:r>
      <w:r w:rsidRPr="00E02C60">
        <w:rPr>
          <w:rFonts w:cs="Arial"/>
          <w:sz w:val="16"/>
          <w:szCs w:val="16"/>
        </w:rPr>
        <w:t xml:space="preserve">. Odchylně od předchozích článků je Banka oprávněna provést s okamžitou účinností jednostrannou změnu Podmínek, (a) je-li tato změna výhradně ve prospěch Klienta, nebo je-li změna vyvolána doplněním nové Služby a nemá vliv na stávající poplatky, (b) v případě změny obchodního názvu Bankovní služby, která nemá vliv na práva a povinnosti smluvních stran vyplývající ze Smlouvy, nebo (c) v případě změny údajů, které jsou čistě informačního charakteru a nejsou určeny dohodou smluvních stran (např. sídlo Banky, obchodní firma Členů finanční skupiny Banky). O změnách dle tohoto odstavce </w:t>
      </w:r>
      <w:r w:rsidRPr="00E02C60">
        <w:rPr>
          <w:rFonts w:cs="Arial"/>
          <w:sz w:val="16"/>
          <w:szCs w:val="16"/>
        </w:rPr>
        <w:fldChar w:fldCharType="begin"/>
      </w:r>
      <w:r w:rsidRPr="00E02C60">
        <w:rPr>
          <w:rFonts w:cs="Arial"/>
          <w:sz w:val="16"/>
          <w:szCs w:val="16"/>
        </w:rPr>
        <w:instrText xml:space="preserve"> REF _Ref518908998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10.6</w:t>
      </w:r>
      <w:r w:rsidRPr="00E02C60">
        <w:rPr>
          <w:rFonts w:cs="Arial"/>
          <w:sz w:val="16"/>
          <w:szCs w:val="16"/>
        </w:rPr>
        <w:fldChar w:fldCharType="end"/>
      </w:r>
      <w:r w:rsidRPr="00E02C60">
        <w:rPr>
          <w:rFonts w:cs="Arial"/>
          <w:sz w:val="16"/>
          <w:szCs w:val="16"/>
        </w:rPr>
        <w:t xml:space="preserve"> informuje Banka Klienta způsobem dle odstavce </w:t>
      </w:r>
      <w:r w:rsidRPr="00E02C60">
        <w:rPr>
          <w:rFonts w:cs="Arial"/>
          <w:sz w:val="16"/>
          <w:szCs w:val="16"/>
        </w:rPr>
        <w:fldChar w:fldCharType="begin"/>
      </w:r>
      <w:r w:rsidRPr="00E02C60">
        <w:rPr>
          <w:rFonts w:cs="Arial"/>
          <w:sz w:val="16"/>
          <w:szCs w:val="16"/>
        </w:rPr>
        <w:instrText xml:space="preserve"> REF _Ref518909076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10.2</w:t>
      </w:r>
      <w:r w:rsidRPr="00E02C60">
        <w:rPr>
          <w:rFonts w:cs="Arial"/>
          <w:sz w:val="16"/>
          <w:szCs w:val="16"/>
        </w:rPr>
        <w:fldChar w:fldCharType="end"/>
      </w:r>
      <w:r w:rsidRPr="00E02C60">
        <w:rPr>
          <w:rFonts w:cs="Arial"/>
          <w:sz w:val="16"/>
          <w:szCs w:val="16"/>
        </w:rPr>
        <w:t>.</w:t>
      </w:r>
      <w:bookmarkEnd w:id="188"/>
    </w:p>
    <w:p w14:paraId="7661B5D6" w14:textId="77777777" w:rsidR="00E02C60" w:rsidRPr="00E02C60" w:rsidRDefault="00E02C60" w:rsidP="006D6C7C">
      <w:pPr>
        <w:pStyle w:val="Nadpis1"/>
        <w:numPr>
          <w:ilvl w:val="0"/>
          <w:numId w:val="13"/>
        </w:numPr>
        <w:tabs>
          <w:tab w:val="num" w:pos="425"/>
        </w:tabs>
        <w:ind w:left="431" w:hanging="431"/>
        <w:rPr>
          <w:rFonts w:cs="Arial"/>
          <w:sz w:val="16"/>
          <w:szCs w:val="16"/>
        </w:rPr>
      </w:pPr>
      <w:r w:rsidRPr="00E02C60">
        <w:rPr>
          <w:rFonts w:cs="Arial"/>
          <w:sz w:val="16"/>
          <w:szCs w:val="16"/>
        </w:rPr>
        <w:t>Závěrečná ustanovení</w:t>
      </w:r>
    </w:p>
    <w:p w14:paraId="1D89D98A" w14:textId="03AB268B"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b/>
          <w:sz w:val="16"/>
          <w:szCs w:val="16"/>
        </w:rPr>
        <w:t xml:space="preserve">Změna Podmínek. </w:t>
      </w:r>
      <w:r w:rsidRPr="00E02C60">
        <w:rPr>
          <w:rFonts w:cs="Arial"/>
          <w:sz w:val="16"/>
          <w:szCs w:val="16"/>
        </w:rPr>
        <w:t xml:space="preserve">Bez ohledu na ustanovení článku </w:t>
      </w:r>
      <w:r w:rsidRPr="00E02C60">
        <w:rPr>
          <w:rFonts w:cs="Arial"/>
          <w:sz w:val="16"/>
          <w:szCs w:val="16"/>
        </w:rPr>
        <w:fldChar w:fldCharType="begin"/>
      </w:r>
      <w:r w:rsidRPr="00E02C60">
        <w:rPr>
          <w:rFonts w:cs="Arial"/>
          <w:sz w:val="16"/>
          <w:szCs w:val="16"/>
        </w:rPr>
        <w:instrText xml:space="preserve"> REF _Ref58510622 \r \h  \* MERGEFORMAT </w:instrText>
      </w:r>
      <w:r w:rsidRPr="00E02C60">
        <w:rPr>
          <w:rFonts w:cs="Arial"/>
          <w:sz w:val="16"/>
          <w:szCs w:val="16"/>
        </w:rPr>
      </w:r>
      <w:r w:rsidRPr="00E02C60">
        <w:rPr>
          <w:rFonts w:cs="Arial"/>
          <w:sz w:val="16"/>
          <w:szCs w:val="16"/>
        </w:rPr>
        <w:fldChar w:fldCharType="separate"/>
      </w:r>
      <w:r w:rsidR="00D93B71">
        <w:rPr>
          <w:rFonts w:cs="Arial"/>
          <w:sz w:val="16"/>
          <w:szCs w:val="16"/>
        </w:rPr>
        <w:t>10</w:t>
      </w:r>
      <w:r w:rsidRPr="00E02C60">
        <w:rPr>
          <w:rFonts w:cs="Arial"/>
          <w:sz w:val="16"/>
          <w:szCs w:val="16"/>
        </w:rPr>
        <w:fldChar w:fldCharType="end"/>
      </w:r>
      <w:r w:rsidRPr="00E02C60">
        <w:rPr>
          <w:rFonts w:cs="Arial"/>
          <w:sz w:val="16"/>
          <w:szCs w:val="16"/>
        </w:rPr>
        <w:t>, je Banka dále oprávněna tyto Podmínky průběžně měnit, a to způsobem uvedeným ve Všeobecných podmínkách.</w:t>
      </w:r>
    </w:p>
    <w:p w14:paraId="4C6B5448" w14:textId="77777777" w:rsidR="00E02C60" w:rsidRPr="00E02C60" w:rsidRDefault="00E02C60" w:rsidP="006D6C7C">
      <w:pPr>
        <w:pStyle w:val="Nadpis2"/>
        <w:numPr>
          <w:ilvl w:val="1"/>
          <w:numId w:val="13"/>
        </w:numPr>
        <w:tabs>
          <w:tab w:val="num" w:pos="425"/>
        </w:tabs>
        <w:ind w:left="426" w:hanging="426"/>
        <w:rPr>
          <w:rFonts w:cs="Arial"/>
          <w:b/>
          <w:sz w:val="16"/>
          <w:szCs w:val="16"/>
        </w:rPr>
      </w:pPr>
      <w:r w:rsidRPr="00E02C60">
        <w:rPr>
          <w:rFonts w:cs="Arial"/>
          <w:b/>
          <w:sz w:val="16"/>
          <w:szCs w:val="16"/>
        </w:rPr>
        <w:t xml:space="preserve">Změna Kontaktních údajů Klienta. </w:t>
      </w:r>
      <w:r w:rsidRPr="00E02C60">
        <w:rPr>
          <w:rFonts w:cs="Arial"/>
          <w:sz w:val="16"/>
          <w:szCs w:val="16"/>
        </w:rPr>
        <w:t xml:space="preserve">Klient je oprávněn jednostranně měnit své údaje v Kontaktních údajích Klienta a je povinen tyto údaje udržovat vždy aktuální. Změna údajů v Kontaktních údajích Klienta musí být provedena osobně na obchodním místě Banky, prostřednictvím Online Portfolia nebo jiným způsobem dohodnutým s Bankou. Změna Kontaktních údajů Klienta a je vůči Bance účinná nejpozději druhým (2.) Obchodním dnem po doručení nového znění Kontaktních údajů Klienta, není-li mezi Bankou a Klientem dohodnuto jinak. </w:t>
      </w:r>
    </w:p>
    <w:p w14:paraId="4C8D1D21"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Smlouva včetně Podmínek, příloh a dalších dokumentů, na které se Smlouva nebo Podmínky odkazují, mohou být měněny také prostřednictvím Online Portfolia. Takové změny jsou vůči Bance účinné druhým (2.) Obchodním dnem po jejich sjednání, není-li mezi Bankou a Klientem dohodnuto jinak.</w:t>
      </w:r>
    </w:p>
    <w:p w14:paraId="5CA3660F"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Veškerá komunikace a předávání informací dle těchto Podmínek a Smlouvy bude probíhat v českém jazyce, pokud se strany nedohodnou jinak.</w:t>
      </w:r>
    </w:p>
    <w:p w14:paraId="038F3CF2" w14:textId="77777777" w:rsidR="00E02C60"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Smlouva a Podmínky se řídí právním řádem České republiky.</w:t>
      </w:r>
    </w:p>
    <w:p w14:paraId="2921CE2E" w14:textId="77777777" w:rsidR="00616C13" w:rsidRPr="00E02C60" w:rsidRDefault="00E02C60" w:rsidP="006D6C7C">
      <w:pPr>
        <w:pStyle w:val="Nadpis2"/>
        <w:numPr>
          <w:ilvl w:val="1"/>
          <w:numId w:val="13"/>
        </w:numPr>
        <w:tabs>
          <w:tab w:val="num" w:pos="425"/>
        </w:tabs>
        <w:ind w:left="426" w:hanging="426"/>
        <w:rPr>
          <w:rFonts w:cs="Arial"/>
          <w:sz w:val="16"/>
          <w:szCs w:val="16"/>
        </w:rPr>
      </w:pPr>
      <w:r w:rsidRPr="00E02C60">
        <w:rPr>
          <w:rFonts w:cs="Arial"/>
          <w:sz w:val="16"/>
          <w:szCs w:val="16"/>
        </w:rPr>
        <w:t xml:space="preserve">Pokud jiné ustanovení Smlouvy nestanoví jinak, nabývají tyto Podmínky účinnosti dne </w:t>
      </w:r>
      <w:bookmarkStart w:id="189" w:name="_Ref199306951"/>
      <w:r w:rsidRPr="00E02C60">
        <w:rPr>
          <w:rFonts w:cs="Arial"/>
          <w:sz w:val="16"/>
          <w:szCs w:val="16"/>
        </w:rPr>
        <w:t>15.</w:t>
      </w:r>
      <w:r w:rsidR="00597C5D">
        <w:rPr>
          <w:rFonts w:cs="Arial"/>
          <w:sz w:val="16"/>
          <w:szCs w:val="16"/>
        </w:rPr>
        <w:t>6</w:t>
      </w:r>
      <w:r w:rsidRPr="00E02C60">
        <w:rPr>
          <w:rFonts w:cs="Arial"/>
          <w:sz w:val="16"/>
          <w:szCs w:val="16"/>
        </w:rPr>
        <w:t>.202</w:t>
      </w:r>
      <w:r w:rsidR="00597C5D">
        <w:rPr>
          <w:rFonts w:cs="Arial"/>
          <w:sz w:val="16"/>
          <w:szCs w:val="16"/>
          <w:lang w:val="cs-CZ"/>
        </w:rPr>
        <w:t>5</w:t>
      </w:r>
      <w:r w:rsidRPr="00E02C60">
        <w:rPr>
          <w:rFonts w:cs="Arial"/>
          <w:sz w:val="16"/>
          <w:szCs w:val="16"/>
        </w:rPr>
        <w:t>.</w:t>
      </w:r>
      <w:bookmarkEnd w:id="73"/>
      <w:bookmarkEnd w:id="189"/>
    </w:p>
    <w:p w14:paraId="10EF9261" w14:textId="77777777" w:rsidR="00616C13" w:rsidRPr="00661A60" w:rsidRDefault="00616C13" w:rsidP="005126A5"/>
    <w:p w14:paraId="51CF5AA5" w14:textId="77777777" w:rsidR="00BA13F2" w:rsidRPr="00661A60" w:rsidRDefault="00BA13F2" w:rsidP="005126A5">
      <w:pPr>
        <w:sectPr w:rsidR="00BA13F2" w:rsidRPr="00661A60" w:rsidSect="00616C13">
          <w:headerReference w:type="default" r:id="rId29"/>
          <w:footerReference w:type="default" r:id="rId30"/>
          <w:pgSz w:w="11907" w:h="16840" w:code="9"/>
          <w:pgMar w:top="2552" w:right="1134" w:bottom="1134" w:left="1134" w:header="454" w:footer="397" w:gutter="0"/>
          <w:pgNumType w:start="1"/>
          <w:cols w:num="2" w:space="454"/>
          <w:formProt w:val="0"/>
        </w:sectPr>
      </w:pPr>
    </w:p>
    <w:p w14:paraId="1AD549C1" w14:textId="77777777" w:rsidR="00913985" w:rsidRDefault="00913985" w:rsidP="006D6C7C">
      <w:pPr>
        <w:pStyle w:val="Nadpis1"/>
        <w:numPr>
          <w:ilvl w:val="0"/>
          <w:numId w:val="30"/>
        </w:numPr>
        <w:tabs>
          <w:tab w:val="num" w:pos="425"/>
        </w:tabs>
      </w:pPr>
      <w:r>
        <w:lastRenderedPageBreak/>
        <w:t>ÚVODNÍ USTANOVENÍ</w:t>
      </w:r>
    </w:p>
    <w:p w14:paraId="037B347A" w14:textId="77777777" w:rsidR="00913985" w:rsidRDefault="00913985" w:rsidP="006D6C7C">
      <w:pPr>
        <w:pStyle w:val="Nadpis2"/>
        <w:numPr>
          <w:ilvl w:val="1"/>
          <w:numId w:val="13"/>
        </w:numPr>
        <w:tabs>
          <w:tab w:val="num" w:pos="425"/>
        </w:tabs>
        <w:ind w:left="425" w:hanging="425"/>
      </w:pPr>
      <w:r>
        <w:t>Komerční banka, a. s., se sídlem Praha 1, Na Příkopě 33, 114 07, IČO: 45317054, jako banka oprávněná k</w:t>
      </w:r>
      <w:r>
        <w:rPr>
          <w:lang w:val="cs-CZ"/>
        </w:rPr>
        <w:t> </w:t>
      </w:r>
      <w:r>
        <w:t>poskytování hlavních a doplňkových investičních služeb („</w:t>
      </w:r>
      <w:r w:rsidRPr="00CE1180">
        <w:rPr>
          <w:b/>
        </w:rPr>
        <w:t>Banka</w:t>
      </w:r>
      <w:r>
        <w:t>“) v tomto dokumentu shrnuje informace pro (potencionální) klienty („</w:t>
      </w:r>
      <w:r w:rsidRPr="00CE1180">
        <w:rPr>
          <w:b/>
        </w:rPr>
        <w:t>Klient</w:t>
      </w:r>
      <w:r>
        <w:t>“) s nimiž má Banka jako bankovní obchodník s cennými papíry povinnost seznámit Klienta při poskytování investičních služeb („</w:t>
      </w:r>
      <w:r w:rsidRPr="00CE1180">
        <w:rPr>
          <w:b/>
        </w:rPr>
        <w:t>Informace o investičních službách a Nástrojích</w:t>
      </w:r>
      <w:r>
        <w:t>“ nebo „</w:t>
      </w:r>
      <w:r w:rsidRPr="00CE1180">
        <w:rPr>
          <w:b/>
        </w:rPr>
        <w:t>tento dokument</w:t>
      </w:r>
      <w:r>
        <w:t>“).</w:t>
      </w:r>
    </w:p>
    <w:p w14:paraId="2898EB1D" w14:textId="77777777" w:rsidR="00913985" w:rsidRDefault="00913985" w:rsidP="006D6C7C">
      <w:pPr>
        <w:pStyle w:val="Nadpis2"/>
        <w:numPr>
          <w:ilvl w:val="1"/>
          <w:numId w:val="13"/>
        </w:numPr>
        <w:tabs>
          <w:tab w:val="num" w:pos="425"/>
        </w:tabs>
        <w:ind w:left="425" w:hanging="425"/>
      </w:pPr>
      <w:r>
        <w:t>Tento dokument obsahuje informace nebo odkazuje na další dokumenty, jejichž účelem je blíže specifikovat podmínky a způsob plnění smlouvy, jejímž předmětem je obstarání koupě nebo prodej či jiný převod Nástroje, respektive poskytnutí jiné Služby („</w:t>
      </w:r>
      <w:r w:rsidRPr="00CE1180">
        <w:rPr>
          <w:b/>
        </w:rPr>
        <w:t>Smlouva</w:t>
      </w:r>
      <w:r>
        <w:t>“).</w:t>
      </w:r>
    </w:p>
    <w:p w14:paraId="0D807342" w14:textId="77777777" w:rsidR="00913985" w:rsidRPr="00F6663F" w:rsidRDefault="00913985" w:rsidP="006D6C7C">
      <w:pPr>
        <w:pStyle w:val="Nadpis2"/>
        <w:numPr>
          <w:ilvl w:val="1"/>
          <w:numId w:val="13"/>
        </w:numPr>
        <w:tabs>
          <w:tab w:val="num" w:pos="425"/>
        </w:tabs>
        <w:ind w:left="425" w:hanging="425"/>
      </w:pPr>
      <w:r w:rsidRPr="00F6663F">
        <w:t>Pojmy s velkým počátečním písmenem mají význam stanovený v tomto dokumentu nebo ve Smlouvě, respektive Podmínkách nebo Všeobecných obchodních podmínkách, které jsou nedílnou součástí Smlouvy.</w:t>
      </w:r>
      <w:r>
        <w:t xml:space="preserve"> </w:t>
      </w:r>
      <w:r w:rsidRPr="00F6663F">
        <w:t>V případě rozporu tohoto dokumentu se Smlouvou, má Smlouva má přednost.</w:t>
      </w:r>
    </w:p>
    <w:p w14:paraId="13D2558A" w14:textId="77777777" w:rsidR="00913985" w:rsidRPr="00913985" w:rsidRDefault="00913985" w:rsidP="006D6C7C">
      <w:pPr>
        <w:pStyle w:val="Nadpis1"/>
        <w:numPr>
          <w:ilvl w:val="0"/>
          <w:numId w:val="13"/>
        </w:numPr>
        <w:tabs>
          <w:tab w:val="num" w:pos="425"/>
        </w:tabs>
        <w:ind w:left="425" w:hanging="425"/>
        <w:rPr>
          <w:caps/>
        </w:rPr>
      </w:pPr>
      <w:r w:rsidRPr="00913985">
        <w:rPr>
          <w:caps/>
        </w:rPr>
        <w:t>ÚVODNÍ INFORMACE O BANCE a jí poskytovaných investičních službách</w:t>
      </w:r>
    </w:p>
    <w:p w14:paraId="07284935" w14:textId="77777777" w:rsidR="00913985" w:rsidRDefault="00913985" w:rsidP="00913985">
      <w:pPr>
        <w:spacing w:after="120"/>
        <w:ind w:left="425"/>
      </w:pPr>
      <w:r>
        <w:t>Banka je oprávněna poskytovat Služby a vykonávat činnosti stanovené v jí ČNB udělené bankovní licenci v rozsahu dle zákona č. 21/1992 Sb., o bankách, včetně poskytování hlavních a doplňkových investičních služeb jako bankovní obchodník s cennými papíry. Banka je proto oprávněna k poskytování těchto hlavních investičních služeb: přijímání a předávání pokynů týkajících se investičních nástrojů, provádění pokynů týkajících se investičních nástrojů na účet klienta, obchodování s investičními nástroji na vlastní účet, obhospodařování majetku klienta, je-li jeho součástí investiční nástroj, na základě volné úvahy v rámci smluvního ujednání, investiční poradenství týkající se investičních nástrojů, upisování nebo umisťování investičních nástrojů se závazkem jejich upsání, umisťování investičních nástrojů bez závazku jejich upsání. Banka poskytuje uvedené služby (bez ohledu na rozsah svého oprávnění) ve vztahu k Nástrojům.</w:t>
      </w:r>
    </w:p>
    <w:p w14:paraId="2F8D20F7" w14:textId="77777777" w:rsidR="00913985" w:rsidRDefault="00913985" w:rsidP="006D6C7C">
      <w:pPr>
        <w:pStyle w:val="Nadpis1"/>
        <w:numPr>
          <w:ilvl w:val="0"/>
          <w:numId w:val="13"/>
        </w:numPr>
        <w:tabs>
          <w:tab w:val="num" w:pos="425"/>
        </w:tabs>
        <w:ind w:left="425" w:hanging="425"/>
      </w:pPr>
      <w:r>
        <w:t>KOMUNIKACE S BANKOU</w:t>
      </w:r>
    </w:p>
    <w:p w14:paraId="54366BBC" w14:textId="77777777" w:rsidR="00913985" w:rsidRPr="00913985" w:rsidRDefault="00913985" w:rsidP="006D6C7C">
      <w:pPr>
        <w:pStyle w:val="Nadpis2"/>
        <w:numPr>
          <w:ilvl w:val="1"/>
          <w:numId w:val="13"/>
        </w:numPr>
        <w:tabs>
          <w:tab w:val="num" w:pos="425"/>
        </w:tabs>
        <w:spacing w:after="60"/>
        <w:ind w:left="425" w:hanging="425"/>
        <w:rPr>
          <w:szCs w:val="18"/>
        </w:rPr>
      </w:pPr>
      <w:r w:rsidRPr="00913985">
        <w:rPr>
          <w:szCs w:val="18"/>
        </w:rPr>
        <w:t>Není-li pro konkrétní případy uvedeno jinak, údaje pro komunikaci s Bankou jsou následující:</w:t>
      </w:r>
    </w:p>
    <w:p w14:paraId="46CFFA7E" w14:textId="77777777" w:rsidR="00913985" w:rsidRPr="00913985" w:rsidRDefault="00913985" w:rsidP="006D6C7C">
      <w:pPr>
        <w:pStyle w:val="Odstavecseseznamem"/>
        <w:numPr>
          <w:ilvl w:val="0"/>
          <w:numId w:val="29"/>
        </w:numPr>
        <w:tabs>
          <w:tab w:val="left" w:pos="709"/>
        </w:tabs>
        <w:ind w:left="709" w:hanging="284"/>
        <w:contextualSpacing w:val="0"/>
        <w:rPr>
          <w:sz w:val="18"/>
          <w:szCs w:val="18"/>
        </w:rPr>
      </w:pPr>
      <w:r w:rsidRPr="00913985">
        <w:rPr>
          <w:sz w:val="18"/>
          <w:szCs w:val="18"/>
        </w:rPr>
        <w:t>Adresa: Na Příkopě 33, 114 07 Praha 1, P.O. BOX 839, Česká republika</w:t>
      </w:r>
    </w:p>
    <w:p w14:paraId="33C97C88" w14:textId="77777777" w:rsidR="00913985" w:rsidRPr="00913985" w:rsidRDefault="00913985" w:rsidP="006D6C7C">
      <w:pPr>
        <w:pStyle w:val="Odstavecseseznamem"/>
        <w:numPr>
          <w:ilvl w:val="0"/>
          <w:numId w:val="29"/>
        </w:numPr>
        <w:tabs>
          <w:tab w:val="left" w:pos="709"/>
        </w:tabs>
        <w:ind w:left="709" w:hanging="284"/>
        <w:contextualSpacing w:val="0"/>
        <w:rPr>
          <w:sz w:val="18"/>
          <w:szCs w:val="18"/>
        </w:rPr>
      </w:pPr>
      <w:r w:rsidRPr="00913985">
        <w:rPr>
          <w:sz w:val="18"/>
          <w:szCs w:val="18"/>
        </w:rPr>
        <w:t>Telefon: (+420) 800 521 521, Po–Pá 7:00–22:00, So–Ne 8:00–22:00 (anglická obsluha Po–Pá 8:00–18:00)</w:t>
      </w:r>
    </w:p>
    <w:p w14:paraId="53BB2F31" w14:textId="77777777" w:rsidR="00913985" w:rsidRPr="00913985" w:rsidRDefault="00913985" w:rsidP="006D6C7C">
      <w:pPr>
        <w:pStyle w:val="Odstavecseseznamem"/>
        <w:numPr>
          <w:ilvl w:val="0"/>
          <w:numId w:val="29"/>
        </w:numPr>
        <w:tabs>
          <w:tab w:val="left" w:pos="709"/>
        </w:tabs>
        <w:ind w:left="709" w:hanging="284"/>
        <w:contextualSpacing w:val="0"/>
        <w:rPr>
          <w:sz w:val="18"/>
          <w:szCs w:val="18"/>
        </w:rPr>
      </w:pPr>
      <w:r w:rsidRPr="00913985">
        <w:rPr>
          <w:sz w:val="18"/>
          <w:szCs w:val="18"/>
        </w:rPr>
        <w:t>E-mail: mojebanka@kb.cz</w:t>
      </w:r>
    </w:p>
    <w:p w14:paraId="4F0E5712" w14:textId="77777777" w:rsidR="00913985" w:rsidRPr="00913985" w:rsidRDefault="00913985" w:rsidP="006D6C7C">
      <w:pPr>
        <w:pStyle w:val="Odstavecseseznamem"/>
        <w:numPr>
          <w:ilvl w:val="0"/>
          <w:numId w:val="29"/>
        </w:numPr>
        <w:tabs>
          <w:tab w:val="left" w:pos="709"/>
        </w:tabs>
        <w:spacing w:after="120"/>
        <w:ind w:left="709" w:hanging="284"/>
        <w:contextualSpacing w:val="0"/>
        <w:rPr>
          <w:sz w:val="18"/>
          <w:szCs w:val="18"/>
        </w:rPr>
      </w:pPr>
      <w:r w:rsidRPr="00913985">
        <w:rPr>
          <w:sz w:val="18"/>
          <w:szCs w:val="18"/>
        </w:rPr>
        <w:t xml:space="preserve">Internetové stránky: www.kb.cz </w:t>
      </w:r>
    </w:p>
    <w:p w14:paraId="742F396F" w14:textId="77777777" w:rsidR="00913985" w:rsidRDefault="00913985" w:rsidP="006D6C7C">
      <w:pPr>
        <w:pStyle w:val="Nadpis2"/>
        <w:numPr>
          <w:ilvl w:val="1"/>
          <w:numId w:val="13"/>
        </w:numPr>
        <w:tabs>
          <w:tab w:val="num" w:pos="425"/>
        </w:tabs>
        <w:ind w:left="425" w:hanging="425"/>
      </w:pPr>
      <w:r>
        <w:t>Není-li pro konkrétní případy vhodnější jiný jazyk, Banka komunikuje s Klientem v českém jazyce; ve stejném jazyce Klient obdrží i relevantní dokumenty a jiné informace. Způsob komunikace mezi Klientem a Bankou, včetně způsobu zasílání a příjímání Pokynů, stanoví příslušná Smlouva.</w:t>
      </w:r>
    </w:p>
    <w:p w14:paraId="52BB46BE" w14:textId="77777777" w:rsidR="00913985" w:rsidRDefault="00913985" w:rsidP="006D6C7C">
      <w:pPr>
        <w:pStyle w:val="Nadpis2"/>
        <w:numPr>
          <w:ilvl w:val="1"/>
          <w:numId w:val="13"/>
        </w:numPr>
        <w:tabs>
          <w:tab w:val="num" w:pos="425"/>
        </w:tabs>
        <w:ind w:left="425" w:hanging="425"/>
      </w:pPr>
      <w:r>
        <w:t>Banka je povinna zajistit, aby o všech jí poskytovaných Službách (a činnostech) byly vedeny dostatečné záznamy. Záznamy obsahují i nahrávání telefonních hovoru či zachycení elektronické komunikace týkající se poskytování služeb na základě příslušné Smlouvy, a to i v případě, že tyto hovory nebo komunikace k poskytnutí Služeb nevedou. Kopie záznamu hovoru a komunikace je Banka povinna uchovávat po dobu pěti let (na žádost ČNB až po dobu sedmi let). Banka je oprávněna uchovávat telefonické nahrávky a elektronickou komunikace i po delší dobu, pokud jí k tomu opravňují právní předpisy (např. pro účely oprávněného zájmu až po dobu 10 let od poskytnutí Služby). Záznamy komunikace mohou být předloženy jako důkazní materiál v jakémkoli řízení za účelem prokázání plnění povinností Banky.</w:t>
      </w:r>
    </w:p>
    <w:p w14:paraId="7595C4C1" w14:textId="77777777" w:rsidR="00913985" w:rsidRDefault="00913985" w:rsidP="006D6C7C">
      <w:pPr>
        <w:pStyle w:val="Nadpis2"/>
        <w:numPr>
          <w:ilvl w:val="1"/>
          <w:numId w:val="13"/>
        </w:numPr>
        <w:tabs>
          <w:tab w:val="num" w:pos="425"/>
        </w:tabs>
        <w:ind w:left="425" w:hanging="425"/>
      </w:pPr>
      <w:r>
        <w:t>Banka poskytuje Klientům zprávy o poskytovaných Službách, jejichž obsah, frekvence a termíny podávání jsou sjednány ve Smlouvě (případně je určují právní předpisy). Jde zejména o zprávy o provádění pokynů včetně potvrzení o provedení Pokynu (zasílá se v pracovní den následující po provedení pokynu nebo bezodkladně po obdržení potvrzení od třetí strany o provedení pokynu), výpisy o stavu Investičního účtu, tj. stavu investičních nástrojů a peněžních prostředků klienta (zasílá se zpravidla čtvrtletně) a další.</w:t>
      </w:r>
    </w:p>
    <w:p w14:paraId="0DAA293C" w14:textId="77777777" w:rsidR="00913985" w:rsidRDefault="00913985" w:rsidP="006D6C7C">
      <w:pPr>
        <w:pStyle w:val="Nadpis1"/>
        <w:numPr>
          <w:ilvl w:val="0"/>
          <w:numId w:val="13"/>
        </w:numPr>
        <w:tabs>
          <w:tab w:val="num" w:pos="425"/>
        </w:tabs>
        <w:ind w:left="425" w:hanging="425"/>
      </w:pPr>
      <w:r>
        <w:t>REKLAMACE A STÍŽNOSTI</w:t>
      </w:r>
    </w:p>
    <w:p w14:paraId="53FCA5DB" w14:textId="77777777" w:rsidR="00913985" w:rsidRDefault="00913985" w:rsidP="006D6C7C">
      <w:pPr>
        <w:pStyle w:val="Nadpis2"/>
        <w:numPr>
          <w:ilvl w:val="1"/>
          <w:numId w:val="13"/>
        </w:numPr>
        <w:tabs>
          <w:tab w:val="num" w:pos="425"/>
        </w:tabs>
        <w:ind w:left="425" w:hanging="425"/>
      </w:pPr>
      <w:r>
        <w:t xml:space="preserve">Reklamace a </w:t>
      </w:r>
      <w:r w:rsidRPr="00EE1B15">
        <w:t>stížnosti</w:t>
      </w:r>
      <w:r>
        <w:t xml:space="preserve"> (či jiné připomínky) Klientů Banka vyřizuje v souladu s právními předpisy a v souladu s</w:t>
      </w:r>
      <w:r>
        <w:rPr>
          <w:lang w:val="cs-CZ"/>
        </w:rPr>
        <w:t> </w:t>
      </w:r>
      <w:r>
        <w:t>Všeobecnými podmínkami na základě pravidel pro vyřizování reklamací a stížností (</w:t>
      </w:r>
      <w:hyperlink r:id="rId31" w:history="1">
        <w:r w:rsidRPr="00CC18DC">
          <w:rPr>
            <w:rStyle w:val="Hypertextovodkaz"/>
          </w:rPr>
          <w:t>https://www.kb.cz/cs/podpora/vztahy-se-zakazniky/reseni-stiznosti-a-reklamaci</w:t>
        </w:r>
      </w:hyperlink>
      <w:r>
        <w:t xml:space="preserve">). Podstatné informace jsou uvedeny v dokumentu „Reklamační řád“ uveřejněném na Internetových stránkách. </w:t>
      </w:r>
    </w:p>
    <w:p w14:paraId="1E73B234" w14:textId="77777777" w:rsidR="00913985" w:rsidRDefault="00913985" w:rsidP="006D6C7C">
      <w:pPr>
        <w:pStyle w:val="Nadpis2"/>
        <w:numPr>
          <w:ilvl w:val="1"/>
          <w:numId w:val="13"/>
        </w:numPr>
        <w:tabs>
          <w:tab w:val="num" w:pos="425"/>
        </w:tabs>
        <w:ind w:left="425" w:hanging="425"/>
      </w:pPr>
      <w:r>
        <w:t>Klient je také oprávněn se obrátit se svou stížností k České národní bance, Na Příkopě 28, 115 03 Praha 1, IČO 48136450, tel.: 224 411 111, zelená linka: 800 160 170 (</w:t>
      </w:r>
      <w:hyperlink r:id="rId32" w:history="1">
        <w:r w:rsidRPr="00CC18DC">
          <w:rPr>
            <w:rStyle w:val="Hypertextovodkaz"/>
          </w:rPr>
          <w:t>www.cnb.cz</w:t>
        </w:r>
      </w:hyperlink>
      <w:r>
        <w:t>) („</w:t>
      </w:r>
      <w:r w:rsidRPr="00CE1180">
        <w:rPr>
          <w:b/>
        </w:rPr>
        <w:t>ČNB</w:t>
      </w:r>
      <w:r>
        <w:t xml:space="preserve">“), jejímuž dohledu Banka při poskytování investičních služeb podléhá. </w:t>
      </w:r>
    </w:p>
    <w:p w14:paraId="57884117" w14:textId="77777777" w:rsidR="00913985" w:rsidRDefault="00913985" w:rsidP="006D6C7C">
      <w:pPr>
        <w:pStyle w:val="Nadpis2"/>
        <w:numPr>
          <w:ilvl w:val="1"/>
          <w:numId w:val="13"/>
        </w:numPr>
        <w:tabs>
          <w:tab w:val="num" w:pos="425"/>
        </w:tabs>
        <w:ind w:left="425" w:hanging="425"/>
      </w:pPr>
      <w:r>
        <w:lastRenderedPageBreak/>
        <w:t xml:space="preserve">Klient má i možnost podat žalobu či jiný návrh u příslušného soudu. </w:t>
      </w:r>
    </w:p>
    <w:p w14:paraId="21360525" w14:textId="77777777" w:rsidR="00913985" w:rsidRDefault="00913985" w:rsidP="006D6C7C">
      <w:pPr>
        <w:pStyle w:val="Nadpis2"/>
        <w:numPr>
          <w:ilvl w:val="1"/>
          <w:numId w:val="13"/>
        </w:numPr>
        <w:tabs>
          <w:tab w:val="num" w:pos="425"/>
        </w:tabs>
        <w:ind w:left="425" w:hanging="425"/>
      </w:pPr>
      <w:r>
        <w:t>Je-li Klient spotřebitelem, má dále právo na mimosoudní řešení spotřebitelského sporu vzniklého z investice do fondu kolektivního investování nebo srovnatelného zahraničního investičního fondu nebo poskytování investičních služeb nebo platebních služeb. Věcně příslušným orgánem mimosoudního řešení takových sporů je finanční arbitr (</w:t>
      </w:r>
      <w:hyperlink r:id="rId33" w:history="1">
        <w:r w:rsidRPr="00CC18DC">
          <w:rPr>
            <w:rStyle w:val="Hypertextovodkaz"/>
          </w:rPr>
          <w:t>www.finarbitr.cz</w:t>
        </w:r>
      </w:hyperlink>
      <w:r>
        <w:t>). Pro řešení případného sporu ze smlouvy uzavřené on-line (prostřednictvím internetové stránky nebo jiného elektronického prostředku) může spotřebitel využít rovněž Platformu pro řešení spotřebitelských sporů on-line (</w:t>
      </w:r>
      <w:hyperlink r:id="rId34" w:history="1">
        <w:r w:rsidRPr="00CC18DC">
          <w:rPr>
            <w:rStyle w:val="Hypertextovodkaz"/>
          </w:rPr>
          <w:t>https://ec.europa.eu/consumers/odr/main/index.cfm?event=main.home.chooseLanguage</w:t>
        </w:r>
      </w:hyperlink>
      <w:r>
        <w:t>).</w:t>
      </w:r>
    </w:p>
    <w:p w14:paraId="30702499" w14:textId="77777777" w:rsidR="00913985" w:rsidRDefault="00913985" w:rsidP="006D6C7C">
      <w:pPr>
        <w:pStyle w:val="Nadpis1"/>
        <w:numPr>
          <w:ilvl w:val="0"/>
          <w:numId w:val="13"/>
        </w:numPr>
        <w:tabs>
          <w:tab w:val="num" w:pos="425"/>
        </w:tabs>
        <w:ind w:left="425" w:hanging="425"/>
      </w:pPr>
      <w:r>
        <w:t>KATEGORIZACE KLIENTŮ</w:t>
      </w:r>
    </w:p>
    <w:p w14:paraId="5938D859" w14:textId="77777777" w:rsidR="00913985" w:rsidRDefault="00913985" w:rsidP="00913985">
      <w:pPr>
        <w:spacing w:after="120"/>
        <w:ind w:left="425"/>
      </w:pPr>
      <w:r>
        <w:t>Rozlišují se tři kategorie Klientů: neprofesionální klient, profesionální klient, způsobilá protistrana. Pro každou z těchto kategorií jsou stanoveny odlišné povinností, které je Banka povinna vůči Klientovi plnit. Nejvíce povinností a tím i nejvyšší úroveň ochrany je ve vztahu k neprofesionálním klientům. Způsobilé protistrany mají naopak úroveň ochrany nejnižší. Například vůči způsobilé protistraně není Banka povinna plnit povinnosti plynoucí z obecných pravidel jednání s klienty. Vůči profesionálnímu klientovi (vyjma toho, který se stal profesionálním na svou žádost) se nižší úroveň týká zejména způsobu či rozsahu sdělovaných informací, povinností spojených s uzavíráním obchodů na účet klienta či jejich konfirmací. Profesionální klienti rovněž nemusejí mít nárok na náhrady z kompenzačních systémů pro investory obdobných jako je Garanční fond obchodníků s cennými papíry v České republice a další. Konkrétní zařazení je vymezeno ve Smlouvě nebo je Klientovi jinak sděleno. Pokud však nebylo stanoveno písemně jinak, Klient je zařazen do kategorie neprofesionálního klienta a náleží mu veškerá práva s tím spojená. Klient je oprávněn požádat i o změnu kategorie, pokud splňuje dané předpoklady. Podrobnosti k žádosti o změnu zařazení sdělí Banka Klientovi na požádání.</w:t>
      </w:r>
    </w:p>
    <w:p w14:paraId="74D0B535" w14:textId="77777777" w:rsidR="00913985" w:rsidRDefault="00913985" w:rsidP="006D6C7C">
      <w:pPr>
        <w:pStyle w:val="Nadpis1"/>
        <w:numPr>
          <w:ilvl w:val="0"/>
          <w:numId w:val="13"/>
        </w:numPr>
        <w:tabs>
          <w:tab w:val="num" w:pos="425"/>
        </w:tabs>
        <w:ind w:left="425" w:hanging="425"/>
      </w:pPr>
      <w:r>
        <w:t>PODMÍNKY SMLOUVY</w:t>
      </w:r>
    </w:p>
    <w:p w14:paraId="05C49B28" w14:textId="77777777" w:rsidR="00913985" w:rsidRDefault="00913985" w:rsidP="00913985">
      <w:pPr>
        <w:spacing w:after="120"/>
        <w:ind w:left="425"/>
      </w:pPr>
      <w:r>
        <w:t>Smlouva, na jejímž základě jsou Klientovi poskytnuty Služby, je mezi Klientem a Bankou uzavírána v písemné podobě. Úplné podmínky Smlouvy včetně všech příloh jsou Klientovi zpřístupněny nebo poskytnuty s dostatečným předstihem předtím než je Klient touto Smlouvou vázán. Souhlasí-li Klient se zněním Smlouvy a je-li jeho vůlí Smlouvu s Bankou uzavřít, připojí ke smlouvě v tomto směru projev své vůle (zpravidla tak, že na určeném místě smlouvu podepíše, i elektronicky).</w:t>
      </w:r>
    </w:p>
    <w:p w14:paraId="62810C65" w14:textId="77777777" w:rsidR="00913985" w:rsidRDefault="00913985" w:rsidP="006D6C7C">
      <w:pPr>
        <w:pStyle w:val="Nadpis1"/>
        <w:numPr>
          <w:ilvl w:val="0"/>
          <w:numId w:val="13"/>
        </w:numPr>
        <w:tabs>
          <w:tab w:val="num" w:pos="425"/>
        </w:tabs>
        <w:ind w:left="425" w:hanging="425"/>
      </w:pPr>
      <w:r>
        <w:t>SDĚLENÍ KLÍČOVÝCH INFORMACÍ (ČI OBDOBNÝ DOKUMENT)</w:t>
      </w:r>
    </w:p>
    <w:p w14:paraId="0BC567BF" w14:textId="77777777" w:rsidR="00913985" w:rsidRDefault="00913985" w:rsidP="00913985">
      <w:pPr>
        <w:spacing w:after="120"/>
        <w:ind w:left="425"/>
      </w:pPr>
      <w:r>
        <w:t>Před rozhodnutím investovat do vybraných (nikoliv všech) Nástrojů Klienti obdrží stručný dokument shrnující klíčové informace o relevantním Nástroji („</w:t>
      </w:r>
      <w:r w:rsidRPr="00CE1180">
        <w:rPr>
          <w:b/>
        </w:rPr>
        <w:t>Sdělení klíčových informací</w:t>
      </w:r>
      <w:r>
        <w:t>“). Sdělení klíčových informací má mj. obsahovat typové vymezení investora, pro kterého je daný produkt určen, rizikový a výnosový profil relevantního Nástroje, náklady je investice spojena, doporučený investiční horizont, informaci o kontaktech, na které lze směrovat stížnosti investorů a další. V ostatních případech Klient může před rozhodnutím investovat obdržet obdobný dokument obsahující (obdobné) informace o daném Nástroji.</w:t>
      </w:r>
    </w:p>
    <w:p w14:paraId="2F29B0D4" w14:textId="77777777" w:rsidR="00913985" w:rsidRDefault="00913985" w:rsidP="006D6C7C">
      <w:pPr>
        <w:pStyle w:val="Nadpis1"/>
        <w:numPr>
          <w:ilvl w:val="0"/>
          <w:numId w:val="13"/>
        </w:numPr>
        <w:tabs>
          <w:tab w:val="num" w:pos="425"/>
        </w:tabs>
        <w:ind w:left="425" w:hanging="425"/>
      </w:pPr>
      <w:r>
        <w:t>NÁSTROJE, KTERÝCH SE MÁ SMLOUVA TÝKAT, NAVRHOVANÉ STRATEGIE A RIZIKA S NIMI SPOJENÁ</w:t>
      </w:r>
    </w:p>
    <w:p w14:paraId="6D716F75" w14:textId="77777777" w:rsidR="00913985" w:rsidRDefault="00913985" w:rsidP="006D6C7C">
      <w:pPr>
        <w:pStyle w:val="Nadpis2"/>
        <w:numPr>
          <w:ilvl w:val="1"/>
          <w:numId w:val="13"/>
        </w:numPr>
        <w:tabs>
          <w:tab w:val="num" w:pos="425"/>
        </w:tabs>
        <w:spacing w:after="60"/>
        <w:ind w:left="425" w:hanging="425"/>
      </w:pPr>
      <w:r>
        <w:t>Obecné upozornění</w:t>
      </w:r>
    </w:p>
    <w:p w14:paraId="33CDCF6B" w14:textId="77777777" w:rsidR="00913985" w:rsidRDefault="00913985" w:rsidP="00913985">
      <w:pPr>
        <w:spacing w:after="120"/>
        <w:ind w:left="425"/>
      </w:pPr>
      <w:r>
        <w:t xml:space="preserve">Před rozhodnutím investovat do Nástrojů by (potencionální) klienti měli věnovat zvýšenou pozornost rizikům spojeným s Nástroji a investičními strategiemi (pokud jsou stanoveny), kterých se má Smlouva týkat a která jsou popsána dále (případně v jiných relevantních dokumentech). Klienti by zejména měli vždy posoudit svůj záměr z hlediska jednotlivých rizik, ale rovněž i s ohledem na vlastní finanční zázemí a investiční cíle. Investování do Nástrojů je obecně rizikové a není vhodné pro každého. </w:t>
      </w:r>
      <w:r w:rsidRPr="00CE1180">
        <w:rPr>
          <w:b/>
        </w:rPr>
        <w:t xml:space="preserve">S Nástroji jsou totiž spojena různá rizika a zpravidla není zaručena návratnost původně investované částky. Není totiž jisté, že se hodnota </w:t>
      </w:r>
      <w:r w:rsidRPr="00C66AB7">
        <w:rPr>
          <w:b/>
          <w:bCs/>
        </w:rPr>
        <w:t>investované částky</w:t>
      </w:r>
      <w:r w:rsidRPr="00CE1180">
        <w:rPr>
          <w:b/>
        </w:rPr>
        <w:t xml:space="preserve"> v budoucnu zvýší, nebo že bude dosaženo vytýčených investičních cílů. Čím vyšší je očekávaný výnos, tím je zpravidla vyšší i potenciální riziko ztráty.</w:t>
      </w:r>
      <w:r>
        <w:t xml:space="preserve"> Toto riziko zpravidla klesá s dobou trvání investice (investičním horizontem). Toto riziko je dále možné snížit investováním do různých druhů Nástrojů (diverzifikace). </w:t>
      </w:r>
      <w:r w:rsidRPr="00CE1180">
        <w:rPr>
          <w:b/>
        </w:rPr>
        <w:t xml:space="preserve">Jakékoliv informace o výkonnosti </w:t>
      </w:r>
      <w:r w:rsidRPr="00C66AB7">
        <w:rPr>
          <w:b/>
          <w:bCs/>
        </w:rPr>
        <w:t>Nástrojů</w:t>
      </w:r>
      <w:r w:rsidRPr="00CE1180">
        <w:rPr>
          <w:b/>
        </w:rPr>
        <w:t xml:space="preserve"> a investičních strategií v minulosti nejsou spolehlivým ukazatelem budoucích výsledků.</w:t>
      </w:r>
      <w:r>
        <w:t xml:space="preserve"> Některé Nástroje (nástroje s využitím tzv. pákového efektu) v sobě dokonce nesou riziko vzniku dodatečných finančních povinností a jsou obecně rizikovější</w:t>
      </w:r>
      <w:r w:rsidRPr="00EE1B15">
        <w:t xml:space="preserve">. </w:t>
      </w:r>
      <w:r w:rsidRPr="00CE1180">
        <w:rPr>
          <w:b/>
        </w:rPr>
        <w:t xml:space="preserve">Je-li domácí měna </w:t>
      </w:r>
      <w:r w:rsidRPr="00C66AB7">
        <w:rPr>
          <w:b/>
          <w:bCs/>
        </w:rPr>
        <w:t>Klienta</w:t>
      </w:r>
      <w:r w:rsidRPr="00CE1180">
        <w:rPr>
          <w:b/>
        </w:rPr>
        <w:t xml:space="preserve"> jiná než je měna předmětného </w:t>
      </w:r>
      <w:r w:rsidRPr="00C66AB7">
        <w:rPr>
          <w:b/>
          <w:bCs/>
        </w:rPr>
        <w:t>Nástroje</w:t>
      </w:r>
      <w:r w:rsidRPr="00CE1180">
        <w:rPr>
          <w:b/>
        </w:rPr>
        <w:t>, jeho výnosnost může v důsledku kolísání měnových pohybů stoupat nebo klesat.</w:t>
      </w:r>
      <w:r w:rsidR="0018186F">
        <w:t xml:space="preserve"> </w:t>
      </w:r>
      <w:r>
        <w:t xml:space="preserve">Bližší informace dále popisují tzv. produktové dokumenty (např. Sdělení klíčových informací, prospekty a další). </w:t>
      </w:r>
      <w:r w:rsidRPr="00CE1180">
        <w:rPr>
          <w:b/>
        </w:rPr>
        <w:t xml:space="preserve">Nenakupujte Nástroje, u kterých nerozumíte jejich podmínkám a rizikům včetně rozsahu </w:t>
      </w:r>
      <w:r w:rsidRPr="00C66AB7">
        <w:rPr>
          <w:b/>
          <w:bCs/>
        </w:rPr>
        <w:t>potenciální</w:t>
      </w:r>
      <w:r w:rsidRPr="00EE1B15">
        <w:rPr>
          <w:b/>
          <w:bCs/>
        </w:rPr>
        <w:t>ch</w:t>
      </w:r>
      <w:r w:rsidRPr="00C66AB7">
        <w:rPr>
          <w:b/>
          <w:bCs/>
        </w:rPr>
        <w:t xml:space="preserve"> ztrát.</w:t>
      </w:r>
      <w:r w:rsidRPr="00CE1180">
        <w:rPr>
          <w:b/>
        </w:rPr>
        <w:t xml:space="preserve"> Banka je připravena kdykoli na požádání klienta poskytnout další informace a vysvětlení.</w:t>
      </w:r>
    </w:p>
    <w:p w14:paraId="799B15B5" w14:textId="77777777" w:rsidR="00913985" w:rsidRDefault="00913985" w:rsidP="006D6C7C">
      <w:pPr>
        <w:pStyle w:val="Nadpis2"/>
        <w:numPr>
          <w:ilvl w:val="1"/>
          <w:numId w:val="13"/>
        </w:numPr>
        <w:tabs>
          <w:tab w:val="num" w:pos="425"/>
        </w:tabs>
        <w:spacing w:after="60"/>
        <w:ind w:left="425" w:hanging="425"/>
      </w:pPr>
      <w:r>
        <w:t>Vymezení potencionálních (a nejčastějších) rizik</w:t>
      </w:r>
    </w:p>
    <w:p w14:paraId="4D9CB8CA" w14:textId="77777777" w:rsidR="00913985" w:rsidRDefault="00913985" w:rsidP="006D6C7C">
      <w:pPr>
        <w:pStyle w:val="Nadpis3"/>
        <w:numPr>
          <w:ilvl w:val="2"/>
          <w:numId w:val="13"/>
        </w:numPr>
        <w:tabs>
          <w:tab w:val="num" w:pos="992"/>
        </w:tabs>
        <w:spacing w:after="60"/>
        <w:ind w:left="992" w:hanging="567"/>
      </w:pPr>
      <w:r>
        <w:t>S Nástroji a investičními strategiemi (pokud jsou stanoveny) mohou být obecně spojena zejména tato rizika:</w:t>
      </w:r>
    </w:p>
    <w:p w14:paraId="1069F6ED" w14:textId="77777777" w:rsidR="00913985" w:rsidRDefault="00913985" w:rsidP="00913985">
      <w:pPr>
        <w:spacing w:after="60"/>
        <w:ind w:left="426"/>
      </w:pPr>
      <w:r w:rsidRPr="00F97E20">
        <w:rPr>
          <w:b/>
        </w:rPr>
        <w:lastRenderedPageBreak/>
        <w:t>Tržní riziko</w:t>
      </w:r>
      <w:r>
        <w:t xml:space="preserve"> je riziko ztráty v důsledku změny tržních podmínek, postihuje trh jako celek a spočívá v nepříznivém vývoji tržních cen nebo úrokových sazeb (úrokové riziko). Toto riziko se dotýká všech zúčastněných subjektů (exportéry, importéry, investory, aj.) a může být ovlivněno i vývojem mimo trhy (např. válečný konflikt či pandemický situace). Toto riziko může postihovat všechny druhy Nástrojů.</w:t>
      </w:r>
    </w:p>
    <w:p w14:paraId="4C3297E5" w14:textId="77777777" w:rsidR="00913985" w:rsidRDefault="00913985" w:rsidP="00913985">
      <w:pPr>
        <w:spacing w:after="60"/>
        <w:ind w:left="426"/>
      </w:pPr>
      <w:r w:rsidRPr="00F97E20">
        <w:rPr>
          <w:b/>
          <w:bCs/>
        </w:rPr>
        <w:t>Kreditní (úvěrové) riziko</w:t>
      </w:r>
      <w:r>
        <w:t xml:space="preserve"> je riziko ztráty způsobené v důsledku neschopnost nebo neochota protistrany (dlužník) splatit své závazky řádně a včas. Toto riziko je typické pro dluhopisy nebo cenné papíry vydané investičními fondy zaměřenými na investice do dluhopisů.</w:t>
      </w:r>
    </w:p>
    <w:p w14:paraId="4BFA1611" w14:textId="77777777" w:rsidR="00913985" w:rsidRDefault="00913985" w:rsidP="00913985">
      <w:pPr>
        <w:spacing w:after="60"/>
        <w:ind w:left="426"/>
      </w:pPr>
      <w:r w:rsidRPr="00F97E20">
        <w:rPr>
          <w:b/>
          <w:bCs/>
        </w:rPr>
        <w:t>Riziko likvidity</w:t>
      </w:r>
      <w:r>
        <w:t xml:space="preserve"> je rizikem ztráty v případě malé likvidity trhů, kdy Nástroj není možné v daném čase prodat či koupit, protože chybí poptávka po daném Nástroji. Toto riziko je typické pro Nástroje s omezenou převoditelností nebo cenné papíry rizikových společností.</w:t>
      </w:r>
    </w:p>
    <w:p w14:paraId="542D56E7" w14:textId="77777777" w:rsidR="00913985" w:rsidRDefault="00913985" w:rsidP="00913985">
      <w:pPr>
        <w:spacing w:after="60"/>
        <w:ind w:left="426"/>
      </w:pPr>
      <w:r w:rsidRPr="00F97E20">
        <w:rPr>
          <w:b/>
          <w:bCs/>
        </w:rPr>
        <w:t>Měnové riziko</w:t>
      </w:r>
      <w:r>
        <w:t xml:space="preserve"> je rizikem ztráty v důsledku nepříznivého vývoje měnových kurzů i přes pozitivní cenový vývoj Nástrojů denominovaného v cizí měně. V případě investic do Nástrojů denominovaných v cizí měně je proto třeba zvážit a do hodnocení zahrnout možnou fluktuaci měnových kurzů cizích měn vůči české koruně.</w:t>
      </w:r>
    </w:p>
    <w:p w14:paraId="6A6BB5C1" w14:textId="77777777" w:rsidR="00913985" w:rsidRDefault="00913985" w:rsidP="00913985">
      <w:pPr>
        <w:spacing w:after="60"/>
        <w:ind w:left="426"/>
      </w:pPr>
      <w:r w:rsidRPr="00F97E20">
        <w:rPr>
          <w:b/>
          <w:bCs/>
        </w:rPr>
        <w:t>Makroekonomická rizika</w:t>
      </w:r>
      <w:r>
        <w:t xml:space="preserve"> jsou rizika spojená s makroekonomickým vývojem, například s vývojem inflace, hrubého domácího produktu či jednotlivých odvětví ekonomiky. Makroekonomická rizika se mohou v závislosti na jejich povaze odrazit v hodnotě všech Nástrojů. Například růst inflace negativně ovlivnit reálnou výnosnost investice, a to i při pozitivním vývoji ceny Nástroje (inflační riziko). Navíc Nástroje v obdobích vysoké inflace podléhají obecně vetší kolísavosti (volatilitě). S tím souvisí i riziko zvýšených úroků v období vysoké inflace, kdy s růstem úrokových sazeb zpravidla klesá tržní cena Nástrojů (zejména dluhopisů, kdy obecně platí, že růstem úrokových sazeb klesá současná hodnota budoucích plateb plynoucích z dluhopisu) a tím pádem i cena těchto Nástrojů (úrokové riziko). </w:t>
      </w:r>
    </w:p>
    <w:p w14:paraId="4128A526" w14:textId="77777777" w:rsidR="00913985" w:rsidRDefault="00913985" w:rsidP="00913985">
      <w:pPr>
        <w:spacing w:after="120"/>
        <w:ind w:left="425"/>
      </w:pPr>
      <w:r w:rsidRPr="00F97E20">
        <w:rPr>
          <w:b/>
          <w:bCs/>
        </w:rPr>
        <w:t>Ostatní rizika</w:t>
      </w:r>
      <w:r>
        <w:t xml:space="preserve"> jsou další specifická rizika související s určitým Nástrojem jako například politické či právní nebo daňového riziko jako riziko spojené s právním řádem a jeho změnami či úkony výkonné moci (zejména zestátnění, vyvlastnění, nadměrného zdanění či jiný zásah do vlastnických práv nebo dodržování práva a jeho vymahatelností; toto je typické pro Nástroje emitované emitenty se sídlem či ekonomickými aktivitami v zemích s rizikem nestabilního právního prostředí či politického vývoje), nebo riziko udržitelnosti jako riziko, že návratnost investice může být negativně ovlivněna environmentálními riziky, sociálními riziky a riziky v oblasti správy. Tato rizika jsou zpravidla uvedené ve Sdělení klíčových informací, prospektu či obdobném konkrétním informačním dokumentu konkrétního Nástroje.</w:t>
      </w:r>
    </w:p>
    <w:p w14:paraId="4F547C32" w14:textId="77777777" w:rsidR="00913985" w:rsidRDefault="00913985" w:rsidP="006D6C7C">
      <w:pPr>
        <w:pStyle w:val="Nadpis2"/>
        <w:numPr>
          <w:ilvl w:val="1"/>
          <w:numId w:val="13"/>
        </w:numPr>
        <w:tabs>
          <w:tab w:val="num" w:pos="425"/>
        </w:tabs>
        <w:spacing w:after="60"/>
        <w:ind w:left="425" w:hanging="425"/>
      </w:pPr>
      <w:r>
        <w:t>Informace o Nástrojích a riziky s nimi spojenými</w:t>
      </w:r>
    </w:p>
    <w:p w14:paraId="772D5863" w14:textId="77777777" w:rsidR="00913985" w:rsidRDefault="00913985" w:rsidP="006D6C7C">
      <w:pPr>
        <w:pStyle w:val="Nadpis3"/>
        <w:numPr>
          <w:ilvl w:val="2"/>
          <w:numId w:val="13"/>
        </w:numPr>
        <w:tabs>
          <w:tab w:val="num" w:pos="992"/>
        </w:tabs>
        <w:spacing w:after="60"/>
        <w:ind w:left="992" w:hanging="567"/>
      </w:pPr>
      <w:r>
        <w:t>Cenné papíry Fondů</w:t>
      </w:r>
    </w:p>
    <w:p w14:paraId="21A4C015" w14:textId="77777777" w:rsidR="00913985" w:rsidRDefault="00913985" w:rsidP="00913985">
      <w:pPr>
        <w:spacing w:after="60"/>
        <w:ind w:left="426"/>
      </w:pPr>
      <w:r>
        <w:t xml:space="preserve">Podstatou Fondů (investičních fondů) je shromažďování majetku (zejm. peněžních prostředků) od investorů, kteří oproti tomu nabývají Cenné papíry Fondů (které představují podíl na daném investičním fondu), a dále investování shromážděných majetku na principu rozložení rizik mezi více aktiv nebo více druhů aktiv podle určité investiční strategie s následnou správou těchto investic. Základní dokumenty Fondu, se kterými by se měl Klient vždy předem seznámit jsou statut Fondu (určuje zejména investiční strategii a práva a povinnosti správce Fondu a investorů) a případně Sdělení klíčových informací (obsahuje stručné základní charakteristiky Fondu nezbytné pro pochopení povahy a rizik spojených s investováním do něj a další). </w:t>
      </w:r>
    </w:p>
    <w:p w14:paraId="4869B1AE" w14:textId="77777777" w:rsidR="00913985" w:rsidRPr="00535B89" w:rsidRDefault="00913985" w:rsidP="00913985">
      <w:pPr>
        <w:spacing w:after="60"/>
        <w:ind w:left="426"/>
      </w:pPr>
      <w:r>
        <w:t xml:space="preserve">Hodnota a výkonnost Cenných papírů Fondů se odvíjí od hodnoty jmění Fondu a podléhá vlivům v závislosti na druhu aktiv do kterých Fond investoval shromážděný majetek. Podle druhu aktiv, do kterého investují Fondy, rozlišujeme fondy peněžního trhu, fondy dluhopisové, fondy akciové, fondy smíšené, fondy speciální (například nemovitostní, private equity). Existují také Fondy zaměřené na určitý typ investorů jako například fondy kvalifikovaných investorů. Fondy zpravidla investují do více než jednoho aktiva a jednoho druhu aktiv – ať už jde o akcie či dluhopisy jednotlivých firem, státní dluhopisy či jiné Fondy (diverzifikace). Proto vliv změny hodnoty jednoho aktiva nebo jednoho druhu aktiv na hodnotu jmění Fondu (tedy i hodnotu Cenného papíru Fondu) je omezený. Tento podíl je omezen limity uvedenými ve statutu daného Fondu, případně obdobného dokumentu. Klienti by měli vždy předem zvážit strukturu aktiv, do nichž může Fond investovat, a zvážit rizika plynoucí z jednotlivých druhů těchto aktiv. Není-li uvedeno jinak, Klient může ztratit celou vloženou investici. </w:t>
      </w:r>
    </w:p>
    <w:p w14:paraId="19D24810" w14:textId="77777777" w:rsidR="00913985" w:rsidRDefault="00913985" w:rsidP="00913985">
      <w:pPr>
        <w:spacing w:after="60"/>
        <w:ind w:left="426"/>
      </w:pPr>
      <w:r>
        <w:t>Hlavní rizika spojená s Cennými papíry Fondu jsou popsána dále podle příslušného druhu cenného papíru (dluhopisový fond investuje převážně do dluhopisů apod.). Specifická rizika jsou popsána ve statutu a případně ve Sdělení klíčových informací či obdobném dokumentu.</w:t>
      </w:r>
    </w:p>
    <w:p w14:paraId="33235E36" w14:textId="77777777" w:rsidR="00913985" w:rsidRDefault="00913985" w:rsidP="006D6C7C">
      <w:pPr>
        <w:pStyle w:val="Nadpis3"/>
        <w:numPr>
          <w:ilvl w:val="2"/>
          <w:numId w:val="13"/>
        </w:numPr>
        <w:tabs>
          <w:tab w:val="num" w:pos="992"/>
        </w:tabs>
        <w:ind w:left="992" w:hanging="567"/>
      </w:pPr>
      <w:r>
        <w:t>Nástroje peněžního trhu (depozitní certifikáty, pokladniční poukázky)</w:t>
      </w:r>
    </w:p>
    <w:p w14:paraId="6EE213A2" w14:textId="77777777" w:rsidR="00913985" w:rsidRDefault="00913985" w:rsidP="00913985">
      <w:pPr>
        <w:spacing w:after="60"/>
        <w:ind w:left="425"/>
      </w:pPr>
      <w:r>
        <w:t>Typickým rysem nástrojů peněžního trhu je krátkodobý investiční horizont. Investici je možné provést přímo či nepřímo prostřednictvím fondů peněžního trhu, které na tuzemském nebo zahraničním trhu nabízejí různé investiční strategie.</w:t>
      </w:r>
    </w:p>
    <w:tbl>
      <w:tblPr>
        <w:tblW w:w="4945" w:type="pct"/>
        <w:tblInd w:w="108" w:type="dxa"/>
        <w:tblLook w:val="04A0" w:firstRow="1" w:lastRow="0" w:firstColumn="1" w:lastColumn="0" w:noHBand="0" w:noVBand="1"/>
      </w:tblPr>
      <w:tblGrid>
        <w:gridCol w:w="2305"/>
        <w:gridCol w:w="7228"/>
      </w:tblGrid>
      <w:tr w:rsidR="00913985" w:rsidRPr="00B900F2" w14:paraId="4C28FE7D" w14:textId="77777777" w:rsidTr="00913985">
        <w:tc>
          <w:tcPr>
            <w:tcW w:w="1209" w:type="pct"/>
            <w:shd w:val="clear" w:color="auto" w:fill="auto"/>
          </w:tcPr>
          <w:p w14:paraId="72181BC5" w14:textId="77777777" w:rsidR="00913985" w:rsidRPr="00B900F2" w:rsidRDefault="00913985" w:rsidP="00913985">
            <w:pPr>
              <w:spacing w:before="40" w:after="40"/>
            </w:pPr>
            <w:r w:rsidRPr="00B900F2">
              <w:t>Riziko likvidity</w:t>
            </w:r>
          </w:p>
        </w:tc>
        <w:tc>
          <w:tcPr>
            <w:tcW w:w="3791" w:type="pct"/>
            <w:shd w:val="clear" w:color="auto" w:fill="auto"/>
          </w:tcPr>
          <w:p w14:paraId="21EE4064" w14:textId="77777777" w:rsidR="00913985" w:rsidRPr="00B900F2" w:rsidRDefault="00913985" w:rsidP="00913985">
            <w:pPr>
              <w:spacing w:before="40" w:after="40"/>
            </w:pPr>
            <w:r w:rsidRPr="00B900F2">
              <w:t>Nízké (např. fondy peněžního trhu) až vysoké (konkrétní instrumenty, u nichž není organizován sekundární trh, např. termínované vkladové účty nevyplácejí před smluvní lhůtou splatnosti).</w:t>
            </w:r>
          </w:p>
        </w:tc>
      </w:tr>
      <w:tr w:rsidR="00913985" w:rsidRPr="00B900F2" w14:paraId="238A425E" w14:textId="77777777" w:rsidTr="00913985">
        <w:tc>
          <w:tcPr>
            <w:tcW w:w="1209" w:type="pct"/>
            <w:shd w:val="clear" w:color="auto" w:fill="auto"/>
          </w:tcPr>
          <w:p w14:paraId="5BB7EA29" w14:textId="77777777" w:rsidR="00913985" w:rsidRPr="00B900F2" w:rsidRDefault="00913985" w:rsidP="00913985">
            <w:pPr>
              <w:spacing w:before="40" w:after="40"/>
            </w:pPr>
            <w:r w:rsidRPr="00B900F2">
              <w:lastRenderedPageBreak/>
              <w:t>Měnové riziko</w:t>
            </w:r>
          </w:p>
        </w:tc>
        <w:tc>
          <w:tcPr>
            <w:tcW w:w="3791" w:type="pct"/>
            <w:shd w:val="clear" w:color="auto" w:fill="auto"/>
          </w:tcPr>
          <w:p w14:paraId="399EFE30" w14:textId="77777777" w:rsidR="00913985" w:rsidRPr="00B900F2" w:rsidRDefault="00913985" w:rsidP="00913985">
            <w:pPr>
              <w:spacing w:before="40" w:after="40"/>
            </w:pPr>
            <w:r w:rsidRPr="00B900F2">
              <w:t>Žádné v domácí měně. Nízké až vysoké u cizích měn v závislosti na kurzovních pohybech cizí měny vůči domácí měně. Zvyšuje se s rostoucí splatnosti.</w:t>
            </w:r>
          </w:p>
        </w:tc>
      </w:tr>
      <w:tr w:rsidR="00913985" w:rsidRPr="00B900F2" w14:paraId="5892F1A3" w14:textId="77777777" w:rsidTr="00913985">
        <w:tc>
          <w:tcPr>
            <w:tcW w:w="1209" w:type="pct"/>
            <w:shd w:val="clear" w:color="auto" w:fill="auto"/>
          </w:tcPr>
          <w:p w14:paraId="0A20DC34" w14:textId="77777777" w:rsidR="00913985" w:rsidRPr="00B900F2" w:rsidRDefault="00913985" w:rsidP="00913985">
            <w:pPr>
              <w:spacing w:before="40" w:after="40"/>
            </w:pPr>
            <w:r w:rsidRPr="00B900F2">
              <w:t>Tržní riziko</w:t>
            </w:r>
          </w:p>
        </w:tc>
        <w:tc>
          <w:tcPr>
            <w:tcW w:w="3791" w:type="pct"/>
            <w:shd w:val="clear" w:color="auto" w:fill="auto"/>
          </w:tcPr>
          <w:p w14:paraId="29AC7861" w14:textId="77777777" w:rsidR="00913985" w:rsidRPr="00B900F2" w:rsidRDefault="00913985" w:rsidP="00913985">
            <w:pPr>
              <w:spacing w:before="40" w:after="40"/>
            </w:pPr>
            <w:r w:rsidRPr="00B900F2">
              <w:t>Vyplývající zejména z pohybu úrokových sazeb.</w:t>
            </w:r>
          </w:p>
        </w:tc>
      </w:tr>
      <w:tr w:rsidR="00913985" w:rsidRPr="00B900F2" w14:paraId="27204972" w14:textId="77777777" w:rsidTr="00913985">
        <w:tc>
          <w:tcPr>
            <w:tcW w:w="1209" w:type="pct"/>
            <w:shd w:val="clear" w:color="auto" w:fill="auto"/>
          </w:tcPr>
          <w:p w14:paraId="184CD03C" w14:textId="77777777" w:rsidR="00913985" w:rsidRPr="00B900F2" w:rsidRDefault="00913985" w:rsidP="00913985">
            <w:pPr>
              <w:spacing w:before="40" w:after="40"/>
            </w:pPr>
            <w:r w:rsidRPr="00B900F2">
              <w:t>Makroekonomická rizika</w:t>
            </w:r>
          </w:p>
        </w:tc>
        <w:tc>
          <w:tcPr>
            <w:tcW w:w="3791" w:type="pct"/>
            <w:shd w:val="clear" w:color="auto" w:fill="auto"/>
          </w:tcPr>
          <w:p w14:paraId="55DD555A" w14:textId="77777777" w:rsidR="00913985" w:rsidRPr="00B900F2" w:rsidRDefault="00913985" w:rsidP="00913985">
            <w:pPr>
              <w:spacing w:before="40" w:after="40"/>
            </w:pPr>
            <w:r w:rsidRPr="00B900F2">
              <w:t>Nízké až vysoké (např. nízké až střední v případě termínovaných vkladových účtů, které jsou otevřeny u bank, které podléhají dohledu ČNB nebo srovnatelnému typu regulace v zahraničí, avšak nízké až vysoké v případě depozitních certifikátů v závislosti na bonitě emitenta (velké společnosti vydávající cenné papíry musí splňovat zákonné finanční požadavky, riziko vypůjčitele rovněž snižuje limitovaná doba splatnosti těchto cenných papírů)).</w:t>
            </w:r>
          </w:p>
        </w:tc>
      </w:tr>
      <w:tr w:rsidR="00913985" w:rsidRPr="00B900F2" w14:paraId="0B5B39BE" w14:textId="77777777" w:rsidTr="00913985">
        <w:tc>
          <w:tcPr>
            <w:tcW w:w="1209" w:type="pct"/>
            <w:shd w:val="clear" w:color="auto" w:fill="auto"/>
          </w:tcPr>
          <w:p w14:paraId="1CAE5589" w14:textId="77777777" w:rsidR="00913985" w:rsidRPr="00B900F2" w:rsidRDefault="00913985" w:rsidP="00913985">
            <w:pPr>
              <w:spacing w:before="40" w:after="40"/>
            </w:pPr>
            <w:r w:rsidRPr="00B900F2">
              <w:t>Specifická rizika</w:t>
            </w:r>
          </w:p>
        </w:tc>
        <w:tc>
          <w:tcPr>
            <w:tcW w:w="3791" w:type="pct"/>
            <w:shd w:val="clear" w:color="auto" w:fill="auto"/>
          </w:tcPr>
          <w:p w14:paraId="6714284F" w14:textId="77777777" w:rsidR="00913985" w:rsidRPr="00B900F2" w:rsidRDefault="00913985" w:rsidP="00913985">
            <w:pPr>
              <w:spacing w:before="40" w:after="40"/>
            </w:pPr>
            <w:r w:rsidRPr="00B900F2">
              <w:t>Specifická rizika pro konkrétní nástroje peněžního trhu či jeho emitenta jsou popsána v emisních podmínkách a případně prospektu či obdobném dokumentu.</w:t>
            </w:r>
          </w:p>
        </w:tc>
      </w:tr>
    </w:tbl>
    <w:p w14:paraId="45C2D5BC" w14:textId="77777777" w:rsidR="00913985" w:rsidRDefault="00913985" w:rsidP="00913985"/>
    <w:p w14:paraId="5E8E7179" w14:textId="77777777" w:rsidR="00913985" w:rsidRDefault="00913985" w:rsidP="006D6C7C">
      <w:pPr>
        <w:pStyle w:val="Nadpis3"/>
        <w:numPr>
          <w:ilvl w:val="2"/>
          <w:numId w:val="13"/>
        </w:numPr>
        <w:tabs>
          <w:tab w:val="num" w:pos="992"/>
        </w:tabs>
        <w:spacing w:after="60"/>
        <w:ind w:left="992" w:hanging="567"/>
      </w:pPr>
      <w:r>
        <w:t>Dluhopisy (či obdobné Nástroje)</w:t>
      </w:r>
    </w:p>
    <w:p w14:paraId="19A4298B" w14:textId="77777777" w:rsidR="00913985" w:rsidRDefault="00913985" w:rsidP="00913985">
      <w:pPr>
        <w:spacing w:after="60"/>
        <w:ind w:left="426"/>
      </w:pPr>
      <w:r>
        <w:t>S dluhopisem je spojeno právo na splacení určité dlužné částky odpovídající jmenovité hodnotě jeho emitentem (dlužníkem), a to najednou nebo postupně k určitému okamžiku, a popřípadě i další práva plynoucí ze zákona nebo z emisních podmínek (ve kterých jsou určeny parametry dluhopisů včetně výnos z dluhopisu a datum splatnosti dluhopisu a podmínky vztahu mezi emitentem a vlastníkem dluhopisů). Dochází-li k veřejné nabídce dluhopisů nebo jsou-li dluhopisy přijaty k obchodování na regulovaném trhu, musí být až na výjimky vypracován a uveřejněn prospekt dluhopisů, který obsahuje nezbytné údaje k posouzení dluhopisu a práv s ním spojených a rovněž majetku a dluhů, finanční situace a budoucího vývoje emitenta. S těmito dokumenty by se měl Klient vždy předem seznámit.</w:t>
      </w:r>
    </w:p>
    <w:p w14:paraId="49DA7344" w14:textId="77777777" w:rsidR="00913985" w:rsidRDefault="00913985" w:rsidP="00913985">
      <w:pPr>
        <w:spacing w:after="60"/>
        <w:ind w:left="426"/>
      </w:pPr>
      <w:r>
        <w:t>Výnos dluhopisu je určen v emisních podmínkách a zpravidla je určen pevnou či pohyblivou úrokovou sazbou anebo rozdílem mezi jmenovitou hodnotou dluhopisu a jeho nižším emisním kurzem (diskontovaný dluhopis). Vedle výnosu investor zpravidla na při splatnosti dluhopisu obdrží i jmenovitou hodnotu (nejde-li o diskontovaný dluhopis, kde obdrží částku rovnající se emisnímu kurzu). Jakékoliv informace o výkonnosti v minulosti však nejsou spolehlivým ukazatelem budoucích výsledků. Nezbytná je proto minimální diverzifikace na několik akcií v různých sektorech. Alternativou pro malé investory může být dluhopisový fond, který zajišťuje potřebnou diverzifikaci. Není-li uvedeno jinak, Klient může ztratit celou vloženou investici.</w:t>
      </w:r>
    </w:p>
    <w:p w14:paraId="5C84D344" w14:textId="77777777" w:rsidR="00913985" w:rsidRDefault="00913985" w:rsidP="00913985">
      <w:pPr>
        <w:spacing w:after="60"/>
        <w:ind w:left="426"/>
      </w:pPr>
      <w:r>
        <w:t>Hlavní rizika spojená s dluhopisy jsou:</w:t>
      </w:r>
    </w:p>
    <w:tbl>
      <w:tblPr>
        <w:tblW w:w="4945" w:type="pct"/>
        <w:tblInd w:w="108" w:type="dxa"/>
        <w:tblLook w:val="04A0" w:firstRow="1" w:lastRow="0" w:firstColumn="1" w:lastColumn="0" w:noHBand="0" w:noVBand="1"/>
      </w:tblPr>
      <w:tblGrid>
        <w:gridCol w:w="2276"/>
        <w:gridCol w:w="7257"/>
      </w:tblGrid>
      <w:tr w:rsidR="00913985" w:rsidRPr="0048554D" w14:paraId="6DE61FFA" w14:textId="77777777" w:rsidTr="00913985">
        <w:tc>
          <w:tcPr>
            <w:tcW w:w="1194" w:type="pct"/>
            <w:shd w:val="clear" w:color="auto" w:fill="auto"/>
          </w:tcPr>
          <w:p w14:paraId="6EA9B031" w14:textId="77777777" w:rsidR="00913985" w:rsidRPr="0048554D" w:rsidRDefault="00913985" w:rsidP="00913985">
            <w:pPr>
              <w:spacing w:before="40" w:after="40"/>
            </w:pPr>
            <w:r w:rsidRPr="0048554D">
              <w:t>Tržní riziko</w:t>
            </w:r>
          </w:p>
        </w:tc>
        <w:tc>
          <w:tcPr>
            <w:tcW w:w="3806" w:type="pct"/>
            <w:shd w:val="clear" w:color="auto" w:fill="auto"/>
          </w:tcPr>
          <w:p w14:paraId="7ED9357E" w14:textId="77777777" w:rsidR="00913985" w:rsidRPr="00B810CA" w:rsidRDefault="00913985" w:rsidP="00913985">
            <w:pPr>
              <w:spacing w:before="40" w:after="40"/>
            </w:pPr>
            <w:r w:rsidRPr="00EE1B15">
              <w:t>Nízké až vysoké tržní riziko v závislosti na emitentovi (pohybu tržních cen a sazeb podle odvětví, lokace a další).</w:t>
            </w:r>
          </w:p>
        </w:tc>
      </w:tr>
      <w:tr w:rsidR="00913985" w:rsidRPr="0048554D" w14:paraId="3D69FC22" w14:textId="77777777" w:rsidTr="00913985">
        <w:tc>
          <w:tcPr>
            <w:tcW w:w="1194" w:type="pct"/>
            <w:shd w:val="clear" w:color="auto" w:fill="auto"/>
          </w:tcPr>
          <w:p w14:paraId="3065A7BE" w14:textId="77777777" w:rsidR="00913985" w:rsidRPr="0048554D" w:rsidRDefault="00913985" w:rsidP="00913985">
            <w:pPr>
              <w:spacing w:before="40" w:after="40"/>
            </w:pPr>
            <w:r w:rsidRPr="0048554D">
              <w:t>Kreditní riziko</w:t>
            </w:r>
          </w:p>
        </w:tc>
        <w:tc>
          <w:tcPr>
            <w:tcW w:w="3806" w:type="pct"/>
            <w:shd w:val="clear" w:color="auto" w:fill="auto"/>
          </w:tcPr>
          <w:p w14:paraId="46E0E97B" w14:textId="77777777" w:rsidR="00913985" w:rsidRPr="0048554D" w:rsidRDefault="00913985" w:rsidP="00913985">
            <w:pPr>
              <w:spacing w:before="40" w:after="40"/>
            </w:pPr>
            <w:r w:rsidRPr="0048554D">
              <w:t>Nízké (např. státní dluhopisy – státní dluhopisy jsou obecně konzervativnější/méně rizikové) až vysoké (zpravidla korporátní dluhopisy menších společností, které jsou hodnoceny ratingovými agentury jako spekulativní – korporátní dluhopisy jsou obecně rizikovější) v závislosti na bonitě emitenta. Cena pevně úročeného dluhopisu na sekundárním trhu je primárně závislá na pohybech úrokových sazeb. Se změnou tržních úrokových sazeb se mění cena dluhopisu opačným směrem. Jestliže tržní úrokové sazby rostou, cena dluhopisu zpravidla klesá na úroveň, kdy je výnos dluhopisu přibližně roven tržní úrokové sazbě.</w:t>
            </w:r>
          </w:p>
        </w:tc>
      </w:tr>
      <w:tr w:rsidR="00913985" w:rsidRPr="0048554D" w14:paraId="5B62A6C1" w14:textId="77777777" w:rsidTr="00913985">
        <w:tc>
          <w:tcPr>
            <w:tcW w:w="1194" w:type="pct"/>
            <w:shd w:val="clear" w:color="auto" w:fill="auto"/>
          </w:tcPr>
          <w:p w14:paraId="25FA8623" w14:textId="77777777" w:rsidR="00913985" w:rsidRPr="0048554D" w:rsidRDefault="00913985" w:rsidP="00913985">
            <w:pPr>
              <w:spacing w:before="40" w:after="40"/>
            </w:pPr>
            <w:r w:rsidRPr="0048554D">
              <w:t>Riziko likvidity</w:t>
            </w:r>
          </w:p>
        </w:tc>
        <w:tc>
          <w:tcPr>
            <w:tcW w:w="3806" w:type="pct"/>
            <w:shd w:val="clear" w:color="auto" w:fill="auto"/>
          </w:tcPr>
          <w:p w14:paraId="16F8A1C4" w14:textId="77777777" w:rsidR="00913985" w:rsidRPr="0048554D" w:rsidRDefault="00913985" w:rsidP="00913985">
            <w:pPr>
              <w:spacing w:before="40" w:after="40"/>
            </w:pPr>
            <w:r w:rsidRPr="0048554D">
              <w:t>Nízké (např. státní dluhopisy) až vysoké (zpravidla korporátní dluhopisy menších společností) v závislosti na bonitě emitenta, velikosti emise, šíři sekundárního trhu a jiné.</w:t>
            </w:r>
          </w:p>
        </w:tc>
      </w:tr>
      <w:tr w:rsidR="00913985" w:rsidRPr="0048554D" w14:paraId="2B947887" w14:textId="77777777" w:rsidTr="00913985">
        <w:tc>
          <w:tcPr>
            <w:tcW w:w="1194" w:type="pct"/>
            <w:shd w:val="clear" w:color="auto" w:fill="auto"/>
          </w:tcPr>
          <w:p w14:paraId="72A4300C" w14:textId="77777777" w:rsidR="00913985" w:rsidRPr="0048554D" w:rsidRDefault="00913985" w:rsidP="00913985">
            <w:pPr>
              <w:spacing w:before="40" w:after="40"/>
            </w:pPr>
            <w:r w:rsidRPr="0048554D">
              <w:t>Měnové riziko</w:t>
            </w:r>
          </w:p>
        </w:tc>
        <w:tc>
          <w:tcPr>
            <w:tcW w:w="3806" w:type="pct"/>
            <w:shd w:val="clear" w:color="auto" w:fill="auto"/>
          </w:tcPr>
          <w:p w14:paraId="1FD438D1" w14:textId="77777777" w:rsidR="00913985" w:rsidRPr="0048554D" w:rsidRDefault="00913985" w:rsidP="00913985">
            <w:pPr>
              <w:spacing w:before="40" w:after="40"/>
            </w:pPr>
            <w:r w:rsidRPr="0048554D">
              <w:t>Žádné v domácí měně. Nízké až vysoké u cizích měn v závislosti na kurzovních pohybech cizí měny vůči domácí měně.</w:t>
            </w:r>
          </w:p>
        </w:tc>
      </w:tr>
      <w:tr w:rsidR="00913985" w:rsidRPr="0048554D" w14:paraId="12D9F017" w14:textId="77777777" w:rsidTr="00913985">
        <w:tc>
          <w:tcPr>
            <w:tcW w:w="1194" w:type="pct"/>
            <w:shd w:val="clear" w:color="auto" w:fill="auto"/>
          </w:tcPr>
          <w:p w14:paraId="79E09B45" w14:textId="77777777" w:rsidR="00913985" w:rsidRPr="0048554D" w:rsidRDefault="00913985" w:rsidP="00913985">
            <w:pPr>
              <w:spacing w:before="40" w:after="40"/>
            </w:pPr>
            <w:r w:rsidRPr="0048554D">
              <w:t>Makroekonomická rizika</w:t>
            </w:r>
          </w:p>
        </w:tc>
        <w:tc>
          <w:tcPr>
            <w:tcW w:w="3806" w:type="pct"/>
            <w:shd w:val="clear" w:color="auto" w:fill="auto"/>
          </w:tcPr>
          <w:p w14:paraId="38B1AA2A" w14:textId="77777777" w:rsidR="00913985" w:rsidRPr="0048554D" w:rsidRDefault="00913985" w:rsidP="00913985">
            <w:pPr>
              <w:spacing w:before="40" w:after="40"/>
            </w:pPr>
            <w:r w:rsidRPr="0048554D">
              <w:t>Nízké až vysoké úrokové riziko, které obecně roste s rostoucí dobou do splatnosti dluhopisu a klesá se zvyšujícím se kupónem. Investoři mohou utrpět i ztrátu (při nepříznivém úrokovém vývoji), pokud je dluhopis prodán před splatností. Investoři mohou utrpět ztrátu tím, že se v ekonomii zrychlí růst cen služeb a zboží (inflace). V tomto případě klesne (reálná) kupní síla investice. Výnos proto musí být zohledněn očištěný o změnu cenové hladiny (inflaci).</w:t>
            </w:r>
          </w:p>
        </w:tc>
      </w:tr>
      <w:tr w:rsidR="00913985" w:rsidRPr="0048554D" w14:paraId="225ADF6C" w14:textId="77777777" w:rsidTr="00913985">
        <w:tc>
          <w:tcPr>
            <w:tcW w:w="1194" w:type="pct"/>
            <w:shd w:val="clear" w:color="auto" w:fill="auto"/>
          </w:tcPr>
          <w:p w14:paraId="4DDC6C3C" w14:textId="77777777" w:rsidR="00913985" w:rsidRPr="0048554D" w:rsidRDefault="00913985" w:rsidP="00913985">
            <w:pPr>
              <w:spacing w:before="40" w:after="40"/>
            </w:pPr>
            <w:r w:rsidRPr="0048554D">
              <w:t>Specifická rizika</w:t>
            </w:r>
          </w:p>
        </w:tc>
        <w:tc>
          <w:tcPr>
            <w:tcW w:w="3806" w:type="pct"/>
            <w:shd w:val="clear" w:color="auto" w:fill="auto"/>
          </w:tcPr>
          <w:p w14:paraId="1C311763" w14:textId="77777777" w:rsidR="00913985" w:rsidRPr="0048554D" w:rsidRDefault="00913985" w:rsidP="00913985">
            <w:pPr>
              <w:spacing w:before="40" w:after="40"/>
            </w:pPr>
            <w:r w:rsidRPr="0048554D">
              <w:t>Specifická rizika pro konkrétní dluhopis či jeho emitenta jsou popsána v emisních podmínkách a případně prospektu.</w:t>
            </w:r>
          </w:p>
        </w:tc>
      </w:tr>
    </w:tbl>
    <w:p w14:paraId="1339FD64" w14:textId="77777777" w:rsidR="00913985" w:rsidRDefault="00913985" w:rsidP="00913985"/>
    <w:p w14:paraId="32BA9FEC" w14:textId="77777777" w:rsidR="00913985" w:rsidRDefault="00913985" w:rsidP="006D6C7C">
      <w:pPr>
        <w:pStyle w:val="Nadpis3"/>
        <w:numPr>
          <w:ilvl w:val="2"/>
          <w:numId w:val="13"/>
        </w:numPr>
        <w:tabs>
          <w:tab w:val="num" w:pos="992"/>
        </w:tabs>
        <w:spacing w:after="60"/>
        <w:ind w:left="992" w:hanging="567"/>
      </w:pPr>
      <w:r>
        <w:t>Akcie</w:t>
      </w:r>
    </w:p>
    <w:p w14:paraId="3C95FC39" w14:textId="77777777" w:rsidR="00913985" w:rsidRDefault="00913985" w:rsidP="00913985">
      <w:pPr>
        <w:spacing w:after="60"/>
        <w:ind w:left="426"/>
      </w:pPr>
      <w:r>
        <w:t xml:space="preserve">S akcií jsou spojena práva podílet se způsobem upraveným stanovami emitenta a právními předpisy na jeho řízení, zisku a na likvidačním zůstatku při jeho zrušení s likvidací. Základním dokumentem pro určení vztahu mezi společností a vlastníkem akcií jsou vedle právních předpisů její stanovy. V případě veřejné nabídky akcií nebo při přijetí akcií k obchodování na regulovaném trhu musí být až na výjimky vypracován a uveřejněn prospekt akcií, který obsahuje nezbytné údaje pro investory k zasvěcenému posouzení akcie a práv s ní spojených a rovněž majetku a </w:t>
      </w:r>
      <w:r>
        <w:lastRenderedPageBreak/>
        <w:t>dluhů, finanční situace a budoucího vývoje akciové společnosti. S těmito dokumenty by se měl Klient vždy předem seznámit.</w:t>
      </w:r>
    </w:p>
    <w:p w14:paraId="60F9E83A" w14:textId="77777777" w:rsidR="00913985" w:rsidRDefault="00913985" w:rsidP="00913985">
      <w:pPr>
        <w:spacing w:after="60"/>
        <w:ind w:left="426"/>
      </w:pPr>
      <w:r>
        <w:t>Výnos z akcie je dán zejména podílem na zisku akciové společnosti rozdělovaném akcionářům (dividendou), který připadá na akcii, zpravidla podle podílu akcie na základním kapitálu společnosti.</w:t>
      </w:r>
      <w:r w:rsidR="0018186F">
        <w:t xml:space="preserve"> </w:t>
      </w:r>
      <w:r>
        <w:t>Výkonnost investice do akcie ovlivňuje, vedle výnosu z ní, také rozdíl mezi prodejní a pořizovací cenou akcie. Cena (hodnota) akcie je závislá na mnoha faktorech, včetně finanční situace akciové společnosti, její dividendové politice nebo vývoje cen jiných finančních aktiv a vývoje dalších finančních veličin. Z historického hlediska akcie poskytují vyšší výnosnost než dluhopisy. Naproti tomu není zaručen zisk ani dividenda a cenové výkyvy jsou zpravidla vyšší než u dluhopisů. Jakékoliv informace o výkonnosti v minulosti však nejsou spolehlivým ukazatelem budoucích výsledků. Nezbytná je proto minimální diverzifikace na několik akcií v různých sektorech. Alternativou pro malé investory může být akciový fond, který zajišťuje potřebnou diverzifikaci. Klient může ztratit celou vloženou investici.</w:t>
      </w:r>
    </w:p>
    <w:p w14:paraId="6E4EEAE2" w14:textId="77777777" w:rsidR="00913985" w:rsidRDefault="00913985" w:rsidP="00913985">
      <w:pPr>
        <w:spacing w:after="60"/>
        <w:ind w:left="426"/>
      </w:pPr>
      <w:r>
        <w:t>Hlavní rizika spojená s akciemi jsou:</w:t>
      </w:r>
    </w:p>
    <w:tbl>
      <w:tblPr>
        <w:tblW w:w="4945" w:type="pct"/>
        <w:tblInd w:w="108" w:type="dxa"/>
        <w:tblLook w:val="04A0" w:firstRow="1" w:lastRow="0" w:firstColumn="1" w:lastColumn="0" w:noHBand="0" w:noVBand="1"/>
      </w:tblPr>
      <w:tblGrid>
        <w:gridCol w:w="2282"/>
        <w:gridCol w:w="7251"/>
      </w:tblGrid>
      <w:tr w:rsidR="00913985" w:rsidRPr="00267238" w14:paraId="73F262C6" w14:textId="77777777" w:rsidTr="00913985">
        <w:tc>
          <w:tcPr>
            <w:tcW w:w="1197" w:type="pct"/>
            <w:shd w:val="clear" w:color="auto" w:fill="auto"/>
          </w:tcPr>
          <w:p w14:paraId="6495DCEE" w14:textId="77777777" w:rsidR="00913985" w:rsidRPr="00267238" w:rsidRDefault="00913985" w:rsidP="0018186F">
            <w:pPr>
              <w:spacing w:after="40"/>
            </w:pPr>
            <w:r w:rsidRPr="00267238">
              <w:t>Tržní riziko</w:t>
            </w:r>
          </w:p>
        </w:tc>
        <w:tc>
          <w:tcPr>
            <w:tcW w:w="3803" w:type="pct"/>
            <w:shd w:val="clear" w:color="auto" w:fill="auto"/>
          </w:tcPr>
          <w:p w14:paraId="644987FA" w14:textId="77777777" w:rsidR="00913985" w:rsidRPr="00267238" w:rsidRDefault="00913985" w:rsidP="0018186F">
            <w:pPr>
              <w:spacing w:after="40"/>
            </w:pPr>
            <w:r w:rsidRPr="00267238">
              <w:t>Střední až vysoké tržní riziko. Velkou měrou záleží na kvalitě, výkonech a bonitě akciové společnosti, trendech v sektoru, ke kterému společnost patří, ale i na všeobecných trendech na příslušných akciových trzích. Spekulativní akcie (např. start-upů apod.) jsou v tomto směru rizikovější než akcie společností se stabilní podnikatelskou činností (např. veřejné služby).</w:t>
            </w:r>
          </w:p>
        </w:tc>
      </w:tr>
      <w:tr w:rsidR="00913985" w:rsidRPr="00267238" w14:paraId="2324B109" w14:textId="77777777" w:rsidTr="00913985">
        <w:tc>
          <w:tcPr>
            <w:tcW w:w="1197" w:type="pct"/>
            <w:shd w:val="clear" w:color="auto" w:fill="auto"/>
          </w:tcPr>
          <w:p w14:paraId="34C447C8" w14:textId="77777777" w:rsidR="00913985" w:rsidRPr="00267238" w:rsidRDefault="00913985" w:rsidP="0018186F">
            <w:pPr>
              <w:spacing w:after="40"/>
            </w:pPr>
            <w:r w:rsidRPr="00267238">
              <w:t>Kreditní riziko</w:t>
            </w:r>
          </w:p>
        </w:tc>
        <w:tc>
          <w:tcPr>
            <w:tcW w:w="3803" w:type="pct"/>
            <w:shd w:val="clear" w:color="auto" w:fill="auto"/>
          </w:tcPr>
          <w:p w14:paraId="69029540" w14:textId="77777777" w:rsidR="00913985" w:rsidRPr="00267238" w:rsidRDefault="00913985" w:rsidP="0018186F">
            <w:pPr>
              <w:spacing w:after="40"/>
            </w:pPr>
            <w:r w:rsidRPr="00267238">
              <w:t>Střední až vysoké kreditní riziko. Neexistuje zde záruka návratnosti investice, což je ještě více umocněno relativně vyšší cenovou volatilitou akcií. V případě insolvence emitenta může hodnota akcií poklesnout až na nulu. Ostatní věřitelé bývají zpravidla uspokojováni přednostně před akcionáři.</w:t>
            </w:r>
          </w:p>
        </w:tc>
      </w:tr>
      <w:tr w:rsidR="00913985" w:rsidRPr="00267238" w14:paraId="671871CA" w14:textId="77777777" w:rsidTr="00913985">
        <w:tc>
          <w:tcPr>
            <w:tcW w:w="1197" w:type="pct"/>
            <w:shd w:val="clear" w:color="auto" w:fill="auto"/>
          </w:tcPr>
          <w:p w14:paraId="51A8789D" w14:textId="77777777" w:rsidR="00913985" w:rsidRPr="00267238" w:rsidRDefault="00913985" w:rsidP="0018186F">
            <w:pPr>
              <w:spacing w:after="40"/>
            </w:pPr>
            <w:r w:rsidRPr="00267238">
              <w:t>Riziko likvidity</w:t>
            </w:r>
          </w:p>
        </w:tc>
        <w:tc>
          <w:tcPr>
            <w:tcW w:w="3803" w:type="pct"/>
            <w:shd w:val="clear" w:color="auto" w:fill="auto"/>
          </w:tcPr>
          <w:p w14:paraId="472810C7" w14:textId="77777777" w:rsidR="00913985" w:rsidRPr="00267238" w:rsidRDefault="00913985" w:rsidP="0018186F">
            <w:pPr>
              <w:spacing w:after="40"/>
            </w:pPr>
            <w:r w:rsidRPr="00267238">
              <w:t>Nízké až vysoké v závislosti na tržní kapitalizaci, bonitě emitenta, velikosti emise, šíři sekundárního trhu a jiné.</w:t>
            </w:r>
          </w:p>
        </w:tc>
      </w:tr>
      <w:tr w:rsidR="00913985" w:rsidRPr="00267238" w14:paraId="1B84FC49" w14:textId="77777777" w:rsidTr="00913985">
        <w:tc>
          <w:tcPr>
            <w:tcW w:w="1197" w:type="pct"/>
            <w:shd w:val="clear" w:color="auto" w:fill="auto"/>
          </w:tcPr>
          <w:p w14:paraId="2FD247DF" w14:textId="77777777" w:rsidR="00913985" w:rsidRPr="00267238" w:rsidRDefault="00913985" w:rsidP="0018186F">
            <w:pPr>
              <w:spacing w:after="40"/>
            </w:pPr>
            <w:r w:rsidRPr="00267238">
              <w:t>Měnové riziko</w:t>
            </w:r>
          </w:p>
        </w:tc>
        <w:tc>
          <w:tcPr>
            <w:tcW w:w="3803" w:type="pct"/>
            <w:shd w:val="clear" w:color="auto" w:fill="auto"/>
          </w:tcPr>
          <w:p w14:paraId="311C08A9" w14:textId="77777777" w:rsidR="00913985" w:rsidRPr="00267238" w:rsidRDefault="00913985" w:rsidP="0018186F">
            <w:pPr>
              <w:spacing w:after="40"/>
            </w:pPr>
            <w:r w:rsidRPr="00267238">
              <w:t>Žádné v domácí měně. Nízké až vysoké u cizích měn v závislosti na kurzovních pohybech cizí měny vůči domácí měně.</w:t>
            </w:r>
          </w:p>
        </w:tc>
      </w:tr>
      <w:tr w:rsidR="00913985" w:rsidRPr="00267238" w14:paraId="5E8D3240" w14:textId="77777777" w:rsidTr="00913985">
        <w:tc>
          <w:tcPr>
            <w:tcW w:w="1197" w:type="pct"/>
            <w:shd w:val="clear" w:color="auto" w:fill="auto"/>
          </w:tcPr>
          <w:p w14:paraId="57CF3B88" w14:textId="77777777" w:rsidR="00913985" w:rsidRPr="00267238" w:rsidRDefault="00913985" w:rsidP="0018186F">
            <w:pPr>
              <w:spacing w:after="40"/>
            </w:pPr>
            <w:r w:rsidRPr="00267238">
              <w:t>Makroekonomická rizika</w:t>
            </w:r>
          </w:p>
        </w:tc>
        <w:tc>
          <w:tcPr>
            <w:tcW w:w="3803" w:type="pct"/>
            <w:shd w:val="clear" w:color="auto" w:fill="auto"/>
          </w:tcPr>
          <w:p w14:paraId="442BC764" w14:textId="77777777" w:rsidR="00913985" w:rsidRPr="00267238" w:rsidRDefault="00913985" w:rsidP="0018186F">
            <w:pPr>
              <w:spacing w:after="40"/>
            </w:pPr>
            <w:r w:rsidRPr="00267238">
              <w:t>Střední až vysoké úrokové riziko. Pokud tržní úroková sazba vzroste, půjčování peněz se stává dražší. To může vést ke snížení spotřeby a vyšším úrokovým nákladům pro společnosti, což může negativně ovlivnit hodnotu akcií. Investoři také mohou utrpět ztrátu tím, že se v ekonomii zrychlí růst cen služeb a zboží (inflace). V tomto případě klesne (reálná) kupní síla investice. Výnos proto musí být zohledněn očištěný o změnu cenové hladiny (inflaci).</w:t>
            </w:r>
          </w:p>
        </w:tc>
      </w:tr>
      <w:tr w:rsidR="00913985" w:rsidRPr="00267238" w14:paraId="3B40E7AC" w14:textId="77777777" w:rsidTr="00913985">
        <w:tc>
          <w:tcPr>
            <w:tcW w:w="1197" w:type="pct"/>
            <w:shd w:val="clear" w:color="auto" w:fill="auto"/>
          </w:tcPr>
          <w:p w14:paraId="69CDA2CE" w14:textId="77777777" w:rsidR="00913985" w:rsidRPr="00267238" w:rsidRDefault="00913985" w:rsidP="0018186F">
            <w:pPr>
              <w:spacing w:after="40"/>
            </w:pPr>
            <w:r w:rsidRPr="00267238">
              <w:t>Ostatní rizika</w:t>
            </w:r>
          </w:p>
        </w:tc>
        <w:tc>
          <w:tcPr>
            <w:tcW w:w="3803" w:type="pct"/>
            <w:shd w:val="clear" w:color="auto" w:fill="auto"/>
          </w:tcPr>
          <w:p w14:paraId="10EBA5B6" w14:textId="77777777" w:rsidR="00913985" w:rsidRPr="00267238" w:rsidRDefault="00913985" w:rsidP="0018186F">
            <w:pPr>
              <w:spacing w:after="40"/>
            </w:pPr>
            <w:r w:rsidRPr="00267238">
              <w:t>Specifická rizika pro konkrétní akcii či jeho emitenta jsou popsána v emisních podmínkách a případně prospektu.</w:t>
            </w:r>
          </w:p>
        </w:tc>
      </w:tr>
    </w:tbl>
    <w:p w14:paraId="44047FEF" w14:textId="77777777" w:rsidR="00913985" w:rsidRDefault="00913985" w:rsidP="00913985"/>
    <w:p w14:paraId="7BACD47A" w14:textId="77777777" w:rsidR="00913985" w:rsidRDefault="00913985" w:rsidP="006D6C7C">
      <w:pPr>
        <w:pStyle w:val="Nadpis3"/>
        <w:numPr>
          <w:ilvl w:val="2"/>
          <w:numId w:val="13"/>
        </w:numPr>
        <w:tabs>
          <w:tab w:val="num" w:pos="992"/>
        </w:tabs>
        <w:spacing w:after="60"/>
        <w:ind w:left="992" w:hanging="567"/>
      </w:pPr>
      <w:r>
        <w:t>Investiční certifikáty a obdobné cenné papíry</w:t>
      </w:r>
    </w:p>
    <w:p w14:paraId="306058AA" w14:textId="77777777" w:rsidR="00913985" w:rsidRDefault="00913985" w:rsidP="0018186F">
      <w:pPr>
        <w:spacing w:after="60"/>
        <w:ind w:left="426"/>
      </w:pPr>
      <w:r>
        <w:t>Certifikáty mají mnoho forem. V principu se jedná o dluhový cenný papír (dluhopis) emitovaný Bankou nebo jiným emitentem se závazkem vyplatit či nevyplatit výnos. Výnos certifikátu může být vázán na libovolné podkladové aktivum - akcie, komodity, indexy atd. Řada certifikátů má i specifické rysy, které určitou formou výnos podkladového nástroje modifikují – poskytují určitou ochranu proti ztrátám nebo naopak umožňují využít finanční páku, kdy ztráty mohou být vyšší než původní investice atd. Existují například bonusové certifikáty (investor obdrží vložený kapitál navýšený o určitý předem sjednaný výnos – bonus; zároveň dojde – li k poklesu vyššímu než je sjednáno, investor participuje na ztrátách podkladového aktiva v plné výši), diskontní certifikát (investor kupuje aktivum s diskontem, tedy se slevou a pokud tržní cena podkladového aktiva klesne méně než je diskont, investor stále dosahuje zisku, ale je zde omezena participace na růstu tržní ceny podkladového aktiva pouze do určité hranice), twinwin certifikát (investor získává kladný výnos, pokud cena podkladového aktiva vzroste nebo poklesne nad nebo pod určitou úroveň, ale pokud se tak nestane, tržní cena twinwin certifikátu klesne) a další. Významnou charakteristikou certifikátů je, že často obsahují deriváty a v průběhu života nemusí přesně kopírovat vývoj podkladového aktiva. Není-li uvedeno jinak, Klient může ztratit celou vloženou investici.</w:t>
      </w:r>
    </w:p>
    <w:p w14:paraId="7B362D79" w14:textId="77777777" w:rsidR="00913985" w:rsidRPr="004A222C" w:rsidRDefault="00913985" w:rsidP="0018186F">
      <w:pPr>
        <w:spacing w:after="60"/>
        <w:ind w:left="426"/>
        <w:rPr>
          <w:b/>
          <w:bCs/>
        </w:rPr>
      </w:pPr>
      <w:r w:rsidRPr="00CE1180">
        <w:t>Hlavní rizika spojená s</w:t>
      </w:r>
      <w:r w:rsidRPr="00364E66">
        <w:rPr>
          <w:b/>
          <w:bCs/>
        </w:rPr>
        <w:t> </w:t>
      </w:r>
      <w:r w:rsidRPr="00364E66">
        <w:t xml:space="preserve">investičními certifikáty a obdobnými cennými papíry </w:t>
      </w:r>
      <w:r w:rsidRPr="00CE1180">
        <w:t xml:space="preserve">jsou popsána dále podle příslušného druhu </w:t>
      </w:r>
      <w:r w:rsidRPr="00EE1B15">
        <w:t>podkladových aktivec</w:t>
      </w:r>
      <w:r w:rsidRPr="000F452C">
        <w:t xml:space="preserve">h </w:t>
      </w:r>
      <w:r w:rsidRPr="00CE1180">
        <w:t>(</w:t>
      </w:r>
      <w:r w:rsidRPr="00EE1B15">
        <w:t>akciích</w:t>
      </w:r>
      <w:r w:rsidRPr="00364E66">
        <w:t>, komoditách, podkladovém benchmarku apod.</w:t>
      </w:r>
      <w:r w:rsidRPr="00364E66">
        <w:rPr>
          <w:b/>
          <w:bCs/>
        </w:rPr>
        <w:t>)</w:t>
      </w:r>
      <w:r w:rsidRPr="00364E66">
        <w:t xml:space="preserve"> ležících v jeho základu</w:t>
      </w:r>
      <w:r w:rsidRPr="00364E66">
        <w:rPr>
          <w:b/>
          <w:bCs/>
        </w:rPr>
        <w:t>.</w:t>
      </w:r>
      <w:r w:rsidRPr="00364E66">
        <w:t xml:space="preserve"> Obecně lze nicméně říci,</w:t>
      </w:r>
      <w:r>
        <w:t xml:space="preserve"> </w:t>
      </w:r>
      <w:r w:rsidRPr="004A222C">
        <w:t xml:space="preserve">že celková volatilita je obvykle nižší než u jednotlivých investičních nástrojů, protože výkyvy cen investičních nástrojů, které jsou podkladem těchto produktů, se navzájem kompenzují, čímž dochází k diverzifikaci tržního rizika (s výjimkou situací, kdy dojde k poklesu např. celého trhu či sektoru, na nějž je tento produkt zaměřen). </w:t>
      </w:r>
      <w:r w:rsidRPr="004A222C">
        <w:rPr>
          <w:b/>
          <w:bCs/>
        </w:rPr>
        <w:t xml:space="preserve">Specifická rizika pro konkrétní certifikát nebo obdobný nástroj či jeho emitenta jsou popsána v emisních podmínkách a případně </w:t>
      </w:r>
      <w:r>
        <w:rPr>
          <w:b/>
          <w:bCs/>
        </w:rPr>
        <w:t>S</w:t>
      </w:r>
      <w:r w:rsidRPr="004A222C">
        <w:rPr>
          <w:b/>
          <w:bCs/>
        </w:rPr>
        <w:t>dělení klíčových informací nebo obdobných dokumentech (pokud jsou zpracovány).</w:t>
      </w:r>
    </w:p>
    <w:p w14:paraId="687B723E" w14:textId="77777777" w:rsidR="00913985" w:rsidRPr="00CE1180" w:rsidRDefault="00913985" w:rsidP="006D6C7C">
      <w:pPr>
        <w:pStyle w:val="Nadpis3"/>
        <w:numPr>
          <w:ilvl w:val="2"/>
          <w:numId w:val="13"/>
        </w:numPr>
        <w:tabs>
          <w:tab w:val="num" w:pos="992"/>
        </w:tabs>
        <w:spacing w:after="60"/>
        <w:ind w:left="992" w:hanging="567"/>
      </w:pPr>
      <w:r w:rsidRPr="00CE1180">
        <w:t>Strukturované produkty</w:t>
      </w:r>
    </w:p>
    <w:p w14:paraId="62DA94F4" w14:textId="77777777" w:rsidR="00913985" w:rsidRPr="00646F37" w:rsidRDefault="00913985" w:rsidP="0018186F">
      <w:pPr>
        <w:spacing w:after="60"/>
        <w:ind w:left="426"/>
      </w:pPr>
      <w:r w:rsidRPr="004A222C">
        <w:t xml:space="preserve">Strukturované produkty jsou Nástroje kombinované z několika finančních produktů, z nichž alespoň jeden je obvykle derivát. Deriváty jsou obecně finanční instrumenty, jejichž hodnota je odvozena od hodnoty podkladového aktiva (např. měna, komodita, akcie, index). Hodnotu derivátů dále ovlivňují i jiné faktory jako úrokové sazby, splatnost a </w:t>
      </w:r>
      <w:r w:rsidRPr="004A222C">
        <w:lastRenderedPageBreak/>
        <w:t>volatilita podkladového aktiva. Příkladem jednoduchých strukturovaných produktů mohou být zajištěné fondy, které kombinují termínovaný vklad a opci (kupující opce (držitel) je oprávněn koupit (call opce), příp. prodat (put opce), určité podkladové aktivum za předem pevně určenou cenu kdykoliv během stanovené doby (americká opce) či v den její splatnosti (evropská opce)). Vklad tvoří obvykle zajišťovací složku a opce výnosovou složku. Jiným</w:t>
      </w:r>
      <w:r>
        <w:t xml:space="preserve"> příkladem může být garantovaný investiční certifikát, který bývá složen z nízkorizikového dluhopisu a opce. Dluhopis „garantuje“ do splatnosti návratnost kapitálu a opce potom tvoří případný výnos, participaci na podkladovém aktivu. V případě poklesu podkladového aktiva se opce neuplatní a investor tak získá alespoň garantovanou část vstupního kapitálu. Strukturovaným produktů je na trhu celá řada, liší se konstrukcí, možnostmi výplaty a v neposlední řadě i názvoslovím, proto by se měl investor před jejich nákupem důkladně seznámit s produktovými podmínkami konkrétního cenného papíru.</w:t>
      </w:r>
    </w:p>
    <w:p w14:paraId="76914C13" w14:textId="77777777" w:rsidR="00913985" w:rsidRPr="00646F37" w:rsidRDefault="00913985" w:rsidP="0018186F">
      <w:pPr>
        <w:spacing w:after="60"/>
        <w:ind w:left="426"/>
      </w:pPr>
      <w:r>
        <w:t>U strukturovaných produktů můžeme hovořit prakticky o všech typech rizik spojených s investováním do investičních nástrojů, byť v některých typech strukturovaných produktů je složením více nástrojů část rizik významně snížena. Hlavní rizika spojená se strukturovanými produkty jsou:</w:t>
      </w:r>
    </w:p>
    <w:tbl>
      <w:tblPr>
        <w:tblW w:w="4945" w:type="pct"/>
        <w:tblInd w:w="108" w:type="dxa"/>
        <w:tblLook w:val="04A0" w:firstRow="1" w:lastRow="0" w:firstColumn="1" w:lastColumn="0" w:noHBand="0" w:noVBand="1"/>
      </w:tblPr>
      <w:tblGrid>
        <w:gridCol w:w="2276"/>
        <w:gridCol w:w="7257"/>
      </w:tblGrid>
      <w:tr w:rsidR="00913985" w:rsidRPr="0048554D" w14:paraId="3D76DBF7" w14:textId="77777777" w:rsidTr="0018186F">
        <w:tc>
          <w:tcPr>
            <w:tcW w:w="1194" w:type="pct"/>
            <w:shd w:val="clear" w:color="auto" w:fill="auto"/>
          </w:tcPr>
          <w:p w14:paraId="3F206346" w14:textId="77777777" w:rsidR="00913985" w:rsidRPr="0048554D" w:rsidRDefault="00913985" w:rsidP="0018186F">
            <w:pPr>
              <w:spacing w:after="40"/>
            </w:pPr>
            <w:r w:rsidRPr="0048554D">
              <w:t>Tržní riziko</w:t>
            </w:r>
          </w:p>
        </w:tc>
        <w:tc>
          <w:tcPr>
            <w:tcW w:w="3806" w:type="pct"/>
            <w:shd w:val="clear" w:color="auto" w:fill="auto"/>
          </w:tcPr>
          <w:p w14:paraId="588D3D55" w14:textId="77777777" w:rsidR="00913985" w:rsidRPr="0048554D" w:rsidRDefault="00913985" w:rsidP="0018186F">
            <w:pPr>
              <w:spacing w:after="40"/>
            </w:pPr>
            <w:r w:rsidRPr="0048554D">
              <w:t>Nízké až vysoké tržní riziko v závislosti na</w:t>
            </w:r>
            <w:r>
              <w:t xml:space="preserve"> podkladovém aktivu, respektive</w:t>
            </w:r>
            <w:r w:rsidRPr="0048554D">
              <w:t xml:space="preserve"> emitentovi (pohybu tržních cen a sazeb podle odvětví, lokace a další)</w:t>
            </w:r>
            <w:r>
              <w:t>.</w:t>
            </w:r>
          </w:p>
        </w:tc>
      </w:tr>
      <w:tr w:rsidR="00913985" w:rsidRPr="0048554D" w14:paraId="4F50D6A3" w14:textId="77777777" w:rsidTr="0018186F">
        <w:tc>
          <w:tcPr>
            <w:tcW w:w="1194" w:type="pct"/>
            <w:shd w:val="clear" w:color="auto" w:fill="auto"/>
          </w:tcPr>
          <w:p w14:paraId="13E176C3" w14:textId="77777777" w:rsidR="00913985" w:rsidRPr="0048554D" w:rsidRDefault="00913985" w:rsidP="0018186F">
            <w:pPr>
              <w:spacing w:after="40"/>
            </w:pPr>
            <w:r w:rsidRPr="0048554D">
              <w:t>Kreditní riziko</w:t>
            </w:r>
          </w:p>
        </w:tc>
        <w:tc>
          <w:tcPr>
            <w:tcW w:w="3806" w:type="pct"/>
            <w:shd w:val="clear" w:color="auto" w:fill="auto"/>
          </w:tcPr>
          <w:p w14:paraId="4B95DD1F" w14:textId="77777777" w:rsidR="00913985" w:rsidRPr="0048554D" w:rsidRDefault="00913985" w:rsidP="0018186F">
            <w:pPr>
              <w:spacing w:after="40"/>
            </w:pPr>
            <w:r w:rsidRPr="0048554D">
              <w:t>Nízké (např. státní dluhopisy – státní dluhopisy jsou obecně konzervativnější/méně rizikové) až vysoké (zpravidla korporátní dluhopisy menších společností, které jsou hodnoceny ratingovými agentury jako spekulativní – korporátní dluhopisy jsou obecně rizikovější) v závislosti na</w:t>
            </w:r>
            <w:r>
              <w:t xml:space="preserve"> podkladovém aktivu</w:t>
            </w:r>
            <w:r w:rsidRPr="0048554D">
              <w:t>.</w:t>
            </w:r>
          </w:p>
        </w:tc>
      </w:tr>
      <w:tr w:rsidR="00913985" w:rsidRPr="0048554D" w14:paraId="24583B86" w14:textId="77777777" w:rsidTr="0018186F">
        <w:tc>
          <w:tcPr>
            <w:tcW w:w="1194" w:type="pct"/>
            <w:shd w:val="clear" w:color="auto" w:fill="auto"/>
          </w:tcPr>
          <w:p w14:paraId="6B470607" w14:textId="77777777" w:rsidR="00913985" w:rsidRPr="0048554D" w:rsidRDefault="00913985" w:rsidP="0018186F">
            <w:pPr>
              <w:spacing w:after="40"/>
            </w:pPr>
            <w:r w:rsidRPr="0048554D">
              <w:t>Riziko likvidity</w:t>
            </w:r>
          </w:p>
        </w:tc>
        <w:tc>
          <w:tcPr>
            <w:tcW w:w="3806" w:type="pct"/>
            <w:shd w:val="clear" w:color="auto" w:fill="auto"/>
          </w:tcPr>
          <w:p w14:paraId="1EBF1A14" w14:textId="77777777" w:rsidR="00913985" w:rsidRPr="0048554D" w:rsidRDefault="00913985" w:rsidP="0018186F">
            <w:pPr>
              <w:spacing w:after="40"/>
            </w:pPr>
            <w:r w:rsidRPr="0048554D">
              <w:t>Nízké až vysoké v závislosti na bonitě emitenta, velikosti emise, šíři sekundárního trhu a jiné</w:t>
            </w:r>
            <w:r>
              <w:t>, zejména u maloobjemových Nástrojů a při obchodování mimo regulovaný trh (OTC).</w:t>
            </w:r>
          </w:p>
        </w:tc>
      </w:tr>
      <w:tr w:rsidR="00913985" w:rsidRPr="0048554D" w14:paraId="03D3A0F5" w14:textId="77777777" w:rsidTr="0018186F">
        <w:tc>
          <w:tcPr>
            <w:tcW w:w="1194" w:type="pct"/>
            <w:shd w:val="clear" w:color="auto" w:fill="auto"/>
          </w:tcPr>
          <w:p w14:paraId="67F03761" w14:textId="77777777" w:rsidR="00913985" w:rsidRPr="0048554D" w:rsidRDefault="00913985" w:rsidP="0018186F">
            <w:pPr>
              <w:spacing w:after="40"/>
            </w:pPr>
            <w:r w:rsidRPr="0048554D">
              <w:t>Měnové riziko</w:t>
            </w:r>
          </w:p>
        </w:tc>
        <w:tc>
          <w:tcPr>
            <w:tcW w:w="3806" w:type="pct"/>
            <w:shd w:val="clear" w:color="auto" w:fill="auto"/>
          </w:tcPr>
          <w:p w14:paraId="05896AD2" w14:textId="77777777" w:rsidR="00913985" w:rsidRPr="0048554D" w:rsidRDefault="00913985" w:rsidP="0018186F">
            <w:pPr>
              <w:spacing w:after="40"/>
            </w:pPr>
            <w:r w:rsidRPr="0048554D">
              <w:t>Žádné v domácí měně. Nízké až vysoké u cizích měn v závislosti na kurzovních pohybech cizí měny vůči domácí měně.</w:t>
            </w:r>
          </w:p>
        </w:tc>
      </w:tr>
      <w:tr w:rsidR="00913985" w:rsidRPr="0048554D" w14:paraId="7DA32DC0" w14:textId="77777777" w:rsidTr="0018186F">
        <w:tc>
          <w:tcPr>
            <w:tcW w:w="1194" w:type="pct"/>
            <w:shd w:val="clear" w:color="auto" w:fill="auto"/>
          </w:tcPr>
          <w:p w14:paraId="68D27FFD" w14:textId="77777777" w:rsidR="00913985" w:rsidRPr="0048554D" w:rsidRDefault="00913985" w:rsidP="0018186F">
            <w:pPr>
              <w:spacing w:after="40"/>
            </w:pPr>
            <w:r w:rsidRPr="0048554D">
              <w:t>Makroekonomická rizika</w:t>
            </w:r>
          </w:p>
        </w:tc>
        <w:tc>
          <w:tcPr>
            <w:tcW w:w="3806" w:type="pct"/>
            <w:shd w:val="clear" w:color="auto" w:fill="auto"/>
          </w:tcPr>
          <w:p w14:paraId="6E84F475" w14:textId="77777777" w:rsidR="00913985" w:rsidRPr="0048554D" w:rsidRDefault="00913985" w:rsidP="0018186F">
            <w:pPr>
              <w:spacing w:after="40"/>
            </w:pPr>
            <w:r w:rsidRPr="0048554D">
              <w:t>Nízké až vysoké úrokové riziko, které obecně roste s rostoucí dobou do splatnosti dluhopisu a klesá se zvyšujícím se kupónem. Investoři mohou utrpět i ztrátu (při nepříznivém úrokovém vývoji), pokud je dluhopis prodán před splatností. Investoři mohou utrpět ztrátu tím, že se v ekonomii zrychlí růst cen služeb a zboží (inflace). V tomto případě klesne (reálná) kupní síla investice. Výnos proto musí být zohledněn očištěný o změnu cenové hladiny (inflaci).</w:t>
            </w:r>
          </w:p>
        </w:tc>
      </w:tr>
      <w:tr w:rsidR="00913985" w:rsidRPr="0048554D" w14:paraId="110A029A" w14:textId="77777777" w:rsidTr="0018186F">
        <w:tc>
          <w:tcPr>
            <w:tcW w:w="1194" w:type="pct"/>
            <w:shd w:val="clear" w:color="auto" w:fill="auto"/>
          </w:tcPr>
          <w:p w14:paraId="781F2BB0" w14:textId="77777777" w:rsidR="00913985" w:rsidRPr="0048554D" w:rsidRDefault="00913985" w:rsidP="0018186F">
            <w:pPr>
              <w:spacing w:after="40"/>
            </w:pPr>
            <w:r w:rsidRPr="0048554D">
              <w:t>Specifická rizika</w:t>
            </w:r>
          </w:p>
        </w:tc>
        <w:tc>
          <w:tcPr>
            <w:tcW w:w="3806" w:type="pct"/>
            <w:shd w:val="clear" w:color="auto" w:fill="auto"/>
          </w:tcPr>
          <w:p w14:paraId="5EDBF267" w14:textId="77777777" w:rsidR="00913985" w:rsidRDefault="00913985" w:rsidP="0018186F">
            <w:pPr>
              <w:spacing w:after="40"/>
            </w:pPr>
            <w:r w:rsidRPr="0048554D">
              <w:t xml:space="preserve">Specifická rizika pro konkrétní </w:t>
            </w:r>
            <w:r>
              <w:t>produkt</w:t>
            </w:r>
            <w:r w:rsidRPr="0048554D">
              <w:t xml:space="preserve"> či jeho emitenta jsou popsána v emisních podmínkách a případně prospektu.</w:t>
            </w:r>
          </w:p>
          <w:p w14:paraId="36EF2FD0" w14:textId="77777777" w:rsidR="00913985" w:rsidRPr="0048554D" w:rsidRDefault="00913985" w:rsidP="0018186F">
            <w:pPr>
              <w:spacing w:after="40"/>
            </w:pPr>
            <w:r>
              <w:t>Pokud výplata úroků, dividend nebo jistiny je podmíněna budoucím vývojem podkladového aktiva nebo konkrétními událostmi (cena akcií, hodnota komodit, podkladových indexů apod.), může dojít podle vývoje ke snížení i zastavení výplaty. V souvislosti s podkladovým aktivem je potřeba vzít v úvahu všechna rizika související včetně úrokových, měnových, rizika emitenta, rizika odvětví, globálního i úvěrového rizika. Tyto faktory mohou v průběhu platnosti nástroje ovlivňovat jeho cenu. Riziko emitenta, odvětví, globální i úvěrové riziko může vést v krajním případě k totální ztrátě z důvodu omezení práv zajištěných věřitelů a nemožnosti oddělit a získat aktiva, která nejsou součástí majetku (konkurzní podstaty) v případě úpadku.</w:t>
            </w:r>
          </w:p>
        </w:tc>
      </w:tr>
    </w:tbl>
    <w:p w14:paraId="48127EB9" w14:textId="77777777" w:rsidR="0018186F" w:rsidRPr="0048554D" w:rsidRDefault="0018186F" w:rsidP="0018186F">
      <w:pPr>
        <w:spacing w:after="40"/>
      </w:pPr>
    </w:p>
    <w:p w14:paraId="08946291" w14:textId="77777777" w:rsidR="00913985" w:rsidRDefault="00913985" w:rsidP="006D6C7C">
      <w:pPr>
        <w:pStyle w:val="Nadpis2"/>
        <w:numPr>
          <w:ilvl w:val="1"/>
          <w:numId w:val="13"/>
        </w:numPr>
        <w:tabs>
          <w:tab w:val="num" w:pos="425"/>
        </w:tabs>
        <w:spacing w:after="60"/>
        <w:ind w:left="425" w:hanging="425"/>
      </w:pPr>
      <w:r>
        <w:t>Informace o investičních strategiích a riziky s nimi spojenými</w:t>
      </w:r>
    </w:p>
    <w:p w14:paraId="3F96029B" w14:textId="77777777" w:rsidR="00913985" w:rsidRDefault="00830108" w:rsidP="0018186F">
      <w:pPr>
        <w:spacing w:after="120"/>
        <w:ind w:left="425"/>
      </w:pPr>
      <w:r>
        <w:t>Není-li ujednáno výslovně jinak ve Smlouvě, investiční strategii si určuje zpravidla Klient; Banka proto zásadně neposkytuje poradenství v rámci vymezení investičních strategií. Banka nicméně Klienta informuje, že obecně existují tyto typologické investiční strategie: konzervativní (hlavním cílem není zisk, ale dosáhnout ochrany investice před dlouhodobě průměrnou inflací, např. 80 % investic tvoří dluhopisové investice a nástroje peněžního trhu , předpokládaná míra kolísání hodnoty portfolia 2  – 5 % ročně, minimální doba investice je 3 roky), balancovaná (hlavním cílem je dosáhnout nízkého zhodnocení nad úrovní dlouhodobě průměrné inflace, např. podíl akciových investic může dosahovat 20 % až 50 % portfolia,  zbylou část investic tvoří dluhopisové investice a nástroje peněžního trhu, předpokládaná míra kolísání hodnoty portfolia 5 –15 % ročně, minimální doba investice je 5 let), dynamická (hlavním cílem je výraznější zisk nad úrovní dlouhodobě průměrné inflace, investice do akciové části portfolia dosahují obvykle 50 % až 100 % celkového portfolia, předpokládaná míra kolísání hodnoty portfolia 15  – 25 % ročně, minimální doba investice je 7 let). Hlavní rizika spojená s danou investiční strategií papíry se vážou k jednotlivým Nástrojům, které jsou její součástí – viz výše</w:t>
      </w:r>
      <w:r w:rsidR="00913985">
        <w:t>.</w:t>
      </w:r>
    </w:p>
    <w:p w14:paraId="78EEDB68" w14:textId="77777777" w:rsidR="00913985" w:rsidRDefault="00913985" w:rsidP="006D6C7C">
      <w:pPr>
        <w:pStyle w:val="Nadpis1"/>
        <w:numPr>
          <w:ilvl w:val="0"/>
          <w:numId w:val="13"/>
        </w:numPr>
        <w:tabs>
          <w:tab w:val="num" w:pos="425"/>
        </w:tabs>
        <w:ind w:left="425" w:hanging="425"/>
      </w:pPr>
      <w:r>
        <w:t>PŘEVODNÍ MÍSTA A PROVÁDĚNÍ POKYNŮ</w:t>
      </w:r>
    </w:p>
    <w:p w14:paraId="7E642295" w14:textId="77777777" w:rsidR="00913985" w:rsidRDefault="00913985" w:rsidP="006D6C7C">
      <w:pPr>
        <w:pStyle w:val="Nadpis2"/>
        <w:numPr>
          <w:ilvl w:val="1"/>
          <w:numId w:val="13"/>
        </w:numPr>
        <w:tabs>
          <w:tab w:val="num" w:pos="425"/>
        </w:tabs>
        <w:ind w:left="425" w:hanging="425"/>
      </w:pPr>
      <w:r>
        <w:t xml:space="preserve">Pokyny Klientů týkající se Nástrojů jsou prováděny zpravidla na převodních místech. Těmi jsou obchodní systém (evropský regulovaný trh, mnohostranný obchodní systém (MTF) nebo organizovaný obchodní systém (OTF)), systematický internalizátor, tvůrce trhu nebo jiný poskytovatel likvidity se sídlem v členském státě EU, anebo osoba nebo trh s investičními nástroji se sídlem ve státě, který není členským státem EU, s obdobnou činností jako některá </w:t>
      </w:r>
      <w:r>
        <w:lastRenderedPageBreak/>
        <w:t>z osob nebo trhů uvedených v této větě. Pokyn lze provést i mimo obchodní systém - tzv. „přes přepážku“ (OTC) - s protistranou ochotnou uskutečnit Obchod, s čímž Klient Pokynem souhlasí.</w:t>
      </w:r>
    </w:p>
    <w:p w14:paraId="628FAD6E" w14:textId="77777777" w:rsidR="00913985" w:rsidRDefault="00913985" w:rsidP="006D6C7C">
      <w:pPr>
        <w:pStyle w:val="Nadpis2"/>
        <w:numPr>
          <w:ilvl w:val="1"/>
          <w:numId w:val="13"/>
        </w:numPr>
        <w:tabs>
          <w:tab w:val="num" w:pos="425"/>
        </w:tabs>
        <w:ind w:left="425" w:hanging="425"/>
      </w:pPr>
      <w:r>
        <w:t xml:space="preserve">Banka je povinna provádět Pokyny za nejlepších podmínek, přičemž zohledňuje tyto faktory: a) cenu, kterou lze dosáhnout na převodním místě, b) celkový objem úplat účtovaných klientovi, c) rychlost, s jakou lze pokyn provést, d) pravděpodobnost provedení pokynu, e) objem požadovaného obchodu, f) podmínky pro vypořádání, g) typ pokynu, nebo h) jakýkoliv jiný faktor mající význam pro provedení Pokynů za nejlepších podmínek. K zajištění provádění Pokynů za nejlepších podmínek Banka zavedla a udržuje, vedle organizačního uspořádání, dále uvedená pravidla pro provádění pokynů klientů, která mimo jiné obsahují označení převodních míst, na kterých mohou být pokyny prováděny trvale za nejlepších podmínek. Podáním Pokynu k Bance, platí, že Klient s těmito pravidly souhlasí. Na žádost Klienta Banka doloží, že provádí nebo provedla pokyn za nejlepších podmínek. Od povinnosti provést Pokyn za nejlepších podmínek se Banka může odchýlit pouze v mezích stanovených Pokynem. Provádí-li Banka Pokyn neprofesionálního klienta, určí se nejlepší podmínky s ohledem na celkové náklady, které zahrnují veškeré náklady účtované Klientovi, které přímo souvisí s provedením Pokynu. Existuje-li několik převodních míst, na nichž lze provést Pokyn, zohlední též vlastní provize a náklady spojené s provedením Pokynu na jednotlivých dostupných převodních místech. </w:t>
      </w:r>
    </w:p>
    <w:p w14:paraId="3CFD462E" w14:textId="77777777" w:rsidR="00913985" w:rsidRDefault="00913985" w:rsidP="006D6C7C">
      <w:pPr>
        <w:pStyle w:val="Nadpis2"/>
        <w:numPr>
          <w:ilvl w:val="1"/>
          <w:numId w:val="13"/>
        </w:numPr>
        <w:tabs>
          <w:tab w:val="num" w:pos="425"/>
        </w:tabs>
        <w:ind w:left="425" w:hanging="425"/>
      </w:pPr>
      <w:r>
        <w:t>Banka sleduje převodní místa, na kterých může provádět Pokyny, a hodnotí, zda tato převodní místa umožňují provádět Pokyny trvale za nejlepších podmínek. Seznam převodních míst je uveden na Internetových stránkách. Banka v potvrzení o provedení obchodu informuje Klienta o tom, na kterém převodním místě byl jeho pokyn proveden.</w:t>
      </w:r>
    </w:p>
    <w:p w14:paraId="5B7A17CB" w14:textId="77777777" w:rsidR="00913985" w:rsidRDefault="00913985" w:rsidP="006D6C7C">
      <w:pPr>
        <w:pStyle w:val="Nadpis2"/>
        <w:numPr>
          <w:ilvl w:val="1"/>
          <w:numId w:val="13"/>
        </w:numPr>
        <w:tabs>
          <w:tab w:val="num" w:pos="425"/>
        </w:tabs>
        <w:ind w:left="425" w:hanging="425"/>
      </w:pPr>
      <w:r>
        <w:t>Je-li to ujednáno ve Smlouvě, Banka je oprávněna Pokyn sdružit s pokyny dalších svých Klientů nebo s obchody na vlastní účet, jestliže je nepravděpodobné, že sdružení Pokynů bude v souhrnu nevýhodné pro některého Klienta, jehož pokyn má být sdružen s jinými. Nedojde-li k plnému uspokojení všech sdružených pokynů, Banka alokuje související obchody mezi Klienty v poměru objemů uvedených v jednotlivých pokynech, které byly sdruženy. Sdruží-li Pokyn s obchodem na vlastní účet a je-li sdružený pokyn proveden jen částečně, Banka alokuje související obchody přednostně Klientovi. Je-li však Banka schopna doložit, že by bez sdružení nebyla schopen Pokyn provést za tak výhodných podmínek nebo vůbec, může alokovat obchod na vlastní účet proporcionálně.</w:t>
      </w:r>
    </w:p>
    <w:p w14:paraId="75EFB2B7" w14:textId="77777777" w:rsidR="00913985" w:rsidRDefault="00913985" w:rsidP="006D6C7C">
      <w:pPr>
        <w:pStyle w:val="Nadpis2"/>
        <w:numPr>
          <w:ilvl w:val="1"/>
          <w:numId w:val="13"/>
        </w:numPr>
        <w:tabs>
          <w:tab w:val="num" w:pos="425"/>
        </w:tabs>
        <w:ind w:left="425" w:hanging="425"/>
      </w:pPr>
      <w:r>
        <w:t xml:space="preserve">Vybrané Smlouvy umožňují Klientům nákup a prodej podílu Nástroje. Jeho nákup ani prodej nelze realizovat přímo na převodním místě a je nutno je sdružit s Pokyny dalších Klientů nebo s Obchody na vlastní účet tak, aby součet ze sdružených Pokynů činil celý kus nebo více celých kusů Nástroje k provedení na převodním místě. </w:t>
      </w:r>
    </w:p>
    <w:p w14:paraId="07A80CDF" w14:textId="77777777" w:rsidR="00913985" w:rsidRDefault="00913985" w:rsidP="006D6C7C">
      <w:pPr>
        <w:pStyle w:val="Nadpis1"/>
        <w:numPr>
          <w:ilvl w:val="0"/>
          <w:numId w:val="13"/>
        </w:numPr>
        <w:tabs>
          <w:tab w:val="num" w:pos="425"/>
        </w:tabs>
        <w:ind w:left="425" w:hanging="425"/>
      </w:pPr>
      <w:r>
        <w:t>VHODNOST A PŘIMĚŘENOST Nástroje</w:t>
      </w:r>
    </w:p>
    <w:p w14:paraId="55027A30" w14:textId="77777777" w:rsidR="005B4C8A" w:rsidRDefault="00913985" w:rsidP="005B4C8A">
      <w:pPr>
        <w:spacing w:after="60"/>
        <w:ind w:left="425"/>
      </w:pPr>
      <w:r>
        <w:t>Před uzavřením Smlouvy Banka získává od neprofesionálního klienta (a v odůvodněných případech i</w:t>
      </w:r>
      <w:r w:rsidR="005B4C8A">
        <w:t> </w:t>
      </w:r>
      <w:r>
        <w:t>profesionálního klienta) informace o jeho odborných znalostech a zkušenostech v oblasti investic, případně v</w:t>
      </w:r>
      <w:r w:rsidR="005B4C8A">
        <w:t> </w:t>
      </w:r>
      <w:r>
        <w:t>případě poskytování investičního poradenství týkající se Nástrojů, dále informace o finančním zázemí, včetně schopnosti nést ztráty, a investičních cílech, včetně tolerance k riziku. Tyto informace může Banka získávat i za účelem posouzení cílového trhu (viz dále). Na základě těchto informací je Banka schopna vyhodnotit přiměřenost, případně vhodnost Nástrojů. K získání výše uvedených informací slouží zpravidla dokument označený jako investiční dotazník.</w:t>
      </w:r>
    </w:p>
    <w:p w14:paraId="5B165F99" w14:textId="77777777" w:rsidR="005B4C8A" w:rsidRDefault="005B4C8A" w:rsidP="005B4C8A">
      <w:pPr>
        <w:spacing w:after="60"/>
        <w:ind w:left="425"/>
      </w:pPr>
      <w:r w:rsidRPr="008C6866">
        <w:t>Služba přijímání, předávání a provádění pokynů týkajících se investičních nástrojů je hlavní investiční službou Banky, která klientům umožňuje provedení nákupu či prodeje investičních nástrojů na základě příkazu k nákupu či prodeji investičních nástrojů ze strany klienta (souvisí s posouzením tzv. přiměřenosti Nástrojů pro klienta). Tedy jedná se o službu bez poradenství ze strany Banky.</w:t>
      </w:r>
    </w:p>
    <w:p w14:paraId="045E5A76" w14:textId="77777777" w:rsidR="005B4C8A" w:rsidRDefault="005B4C8A" w:rsidP="005B4C8A">
      <w:pPr>
        <w:spacing w:after="120"/>
        <w:ind w:left="425"/>
      </w:pPr>
      <w:r w:rsidRPr="008C6866">
        <w:t>Investiční poradenství je naproti tomu aktivita směřující přímo či nepřímo typicky k nákupu či prodeji s individuálním doporučením klientovi (poradenstvím ze strany Banky) ohledně konkrétního investičního nástroje (souvisí s</w:t>
      </w:r>
      <w:r>
        <w:t> </w:t>
      </w:r>
      <w:r w:rsidRPr="008C6866">
        <w:t>posouzením tzv. vhodnosti Nástrojů pro klienta).</w:t>
      </w:r>
    </w:p>
    <w:p w14:paraId="32C1073B" w14:textId="77777777" w:rsidR="00913985" w:rsidRDefault="00913985" w:rsidP="006D6C7C">
      <w:pPr>
        <w:pStyle w:val="Nadpis1"/>
        <w:numPr>
          <w:ilvl w:val="0"/>
          <w:numId w:val="13"/>
        </w:numPr>
        <w:tabs>
          <w:tab w:val="num" w:pos="425"/>
        </w:tabs>
        <w:ind w:left="425" w:hanging="425"/>
      </w:pPr>
      <w:r>
        <w:t>cílový trh nástroje</w:t>
      </w:r>
    </w:p>
    <w:p w14:paraId="323F3C46" w14:textId="77777777" w:rsidR="00913985" w:rsidRDefault="00913985" w:rsidP="006D6C7C">
      <w:pPr>
        <w:pStyle w:val="Nadpis2"/>
        <w:numPr>
          <w:ilvl w:val="1"/>
          <w:numId w:val="13"/>
        </w:numPr>
        <w:tabs>
          <w:tab w:val="num" w:pos="425"/>
        </w:tabs>
        <w:ind w:left="425" w:hanging="425"/>
      </w:pPr>
      <w:r>
        <w:t>Cílovým trhem se rozumí nabídka (respektive distribuce) Nástrojů pouze těm Klientům, pro které byly určeny. Cílový trh se posuzuje s ohledem na jednotlivého Klienta a konkrétní Obchod. Banka se při určování cílového trhu řídí těmito kategoriemi: typ zákazníků, jimž je produkt určen, znalosti a zkušenosti klientů, jejich finanční situace se zaměřením na schopnost nést ztráty, riziková tolerance a slučitelnost poměru rizika a výnosů produktu s cílovým trhem, finanční cíle (je-lito relevantní včetně cílů k udržitelnosti) a potřeby Klientů. Z toho důvodu si Banka může od Klienta vyžádat více informací nad rámec současných požadavků.</w:t>
      </w:r>
    </w:p>
    <w:p w14:paraId="3EF81B1A" w14:textId="77777777" w:rsidR="00913985" w:rsidRDefault="00913985" w:rsidP="006D6C7C">
      <w:pPr>
        <w:pStyle w:val="Nadpis2"/>
        <w:numPr>
          <w:ilvl w:val="1"/>
          <w:numId w:val="13"/>
        </w:numPr>
        <w:tabs>
          <w:tab w:val="num" w:pos="425"/>
        </w:tabs>
        <w:ind w:left="425" w:hanging="425"/>
      </w:pPr>
      <w:r>
        <w:t>Cílový trh může Banka vyhodnotit jako pozitivní, negativní či neutrální. V případě, že jej cílový trh jako pozitivní, Nástroj Klientovi nabízí. Dojde-li k vyhodnocení negativního cílového trhu, nebude Klientovi Nástroj vůbec nabízet. Pokud vyhodnotí cílový trh jako neutrální, pak na to Banka nejdříve Klienta upozorní.</w:t>
      </w:r>
    </w:p>
    <w:p w14:paraId="4F348DD6" w14:textId="77777777" w:rsidR="00913985" w:rsidRPr="007B3A11" w:rsidRDefault="00913985" w:rsidP="006D6C7C">
      <w:pPr>
        <w:pStyle w:val="Nadpis2"/>
        <w:numPr>
          <w:ilvl w:val="1"/>
          <w:numId w:val="13"/>
        </w:numPr>
        <w:tabs>
          <w:tab w:val="num" w:pos="425"/>
        </w:tabs>
        <w:ind w:left="425" w:hanging="425"/>
      </w:pPr>
      <w:r>
        <w:t xml:space="preserve">Pravidla pro vymezení cílového trhu nelze ztotožňovat s povinností zjistit přiměřenost či vhodnost Nástroje. Tyto dva okruhy </w:t>
      </w:r>
      <w:r w:rsidRPr="007B3A11">
        <w:t>povinností existují paralelně vedle sebe či se vzájemně mohou prolínat.</w:t>
      </w:r>
    </w:p>
    <w:p w14:paraId="2E3218F8" w14:textId="77777777" w:rsidR="00913985" w:rsidRPr="00C60A44" w:rsidRDefault="00913985" w:rsidP="006D6C7C">
      <w:pPr>
        <w:pStyle w:val="Nadpis2"/>
        <w:numPr>
          <w:ilvl w:val="1"/>
          <w:numId w:val="13"/>
        </w:numPr>
        <w:tabs>
          <w:tab w:val="num" w:pos="425"/>
        </w:tabs>
        <w:ind w:left="425" w:hanging="425"/>
      </w:pPr>
      <w:r w:rsidRPr="007B3A11">
        <w:lastRenderedPageBreak/>
        <w:t xml:space="preserve">V režimu investičního poradenství nicméně platí, že pokud je Nástroj vyhodnocen jako vhodné pro Klienta, platí zároveň, že je jeho cílový trh pozitivní. Pokud by byl Nástroj vyhodnocen jako nevhodný pro Klienta, platí zároveň, že jeho cílový trh je neutrální. V případě, že není poskytováno investiční poradenství, nemusí být možné vyhodnotit cílový trh plnohodnotně, protože Banka nemusí mít informace o klientových investičních cílech, finančním zázemí a vztahu Klienta k investičnímu riziku. V tomto případě Banka vyhodnocuje pouze některé z výše definovaných kategorií. </w:t>
      </w:r>
      <w:r w:rsidRPr="00C60A44">
        <w:t>Pokud Klient odmítne sdělit informace Bance, Banka nemůže vyhodnotit, zda je jeho cílový trh pozitivní nebo neutrální.</w:t>
      </w:r>
    </w:p>
    <w:p w14:paraId="52F4ADD8" w14:textId="77777777" w:rsidR="00913985" w:rsidRDefault="00913985" w:rsidP="006D6C7C">
      <w:pPr>
        <w:pStyle w:val="Nadpis2"/>
        <w:numPr>
          <w:ilvl w:val="1"/>
          <w:numId w:val="13"/>
        </w:numPr>
        <w:tabs>
          <w:tab w:val="num" w:pos="425"/>
        </w:tabs>
        <w:ind w:left="425" w:hanging="425"/>
      </w:pPr>
      <w:r>
        <w:t>U každé transakce zároveň vyhodnocujeme, zda investiční horizont Klienta (doba, po kterou hodlá Klient držet Nástroj) odpovídá investičnímu horizontu Nástroje případně investičního portfolia. Pokud je investiční horizont klienta dostatečně dlouhý vzhledem ke zvolenému Nástroji nebo investičnímu portfoliu, bude jeho cílový trh vyhodnocen jako pozitivní. Pokud bude investiční horizont kratší, bude jeho cílový trh vyhodnocen jako negativní a nebude možné transakci zrealizovat.</w:t>
      </w:r>
    </w:p>
    <w:p w14:paraId="0FBE29D0" w14:textId="77777777" w:rsidR="00913985" w:rsidRDefault="00913985" w:rsidP="006D6C7C">
      <w:pPr>
        <w:pStyle w:val="Nadpis1"/>
        <w:numPr>
          <w:ilvl w:val="0"/>
          <w:numId w:val="13"/>
        </w:numPr>
        <w:tabs>
          <w:tab w:val="num" w:pos="425"/>
        </w:tabs>
        <w:ind w:left="425" w:hanging="425"/>
      </w:pPr>
      <w:r>
        <w:t>PRAVIDLA PRO STŘET ZÁJMŮ</w:t>
      </w:r>
    </w:p>
    <w:p w14:paraId="0D56CB16" w14:textId="77777777" w:rsidR="00913985" w:rsidRDefault="00913985" w:rsidP="006D6C7C">
      <w:pPr>
        <w:pStyle w:val="Nadpis2"/>
        <w:numPr>
          <w:ilvl w:val="1"/>
          <w:numId w:val="13"/>
        </w:numPr>
        <w:tabs>
          <w:tab w:val="num" w:pos="425"/>
        </w:tabs>
        <w:ind w:left="425" w:hanging="425"/>
      </w:pPr>
      <w:r>
        <w:t>Banka při poskytování služeb uplatňuje čestné, spravedlivé a profesionální jednání v souladu s nejlepšími zájmy Klientů. Ochrana zájmů všech klientů je prioritou Banky. Proto Banka zjišťuje a řídí střety zájmů v souladu s principy stanovenými právními předpisy a přijímá nezbytná opatření, aby případné negativní dopady na zájmy Klientů, včetně jejich preferencí udržitelnosti, byly v nejvyšší možné míře omezeny.</w:t>
      </w:r>
    </w:p>
    <w:p w14:paraId="55B9B926" w14:textId="77777777" w:rsidR="00913985" w:rsidRDefault="00913985" w:rsidP="006D6C7C">
      <w:pPr>
        <w:pStyle w:val="Nadpis2"/>
        <w:numPr>
          <w:ilvl w:val="1"/>
          <w:numId w:val="13"/>
        </w:numPr>
        <w:tabs>
          <w:tab w:val="num" w:pos="425"/>
        </w:tabs>
        <w:ind w:left="425" w:hanging="425"/>
      </w:pPr>
      <w:r>
        <w:t xml:space="preserve">Ke stanovení pravidel pro řízení střetů zájmů se stanoví především politika střetů zájmů, která se zabývá specifickými střety zájmů, které mohou zejména vzniknout mezi: Bankou, včetně jejích vedoucích osob, zaměstnanců a vázaných zástupců nebo osob, které Banka využívá k distribuci, a (potencionálními) Klienty; nebo společnostmi ovládanými Bankou, jejich vedoucími, nebo společnostmi, které Banku ovládají, nebo osobami, vázanými zástupci, a (potenciálními) Klienty; nebo mezi (potencionálními) Klienty navzájem. Tato politika uvádí oblasti možných střetů zájmů a opatření, která zamezují jejich negativnímu vlivu na zájmy Klientů. Obecně mohou vést ke střetům zájmů např. takové situace, kdy by poskytovatel investičních služeb, případně jeho zaměstnanec, vázaný zástupce či investiční zprostředkovatel: mohl získat finanční prospěch nebo se vyhnout finanční ztrátě na úkor Klienta, měl na výsledku služby poskytované Klientovi/prováděného obchodu zájem odlišný od klientova zájmu na výsledku této služby/tohoto obchodu, měl motivaci upřednostnit zájem jednoho Klienta nebo skupiny klientů před zájmy jiného Klienta nebo skupiny klientů, podnikal ve stejném oboru jako Klient (tzn. klient je konkurentem poskytovatele investičních služeb), dostával od jiné osoby, než je Klient, nebo této osobě poskytuje nebo poskytne, pobídku v souvislosti se službou poskytovanou Klientovi. Výše uvedené střety zájmů Banka řídí tak, aby nepříznivě neovlivňovaly zájmy Klientů. </w:t>
      </w:r>
    </w:p>
    <w:p w14:paraId="5100BC72" w14:textId="77777777" w:rsidR="00913985" w:rsidRDefault="00913985" w:rsidP="006D6C7C">
      <w:pPr>
        <w:pStyle w:val="Nadpis2"/>
        <w:numPr>
          <w:ilvl w:val="1"/>
          <w:numId w:val="13"/>
        </w:numPr>
        <w:tabs>
          <w:tab w:val="num" w:pos="425"/>
        </w:tabs>
        <w:ind w:left="425" w:hanging="425"/>
      </w:pPr>
      <w:r>
        <w:t>Banka informuje, že zavedla zejména tato opatření k prevenci: účinné postupy k zamezení či kontrole výměny informací mezi příslušnými osobami vykonávajícími činnosti, které s sebou nesou riziko střetu zájmů, pokud by výměna informací mohla poškodit zájmy jednoho nebo více klientů („čínské zdi“); samostatný dohled nad příslušnými osobami, mezi jejichž hlavní funkce patří výkon činností jménem klientů nebo poskytování služeb klientům, kdy zájmy těchto klientů mohou být ve střetu, včetně případů, kdy příslušné osoby zastupují odlišné zájmy (včetně zájmů Banky), jež mohou být ve střetu; zásady a postupy v oblasti odměňování zaměstnanců za účelem řízení střetu zájmů a dodržení pravidel jednání se klienty; opatření směřující k zabránění nebo omezení možnosti vykonávat nemístný vliv na způsob, kterým příslušná osoba uskutečňuje investiční nebo doplňkové služby nebo činnosti; opatření k zabránění nebo kontrole souběžného či postupného zapojení příslušné osoby do samostatných investičních nebo doplňkových služeb nebo činností, pokud takové zapojení může být na újmu řádnému řízení střetu zájmů.</w:t>
      </w:r>
    </w:p>
    <w:p w14:paraId="244A52DC" w14:textId="77777777" w:rsidR="00913985" w:rsidRPr="00981DD4" w:rsidRDefault="00913985" w:rsidP="006D6C7C">
      <w:pPr>
        <w:pStyle w:val="Nadpis2"/>
        <w:numPr>
          <w:ilvl w:val="1"/>
          <w:numId w:val="13"/>
        </w:numPr>
        <w:tabs>
          <w:tab w:val="num" w:pos="425"/>
        </w:tabs>
        <w:ind w:left="425" w:hanging="425"/>
      </w:pPr>
      <w:r>
        <w:t xml:space="preserve">Pokud ani přijatá opatření k prevenci a řízení střetů zájmů nejsou dostatečná, aby s přiměřenou jistotou zajistila, že rizikům poškození zájmů klienta bude zabráněno, sdělí Banka klientovi obecnou povahu a zdroje střetů zájmů, jakož i rizika, která pro klienta v důsledku střetů zájmů vznikají, a opatření přijatá ke zmírnění rizik dříve, než provede obchod jménem klienta, a </w:t>
      </w:r>
      <w:r w:rsidRPr="00981DD4">
        <w:t xml:space="preserve">umožní tak klientovi učinit informované rozhodnutí o službě, u níž ke střetu zájmů dochází. </w:t>
      </w:r>
    </w:p>
    <w:p w14:paraId="5259758C" w14:textId="77777777" w:rsidR="00913985" w:rsidRPr="00981DD4" w:rsidRDefault="00913985" w:rsidP="006D6C7C">
      <w:pPr>
        <w:pStyle w:val="Nadpis2"/>
        <w:numPr>
          <w:ilvl w:val="1"/>
          <w:numId w:val="13"/>
        </w:numPr>
        <w:tabs>
          <w:tab w:val="num" w:pos="425"/>
        </w:tabs>
        <w:ind w:left="425" w:hanging="425"/>
      </w:pPr>
      <w:r w:rsidRPr="00981DD4">
        <w:t>Pokud však ani tento postup nepostačuje k tomu, aby bylo nepříznivému vlivu střetu zájmů na zájmy klienta spolehlivě zamezeno, zavede Banka opatření ke snížení rizika jeho negativního dopadu na klienta.</w:t>
      </w:r>
    </w:p>
    <w:p w14:paraId="4CFF5B78" w14:textId="77777777" w:rsidR="00913985" w:rsidRPr="00981DD4" w:rsidRDefault="00913985" w:rsidP="006D6C7C">
      <w:pPr>
        <w:pStyle w:val="Nadpis2"/>
        <w:numPr>
          <w:ilvl w:val="1"/>
          <w:numId w:val="13"/>
        </w:numPr>
        <w:tabs>
          <w:tab w:val="num" w:pos="425"/>
        </w:tabs>
        <w:ind w:left="425" w:hanging="425"/>
      </w:pPr>
      <w:r w:rsidRPr="00981DD4">
        <w:t>Banka poskytne Klientovi na jeho žádost podrobnosti týkající se střetu zájmů.</w:t>
      </w:r>
    </w:p>
    <w:p w14:paraId="7B64DBBD" w14:textId="77777777" w:rsidR="00913985" w:rsidRPr="00981DD4" w:rsidRDefault="00913985" w:rsidP="006D6C7C">
      <w:pPr>
        <w:pStyle w:val="Nadpis1"/>
        <w:numPr>
          <w:ilvl w:val="0"/>
          <w:numId w:val="13"/>
        </w:numPr>
        <w:tabs>
          <w:tab w:val="num" w:pos="425"/>
        </w:tabs>
        <w:ind w:left="425" w:hanging="425"/>
      </w:pPr>
      <w:r w:rsidRPr="00981DD4">
        <w:t>INFORMACE O OCHRANĚ MAJETKU KLIENTA</w:t>
      </w:r>
    </w:p>
    <w:p w14:paraId="674ED6FF" w14:textId="77777777" w:rsidR="00913985" w:rsidRPr="00C60A44" w:rsidRDefault="00913985" w:rsidP="006D6C7C">
      <w:pPr>
        <w:pStyle w:val="Nadpis2"/>
        <w:numPr>
          <w:ilvl w:val="1"/>
          <w:numId w:val="13"/>
        </w:numPr>
        <w:tabs>
          <w:tab w:val="num" w:pos="425"/>
        </w:tabs>
        <w:spacing w:after="60"/>
        <w:ind w:left="425" w:hanging="425"/>
      </w:pPr>
      <w:r w:rsidRPr="00C60A44">
        <w:t>Ochrana Nástrojů (a peněžních prostředků) Klienta</w:t>
      </w:r>
    </w:p>
    <w:p w14:paraId="569ADFDC" w14:textId="77777777" w:rsidR="00913985" w:rsidRPr="00981DD4" w:rsidRDefault="00913985" w:rsidP="0018186F">
      <w:pPr>
        <w:spacing w:after="60"/>
        <w:ind w:left="425"/>
      </w:pPr>
      <w:r w:rsidRPr="00981DD4">
        <w:t xml:space="preserve">Nástroje mohou být jménem Banky drženy u třetí strany – </w:t>
      </w:r>
      <w:r w:rsidRPr="00C60A44">
        <w:t>subcustodianů/depozitářů</w:t>
      </w:r>
      <w:r w:rsidRPr="00981DD4">
        <w:t xml:space="preserve">. Banka při výběru subcustodiana/depozitáře postupuje s odbornou péčí, přičemž vezme v úvahu zejména jeho zkušenosti, pověst na finančním trhu a právní požadavky, kterými se nakládání s Nástroji u subcustodiana/depozitáře řídí, a které by mohly práva Klienta nepříznivě ovlivnit. </w:t>
      </w:r>
    </w:p>
    <w:p w14:paraId="0E8AD1FE" w14:textId="77777777" w:rsidR="00913985" w:rsidRDefault="00913985" w:rsidP="0018186F">
      <w:pPr>
        <w:spacing w:after="60"/>
        <w:ind w:left="425"/>
      </w:pPr>
      <w:r w:rsidRPr="00981DD4">
        <w:t xml:space="preserve">V případech, kdy jsou Nástroje drženy jménem Banky u subcustodianů/depozitářů, ručí Banka za škodu vzniklou ze strany těchto subcustodianů/depozitářů, pokud je nepečlivě vybrala nebo na jejich činnost dostatečně nedohlížela. </w:t>
      </w:r>
      <w:r w:rsidRPr="00981DD4">
        <w:lastRenderedPageBreak/>
        <w:t>Oprávněné nároky Klientů budou tedy v těchto případech uspokojeny přímo Bankou. Insolvence subcustodiana/depozitáře může mít za následek, že Klientovi bude znemožněno po přechodnou dobu nakládat s Nástroji. V případě zahraničních právních řádů pak mohou nastat i důsledky, které uvádíme</w:t>
      </w:r>
      <w:r>
        <w:t xml:space="preserve"> níže.</w:t>
      </w:r>
    </w:p>
    <w:p w14:paraId="7EA6B34B" w14:textId="77777777" w:rsidR="00913985" w:rsidRDefault="00913985" w:rsidP="0018186F">
      <w:pPr>
        <w:spacing w:after="60"/>
        <w:ind w:left="425"/>
      </w:pPr>
      <w:r>
        <w:t>Nástroje jsou u subcustodianů/depozitářů v zahraničí zpravidla drženy na zákaznických sběrných účtech, tedy účtech, kde jsou Nástroje vedeny společně. Tyto účty bývají vedeny na jméno bank/custodianů. Účty mohou být označeny a vedeny jako zákaznické, pokud to právní řád, kterým se řídí subcustodian/depozitář, a provozní pravidla subcustodiana/depozitáře umožňují. Klient má nárok na příslušné Nástroje držené na zákaznickém sběrném účtu, které odpovídají stavu na jeho majetkovém účtu u Banky.</w:t>
      </w:r>
    </w:p>
    <w:p w14:paraId="5C394306" w14:textId="77777777" w:rsidR="00913985" w:rsidRDefault="00913985" w:rsidP="0018186F">
      <w:pPr>
        <w:spacing w:after="60"/>
        <w:ind w:left="425"/>
      </w:pPr>
      <w:r>
        <w:t>Nakládání s Nástroji drženými u zahraničních subcustodianů/depozitářů podléhá příslušnému zahraničnímu právnímu řádu a tamním obchodním, resp. tržním zvyklostem. Od tohoto režimu se odvíjí charakter účtu (zda může být veden jako zákaznický či nikoli), potažmo práva Klienta ve vztahu k jeho Nástrojům a rovněž práva depozitářů k investičním nástrojům u nich drženým. V těchto případech existuje riziko, že se Nástroje vedené na účtech neoznačených jako zákaznické stanou v případě úpadku subcustodiana/depozitáře součástí majetkové podstaty a v těchto případech bude nutné příslušné pohledávky uplatnit v úpadkovém řízení. Toto riziko je však zásadně omezeno tím/skutečností, že Banka vede navazující evidenci ve formě majetkových účtů na jméno jednotlivých Klientů (viz výše). Výpisy z této evidence jsou dokladem o vlastnickém právu Klientů k příslušným Nástrojům.</w:t>
      </w:r>
    </w:p>
    <w:p w14:paraId="1BCD23E9" w14:textId="77777777" w:rsidR="00913985" w:rsidRDefault="00913985" w:rsidP="0018186F">
      <w:pPr>
        <w:spacing w:after="60"/>
        <w:ind w:left="425"/>
      </w:pPr>
      <w:r>
        <w:t>Zahraniční právní řády, kterými se řídí poměry subcustodiana/depozitáře, zpravidla poskytují ochranu zákazníkům v tom směru, že je oddělen majetek Klientů od majetku subcustodiana/depozitáře. Pokud je subcustodian/depozitář v úpadku, majetek Klientů nespadne do majetkové podstaty. Není však vyloučeno, že některý z právních řádů (především v zemích mimo EU) neposkytuje dostatečné prostředky pro odlišení majetku Klientů a subcustodiana/depozitáře nebo z nějakého důvodu nemůže dojít k takovému odlišení (např. depozitář poruší své povinnosti a nevede řádnou evidenci). V takovém případě není vyloučeno riziko, že Nástroje na zákaznickém účtu budou zahrnuty do majetkové podstaty a Banka je bude prostřednictvím subcustodiana/depozitáře vymáhat v rámci konkurzního řízení ve prospěch Klienta jako věřitele nedisponujícího přednostními právy na uspokojení svých pohledávek.</w:t>
      </w:r>
    </w:p>
    <w:p w14:paraId="27E7563F" w14:textId="77777777" w:rsidR="00913985" w:rsidRDefault="00913985" w:rsidP="0018186F">
      <w:pPr>
        <w:spacing w:after="60"/>
        <w:ind w:left="425"/>
      </w:pPr>
      <w:r>
        <w:t>Práva Klientů k Nástrojům drženým u subcustodiana/depozitáře v zemi mimo EU se mohou odpovídajícím způsobem lišit.</w:t>
      </w:r>
    </w:p>
    <w:p w14:paraId="70E475FE" w14:textId="77777777" w:rsidR="00913985" w:rsidRDefault="00913985" w:rsidP="0018186F">
      <w:pPr>
        <w:spacing w:after="60"/>
        <w:ind w:left="425"/>
      </w:pPr>
      <w:r>
        <w:t>Banka může k zajištění splatného dluhu Klienta vůči Bance uplatnit zadržovací právo k Nástrojům (a peněžních prostředků) Klienta, které jí svěřil na základě příslušné smlouvy, za účelem poskytnutí investičních služeb. Toto zadržovací právo vzniklé v těchto případech zaniká za podmínek stanovených zákonem.</w:t>
      </w:r>
    </w:p>
    <w:p w14:paraId="078F7994" w14:textId="77777777" w:rsidR="00913985" w:rsidRDefault="00913985" w:rsidP="0018186F">
      <w:pPr>
        <w:spacing w:after="60"/>
        <w:ind w:left="425"/>
      </w:pPr>
      <w:r>
        <w:t>Banka je oprávněna jednostranně započíst jakýkoli dluh Klienta proti dluhu Banky, a to bez ohledu na místo platby a měnu jakéhokoli z dluhů Klienta (a pro tento účel je Banka oprávněna provést nezbytnou konverzi do jakékoli měny) a toto započtení Klientovi oznámit nejpozději bez zbytečného odkladu po jeho provedení.</w:t>
      </w:r>
    </w:p>
    <w:p w14:paraId="2637D040" w14:textId="77777777" w:rsidR="00913985" w:rsidRDefault="00913985" w:rsidP="0018186F">
      <w:pPr>
        <w:spacing w:after="120"/>
        <w:ind w:left="425"/>
      </w:pPr>
      <w:r>
        <w:t>Subcustodiani/depozitáři mohou mít v některých případech vůči Nástrojům Klientů, které jsou u subcustodianů/depozitářů drženy na zákaznických sběrných účtech, tedy účtech, kde jsou Nástroje Klientů vedeny společně, zřízená zajišťovací, zástavní práva či práva na započtení.</w:t>
      </w:r>
    </w:p>
    <w:p w14:paraId="463CE48B" w14:textId="77777777" w:rsidR="00913985" w:rsidRDefault="00913985" w:rsidP="006D6C7C">
      <w:pPr>
        <w:pStyle w:val="Nadpis2"/>
        <w:numPr>
          <w:ilvl w:val="1"/>
          <w:numId w:val="13"/>
        </w:numPr>
        <w:tabs>
          <w:tab w:val="num" w:pos="425"/>
        </w:tabs>
        <w:ind w:left="425" w:hanging="425"/>
      </w:pPr>
      <w:r>
        <w:t>Poučení o záručním systému</w:t>
      </w:r>
    </w:p>
    <w:p w14:paraId="2918724D" w14:textId="77777777" w:rsidR="00913985" w:rsidRPr="001376F0" w:rsidRDefault="00913985" w:rsidP="0018186F">
      <w:pPr>
        <w:spacing w:after="120"/>
        <w:ind w:left="425"/>
      </w:pPr>
      <w:r>
        <w:t>Banka jako bankovní obchodník s cennými papíry se účastní záručního systému zabezpečovaného Garančním fondem obchodníků s cennými papíry („</w:t>
      </w:r>
      <w:r w:rsidRPr="00CE1180">
        <w:rPr>
          <w:b/>
        </w:rPr>
        <w:t>GFO</w:t>
      </w:r>
      <w:r>
        <w:t xml:space="preserve">“). GFO je právnickou osobou, která poskytuje náhrady za majetek Klienta, který mu nemohl být vydán z důvodů přímo souvisejících s finanční situací obchodníka s cennými papíry. Náhrada se poskytuje za podmínek stanovených zákona č. 256/2004 Sb., o podnikání na kapitálovém trhu, ve výši 90 % hodnoty majetku Klienta ke dni, ke kterému GFO obdrží oznámení ČNB o tom, že obchodník s cennými papíry z důvodu své finanční situace není schopen plnit své dluhy spočívající ve vydání majetku Klientům a není pravděpodobné, že je splní do 1 roku, nebo že soud vydal rozhodnutí o úpadku obchodníka s cennými papíry nebo vydal jiné rozhodnutí, které má za následek, že Zákazníci se nemohou účinně </w:t>
      </w:r>
      <w:r w:rsidRPr="001376F0">
        <w:t>domáhat vydání svého majetku vůči němu. Maximální výše náhrady pro jednoho Klienta u jednoho obchodníka s cennými papíry činí korunový ekvivalent částky 20.000 EUR.</w:t>
      </w:r>
      <w:r w:rsidR="0018186F">
        <w:t xml:space="preserve"> </w:t>
      </w:r>
      <w:r w:rsidRPr="001376F0">
        <w:t>Výše uvedené informace jsou pouze obecného charakteru. Další informace o GFO a záručním systému jsou dostupné internetových stránkách GFO (</w:t>
      </w:r>
      <w:hyperlink r:id="rId35" w:history="1">
        <w:r w:rsidRPr="001376F0">
          <w:rPr>
            <w:rStyle w:val="Hypertextovodkaz"/>
          </w:rPr>
          <w:t>www.gfo.cz</w:t>
        </w:r>
      </w:hyperlink>
      <w:r w:rsidRPr="001376F0">
        <w:t>).</w:t>
      </w:r>
    </w:p>
    <w:p w14:paraId="29E5CA97" w14:textId="77777777" w:rsidR="00913985" w:rsidRPr="001376F0" w:rsidRDefault="00913985" w:rsidP="006D6C7C">
      <w:pPr>
        <w:pStyle w:val="Nadpis1"/>
        <w:numPr>
          <w:ilvl w:val="0"/>
          <w:numId w:val="13"/>
        </w:numPr>
        <w:tabs>
          <w:tab w:val="num" w:pos="425"/>
        </w:tabs>
        <w:ind w:left="425" w:hanging="425"/>
      </w:pPr>
      <w:r w:rsidRPr="001376F0">
        <w:t>NÁKLADY A SOUVISEJÍCÍ POPLATKY</w:t>
      </w:r>
    </w:p>
    <w:p w14:paraId="6F99DBCB" w14:textId="77777777" w:rsidR="00913985" w:rsidRPr="001376F0" w:rsidRDefault="00913985" w:rsidP="0018186F">
      <w:pPr>
        <w:spacing w:after="120"/>
        <w:ind w:left="425"/>
      </w:pPr>
      <w:r w:rsidRPr="001376F0">
        <w:t xml:space="preserve">Ve spojení s poskytovanými Službami nese Klient náklady a související poplatky za Službu účtované ze strany Banky nebo ze strany jiných osob, které Klientovi poskytují služby v souvislosti se Službou ze strany Banky, náklady a související poplatky za Nástroj účtované. Jednotlivé položky těchto nákladů a poplatků </w:t>
      </w:r>
      <w:r w:rsidRPr="00C60A44">
        <w:t>jsou uvedeny Ceníku</w:t>
      </w:r>
      <w:r w:rsidRPr="001376F0">
        <w:t>. Konkrétní výši nákladu v souvislosti s investiční službou sdělí Banka klientovi před poskytnutím investiční služby a také ji nalezne navazujících výpisech.</w:t>
      </w:r>
    </w:p>
    <w:p w14:paraId="7C91EBE2" w14:textId="77777777" w:rsidR="00913985" w:rsidRPr="001376F0" w:rsidRDefault="00913985" w:rsidP="006D6C7C">
      <w:pPr>
        <w:pStyle w:val="Nadpis1"/>
        <w:numPr>
          <w:ilvl w:val="0"/>
          <w:numId w:val="13"/>
        </w:numPr>
        <w:tabs>
          <w:tab w:val="num" w:pos="425"/>
        </w:tabs>
        <w:ind w:left="425" w:hanging="425"/>
      </w:pPr>
      <w:r w:rsidRPr="001376F0">
        <w:t>Informace týkající se Evidence nástrojů</w:t>
      </w:r>
    </w:p>
    <w:p w14:paraId="05134819" w14:textId="77777777" w:rsidR="00913985" w:rsidRPr="00F34C40" w:rsidRDefault="00913985" w:rsidP="0018186F">
      <w:pPr>
        <w:spacing w:after="120"/>
        <w:ind w:left="425"/>
      </w:pPr>
      <w:r w:rsidRPr="001376F0">
        <w:lastRenderedPageBreak/>
        <w:t>Banka vede: (a) evidenci navazující na centrální evidenci zaknihovaných cenných papírů vedenou centrálním depozitářem na účtech vlastníků, (b) samostatnou evidenci investičních nástrojů na účtech vlastníků nebo účtech zákazníků a (c) evidenci navazující na samostatnou evidenci může vést na účtech vlastníků nebo účtech zákazníků s tím, že účet zákazníků vede Banka v evidenci navazující na samostatnou evidenci investičních nástrojů pro:</w:t>
      </w:r>
      <w:r w:rsidR="0018186F">
        <w:t xml:space="preserve"> </w:t>
      </w:r>
      <w:r w:rsidRPr="001376F0">
        <w:t>(i) zahraniční osobu, která vede navazující evidenci v zahraničí podle zahraničního právního řádu, jejíž činnost odpovídá činnosti obchodníka s cennými papíry, který má v povolení ke své činnosti uvedenou investiční službu úschova a správa investičních nástrojů včetně souvisejících služeb, nebo osobě, která je oprávněna podle zákona upravujícího investiční společnosti a investiční fondy vykonávat úschovu cenných papírů nebo vedení evidence zaknihovaných cenných papírů investičního fondu, jde-li o evidenci podílových listů nebo zakladatelských nebo investičních akcií vydávaných investičním fondem, a/nebo banky, která má v</w:t>
      </w:r>
      <w:r w:rsidRPr="00F34C40">
        <w:t xml:space="preserve"> bankovní licenci uvedenou investiční službu úschova a správa investičních nástrojů včetně souvisejících služeb, nebo</w:t>
      </w:r>
      <w:r>
        <w:t xml:space="preserve"> (ii) </w:t>
      </w:r>
      <w:r w:rsidRPr="00F34C40">
        <w:t>pro zahraniční centrální depozitář nebo zahraniční osobu oprávněnou vést evidenci investičních nástrojů, která vede navazující evidenci v zahraničí podle zahraničního právního řádu. Evidenci zaknihovaných cenných papírů vede Banka na majetkových účtech, kterými mohou být účet vlastníka nebo účet zákazníků.</w:t>
      </w:r>
      <w:r>
        <w:t xml:space="preserve"> </w:t>
      </w:r>
      <w:r w:rsidRPr="00F34C40">
        <w:t>Na účtu vlastníka jsou evidovány zaknihované cenné papíry toho, pro něhož byl účet zřízen. Má se za to, že vlastníkem zaknihovaného cenného papíru je osoba, na jejímž účtu vlastníka je zaknihovaný cenný papír evidován.</w:t>
      </w:r>
      <w:r>
        <w:t xml:space="preserve"> </w:t>
      </w:r>
      <w:r w:rsidRPr="00F34C40">
        <w:t>Na účtu zákazníků jsou evidovány zaknihované cenné papiry osob, které zaknihovaný cenný papír svěřily tomu, pro něhož byl účet zákazníků zřízen. Ten, pro koho byl účet zákazníků zřízen, není vlastníkem zaknihovaných cenných papírů evidovaných na tomto účtu.</w:t>
      </w:r>
    </w:p>
    <w:p w14:paraId="4FC19876" w14:textId="77777777" w:rsidR="00913985" w:rsidRPr="00A147BF" w:rsidRDefault="00913985" w:rsidP="006D6C7C">
      <w:pPr>
        <w:pStyle w:val="Nadpis1"/>
        <w:numPr>
          <w:ilvl w:val="0"/>
          <w:numId w:val="13"/>
        </w:numPr>
        <w:tabs>
          <w:tab w:val="num" w:pos="425"/>
        </w:tabs>
        <w:ind w:left="425" w:hanging="425"/>
      </w:pPr>
      <w:r w:rsidRPr="00F6663F">
        <w:t>Portfoliový účet</w:t>
      </w:r>
      <w:r w:rsidRPr="00A147BF">
        <w:t xml:space="preserve"> (případně investiční účet)</w:t>
      </w:r>
    </w:p>
    <w:p w14:paraId="5102B53E" w14:textId="77777777" w:rsidR="00913985" w:rsidRDefault="00913985" w:rsidP="0018186F">
      <w:pPr>
        <w:spacing w:after="60"/>
        <w:ind w:left="425"/>
      </w:pPr>
      <w:r w:rsidRPr="00A147BF">
        <w:t xml:space="preserve">Banka zřídí a povede pro Klienta </w:t>
      </w:r>
      <w:r w:rsidRPr="00F6663F">
        <w:t>Portfoliový účet</w:t>
      </w:r>
      <w:r>
        <w:t xml:space="preserve"> (případně Investiční účet; společně „</w:t>
      </w:r>
      <w:r w:rsidRPr="00F6663F">
        <w:rPr>
          <w:b/>
          <w:bCs/>
        </w:rPr>
        <w:t>Portfoliový účet</w:t>
      </w:r>
      <w:r>
        <w:t>“)</w:t>
      </w:r>
      <w:r w:rsidRPr="00F34C40">
        <w:t xml:space="preserve">, a to na jméno Klienta. Klient se zavazuje poskytnout Bance všechny nezbytné informace pro jeho založení. Klient je povinen sdělit Bance též údaje identifikující jeho účet vlastníka </w:t>
      </w:r>
      <w:r>
        <w:t>Nástrojů</w:t>
      </w:r>
      <w:r w:rsidRPr="00F34C40">
        <w:t xml:space="preserve"> u </w:t>
      </w:r>
      <w:r>
        <w:t>daného s</w:t>
      </w:r>
      <w:r w:rsidRPr="00F34C40">
        <w:t>právce evidence, pokud Klient má takovýto účet.</w:t>
      </w:r>
    </w:p>
    <w:p w14:paraId="6FEFE536" w14:textId="77777777" w:rsidR="00913985" w:rsidRPr="00F34C40" w:rsidRDefault="00913985" w:rsidP="0018186F">
      <w:pPr>
        <w:spacing w:after="60"/>
        <w:ind w:left="425"/>
      </w:pPr>
      <w:r w:rsidRPr="00F6663F">
        <w:t>Podúčet hotovosti</w:t>
      </w:r>
      <w:r>
        <w:t xml:space="preserve"> (tj. </w:t>
      </w:r>
      <w:r w:rsidRPr="004E1C63">
        <w:t>podúčet Portfoliového účtu, na kterém Banka eviduje Hotovost</w:t>
      </w:r>
      <w:r>
        <w:t>)</w:t>
      </w:r>
      <w:r w:rsidRPr="00F34C40">
        <w:t xml:space="preserve"> neslouží k provádění běžného </w:t>
      </w:r>
      <w:r w:rsidRPr="00A526DD">
        <w:t xml:space="preserve">platebního styku Klienta. </w:t>
      </w:r>
      <w:r w:rsidRPr="00CE1180">
        <w:t xml:space="preserve">Klient vkládá peněžní prostředky na Podúčet hotovosti formou bankovního převodu, a to na účty uvedené </w:t>
      </w:r>
      <w:r w:rsidRPr="00A526DD">
        <w:t>dle Smlouvy.</w:t>
      </w:r>
      <w:r>
        <w:t xml:space="preserve"> </w:t>
      </w:r>
      <w:r w:rsidRPr="00F34C40">
        <w:t>Prostředky vložené Klientem budou na Podúčet hotovosti připsány k datu jejich připsání na účet Banky.</w:t>
      </w:r>
      <w:r>
        <w:t xml:space="preserve"> </w:t>
      </w:r>
      <w:r w:rsidRPr="00F34C40">
        <w:t>Klient může nakládat s prostředky počínaje okamžikem jejich připsání na Podúčet hotovosti, pokud Smlouva nestanoví jinak.</w:t>
      </w:r>
      <w:r>
        <w:t xml:space="preserve"> </w:t>
      </w:r>
      <w:r w:rsidRPr="00F34C40">
        <w:t xml:space="preserve">Klient může převést peněžní prostředky z Podúčtu hotovosti pouze na </w:t>
      </w:r>
      <w:r>
        <w:t xml:space="preserve">jeho </w:t>
      </w:r>
      <w:r w:rsidRPr="00F34C40">
        <w:t>Peněžní účet uveden v okamžiku zaúčtování tohoto převodu Bankou.</w:t>
      </w:r>
      <w:r>
        <w:t xml:space="preserve"> </w:t>
      </w:r>
      <w:r w:rsidRPr="00F34C40">
        <w:t xml:space="preserve">Pokud zůstatek </w:t>
      </w:r>
      <w:r>
        <w:t>peněžních prostředků</w:t>
      </w:r>
      <w:r w:rsidRPr="00F34C40">
        <w:t xml:space="preserve"> nedosahuje výše </w:t>
      </w:r>
      <w:r>
        <w:t>d</w:t>
      </w:r>
      <w:r w:rsidRPr="00F34C40">
        <w:t xml:space="preserve">luhů, je Klient povinen doplnit </w:t>
      </w:r>
      <w:r>
        <w:t>peněžní prostředky</w:t>
      </w:r>
      <w:r w:rsidRPr="00F34C40">
        <w:t xml:space="preserve"> o částku postačující ke krytí </w:t>
      </w:r>
      <w:r>
        <w:t>d</w:t>
      </w:r>
      <w:r w:rsidRPr="00F34C40">
        <w:t>luhů. Klient může písemně udělit Bance za účelem plnění Smlouvy právo inkasa peněžních prostředků z Peněžního účtu, pokud Banka v dané měně může inkaso akceptovat. Na základě inkasa Banka bude oprávněna sama převádět prostředky z Peněžního účtu ve prospěch Bankou zvoleného účtu, a to na základě uděleného Pokynu, a to v částce uvedené v Pokynu a bez ohledu na případné jiné příkazy k nakládání s prostředky na Peněžním účtu podané Klientem nebo jinými osobami oprávněnými nakládat s prostředky na Peněžním účtu. Inkaso je možné udělit Bance pouze SWIFTem nebo písemně prostřednictvím formuláře Banky.</w:t>
      </w:r>
      <w:r>
        <w:t xml:space="preserve"> </w:t>
      </w:r>
      <w:r w:rsidRPr="00F34C40">
        <w:t>Banka není povinna informovat Klienta o provedení inkasa podle tohoto odstavce.</w:t>
      </w:r>
    </w:p>
    <w:p w14:paraId="613932B7" w14:textId="77777777" w:rsidR="00913985" w:rsidRPr="00F34C40" w:rsidRDefault="00913985" w:rsidP="0018186F">
      <w:pPr>
        <w:spacing w:after="60"/>
        <w:ind w:left="425"/>
      </w:pPr>
      <w:r w:rsidRPr="00F34C40">
        <w:t xml:space="preserve">Zůstatky </w:t>
      </w:r>
      <w:r>
        <w:t>jsou</w:t>
      </w:r>
      <w:r w:rsidRPr="00F34C40">
        <w:t xml:space="preserve"> úročeny úrokovou sazbou vyhlašovanou Bankou pro běžné účty, pokud si strany Smlouvy nesjednají</w:t>
      </w:r>
      <w:r>
        <w:t xml:space="preserve"> jinak</w:t>
      </w:r>
      <w:r w:rsidRPr="00F34C40">
        <w:t>, přičemž úroky budou připisovány na Portfoliový účet. Případný debetní zůstatek na Portfoliovém účtu vzniklý v důsledku zúčtování dluhů Klienta vůči Bance v souvislosti s touto Smlouvou bude úročen sazbou vyhlašovanou Bankou pro nepovolený debet na běžném účtu.</w:t>
      </w:r>
    </w:p>
    <w:p w14:paraId="6A5B781C" w14:textId="77777777" w:rsidR="00913985" w:rsidRPr="00F34C40" w:rsidRDefault="00913985" w:rsidP="0018186F">
      <w:pPr>
        <w:spacing w:after="60"/>
        <w:ind w:left="425"/>
      </w:pPr>
      <w:r>
        <w:t>Peněžní prostředky</w:t>
      </w:r>
      <w:r w:rsidRPr="00F34C40">
        <w:t xml:space="preserve"> bud</w:t>
      </w:r>
      <w:r>
        <w:t>ou</w:t>
      </w:r>
      <w:r w:rsidRPr="00F34C40">
        <w:t xml:space="preserve"> připsán</w:t>
      </w:r>
      <w:r>
        <w:t>y</w:t>
      </w:r>
      <w:r w:rsidRPr="00F34C40">
        <w:t xml:space="preserve"> na Portfoliový účet v den, kdy bude Bance umožněno s</w:t>
      </w:r>
      <w:r>
        <w:t xml:space="preserve"> peněžními prostředky </w:t>
      </w:r>
      <w:r w:rsidRPr="00F34C40">
        <w:t xml:space="preserve">nakládat. </w:t>
      </w:r>
      <w:r>
        <w:t>Nástroje</w:t>
      </w:r>
      <w:r w:rsidRPr="00F34C40">
        <w:t xml:space="preserve"> budou připsány na Portfoliový účet v den, kdy Banka získá k</w:t>
      </w:r>
      <w:r>
        <w:t> Nástrojům přístup</w:t>
      </w:r>
      <w:r w:rsidRPr="00F34C40">
        <w:t>. Klient je oprávněn nakládat s</w:t>
      </w:r>
      <w:r w:rsidR="0018186F">
        <w:t xml:space="preserve"> </w:t>
      </w:r>
      <w:r>
        <w:t xml:space="preserve">peněžními prostředky </w:t>
      </w:r>
      <w:r w:rsidRPr="00F34C40">
        <w:t xml:space="preserve">nebo </w:t>
      </w:r>
      <w:r>
        <w:t>Nástroji</w:t>
      </w:r>
      <w:r w:rsidRPr="00F34C40">
        <w:t xml:space="preserve"> počínaje dnem jejich připsání na Portfoliový účet.</w:t>
      </w:r>
    </w:p>
    <w:p w14:paraId="521BBE03" w14:textId="77777777" w:rsidR="00913985" w:rsidRPr="00F34C40" w:rsidRDefault="00913985" w:rsidP="0018186F">
      <w:pPr>
        <w:spacing w:after="60"/>
        <w:ind w:left="425"/>
      </w:pPr>
      <w:r w:rsidRPr="00F34C40">
        <w:t xml:space="preserve">Banka je oprávněna provést bez dalšího předchozího oznámení úhradu dluhů Klienta vůči Bance vzniklé v souvislosti s touto Smlouvou z prostředků evidovaných na Podúčtu hotovosti, nebo provést úhradu svého dluhu vůči Klientovi vzniklého v souvislosti s touto Smlouvou připsáním dlužné částky na Podúčet hotovosti. Není-li na Podúčtu hotovosti dostatek </w:t>
      </w:r>
      <w:r>
        <w:t xml:space="preserve">peněžních </w:t>
      </w:r>
      <w:r w:rsidRPr="00F34C40">
        <w:t xml:space="preserve">prostředků, Banka je oprávněna provést úhradu této dlužné částky z jiných účtů Klienta vedených Bankou, a to bez dalšího souhlasu Klienta. Pro přepočet bude použit kurz </w:t>
      </w:r>
      <w:r>
        <w:t>vyhlašovaný Bankou</w:t>
      </w:r>
      <w:r w:rsidRPr="00F34C40">
        <w:t>. Banka je oprávněna provést úhradu dluhů Klienta vůči Bance podle první věty tohoto odstavce i v případě, že v důsledku zúčtování těchto dluhů bude zůstatek na Podúčtu hotovosti vykazovat debetní zůstatek.</w:t>
      </w:r>
    </w:p>
    <w:p w14:paraId="0D554BE4" w14:textId="77777777" w:rsidR="00913985" w:rsidRPr="00A37B3F" w:rsidRDefault="00913985" w:rsidP="0018186F">
      <w:pPr>
        <w:spacing w:after="60"/>
        <w:ind w:left="425"/>
      </w:pPr>
      <w:r w:rsidRPr="00F34C40">
        <w:t xml:space="preserve">Klient je oprávněn požádat Banku o převod </w:t>
      </w:r>
      <w:r>
        <w:t>Nástrojů</w:t>
      </w:r>
      <w:r w:rsidRPr="00F34C40">
        <w:t xml:space="preserve"> z Podúčtu cenných papírů na účet jiného </w:t>
      </w:r>
      <w:r>
        <w:t>s</w:t>
      </w:r>
      <w:r w:rsidRPr="00F34C40">
        <w:t xml:space="preserve">právce evidence (a naopak), který je oprávněn </w:t>
      </w:r>
      <w:r>
        <w:t>Nástroje</w:t>
      </w:r>
      <w:r w:rsidRPr="00F34C40">
        <w:t xml:space="preserve"> Klienta držet, za předpokladu, že Klient sdělil Bance všechny potřebné informace. </w:t>
      </w:r>
      <w:r w:rsidRPr="00A37B3F">
        <w:t>Banka není oprávněna využívat Nástroje vedené na Podúčtu cenných papírů k obchodům na vlastní účet.</w:t>
      </w:r>
    </w:p>
    <w:p w14:paraId="1C4D124B" w14:textId="77777777" w:rsidR="00913985" w:rsidRPr="00CE1180" w:rsidRDefault="00913985" w:rsidP="0018186F">
      <w:pPr>
        <w:spacing w:after="60"/>
        <w:ind w:left="425"/>
        <w:rPr>
          <w:color w:val="FF0000"/>
          <w:highlight w:val="yellow"/>
        </w:rPr>
      </w:pPr>
      <w:r w:rsidRPr="00CE1180">
        <w:t xml:space="preserve">Informace o uzavření Obchodu </w:t>
      </w:r>
      <w:r w:rsidRPr="00A37B3F">
        <w:t>(„</w:t>
      </w:r>
      <w:r w:rsidRPr="00CE1180">
        <w:rPr>
          <w:b/>
        </w:rPr>
        <w:t>Report</w:t>
      </w:r>
      <w:r w:rsidRPr="00CE1180">
        <w:t>“) bude Banka zasílat Klientovi ve formě</w:t>
      </w:r>
      <w:r>
        <w:t xml:space="preserve"> a frekvenci</w:t>
      </w:r>
      <w:r w:rsidRPr="00CE1180">
        <w:t xml:space="preserve"> </w:t>
      </w:r>
      <w:r w:rsidRPr="00A37B3F">
        <w:t>sjednané ve Smlouvě</w:t>
      </w:r>
      <w:r w:rsidRPr="00CE1180">
        <w:t xml:space="preserve">, a to bez zbytečného odkladu po uzavření Obchodu nebo </w:t>
      </w:r>
      <w:r w:rsidRPr="00A37B3F">
        <w:t>jeho vypořádání</w:t>
      </w:r>
      <w:r w:rsidRPr="00CE1180">
        <w:t>.</w:t>
      </w:r>
      <w:r>
        <w:t xml:space="preserve"> </w:t>
      </w:r>
    </w:p>
    <w:p w14:paraId="53C37E05" w14:textId="77777777" w:rsidR="00913985" w:rsidRPr="00F6663F" w:rsidRDefault="00913985" w:rsidP="0018186F">
      <w:pPr>
        <w:spacing w:after="60"/>
        <w:ind w:left="425"/>
      </w:pPr>
      <w:r w:rsidRPr="00F6663F">
        <w:t>Pokud bude předmětem Pokynu listinný Cenný papír převoditelný rubopisem, bude mezi Klientem a Bankou dohodnut způsob vyhotovení rubopisu, přičemž Klient tímto Banku zmocňuje, aby napsala na předmětný listinný Cenný papír převodní rubopis obsahující slova „za mne na řad“ nebo jinou doložku stejného významu.</w:t>
      </w:r>
    </w:p>
    <w:p w14:paraId="0DC65731" w14:textId="77777777" w:rsidR="00913985" w:rsidRPr="00F34C40" w:rsidRDefault="00913985" w:rsidP="0018186F">
      <w:pPr>
        <w:spacing w:after="120"/>
        <w:ind w:left="425"/>
      </w:pPr>
      <w:r w:rsidRPr="00F34C40">
        <w:lastRenderedPageBreak/>
        <w:t>Banka poskytne Klientovi na základě jeho žádosti:</w:t>
      </w:r>
      <w:r>
        <w:t xml:space="preserve"> </w:t>
      </w:r>
      <w:r w:rsidRPr="00C25B50">
        <w:t>informace</w:t>
      </w:r>
      <w:r w:rsidRPr="00F34C40">
        <w:t xml:space="preserve"> o třetích osobách, prostřednictvím nichž plní své povinnosti </w:t>
      </w:r>
      <w:r>
        <w:t xml:space="preserve">ze </w:t>
      </w:r>
      <w:r w:rsidRPr="00F34C40">
        <w:t>Smlouvy;</w:t>
      </w:r>
      <w:r>
        <w:t xml:space="preserve"> </w:t>
      </w:r>
      <w:r w:rsidRPr="00F34C40">
        <w:t xml:space="preserve">informace o umístění </w:t>
      </w:r>
      <w:r>
        <w:t>Nástrojů</w:t>
      </w:r>
      <w:r w:rsidRPr="00F34C40">
        <w:t xml:space="preserve"> Klienta u jednotlivých </w:t>
      </w:r>
      <w:r>
        <w:t>s</w:t>
      </w:r>
      <w:r w:rsidRPr="00F34C40">
        <w:t>právců evidence</w:t>
      </w:r>
      <w:r>
        <w:t xml:space="preserve">; </w:t>
      </w:r>
      <w:r w:rsidRPr="00F34C40">
        <w:t xml:space="preserve">informace týkající se Klienta a </w:t>
      </w:r>
      <w:r>
        <w:t>Nástrojů</w:t>
      </w:r>
      <w:r w:rsidRPr="00F34C40">
        <w:t>, které jsou evidovány v evidenci vedené</w:t>
      </w:r>
      <w:r>
        <w:t xml:space="preserve"> </w:t>
      </w:r>
      <w:r w:rsidRPr="0079737B">
        <w:t>Centrální</w:t>
      </w:r>
      <w:r>
        <w:t>m</w:t>
      </w:r>
      <w:r w:rsidRPr="0079737B">
        <w:t xml:space="preserve"> depozitář</w:t>
      </w:r>
      <w:r>
        <w:t>em</w:t>
      </w:r>
      <w:r w:rsidRPr="0079737B">
        <w:t xml:space="preserve"> cenných papírů</w:t>
      </w:r>
      <w:r>
        <w:t xml:space="preserve"> („</w:t>
      </w:r>
      <w:r w:rsidRPr="00CE1180">
        <w:rPr>
          <w:b/>
        </w:rPr>
        <w:t>CDCP</w:t>
      </w:r>
      <w:r>
        <w:t>“)</w:t>
      </w:r>
      <w:r w:rsidRPr="00F34C40">
        <w:t xml:space="preserve"> s tím, že Klient má</w:t>
      </w:r>
      <w:r>
        <w:t xml:space="preserve"> </w:t>
      </w:r>
      <w:r w:rsidRPr="00F34C40">
        <w:t xml:space="preserve">právo požádat Banku </w:t>
      </w:r>
      <w:r>
        <w:t xml:space="preserve">také </w:t>
      </w:r>
      <w:r w:rsidRPr="00F34C40">
        <w:t>o aktualizaci osobních údajů. Tyto údaje se mohou lišit od údajů Klienta vedených v evidenci Banky s tím, že Banka neodpovídá za správnost, úplnost a přesnost údajů vedených v evidenci CDCP.</w:t>
      </w:r>
    </w:p>
    <w:p w14:paraId="0D0BB052" w14:textId="77777777" w:rsidR="00913985" w:rsidRPr="00F6663F" w:rsidRDefault="00913985" w:rsidP="006D6C7C">
      <w:pPr>
        <w:pStyle w:val="Nadpis1"/>
        <w:numPr>
          <w:ilvl w:val="0"/>
          <w:numId w:val="13"/>
        </w:numPr>
        <w:tabs>
          <w:tab w:val="num" w:pos="425"/>
        </w:tabs>
        <w:ind w:left="425" w:hanging="425"/>
      </w:pPr>
      <w:r w:rsidRPr="00F6663F">
        <w:t>Vypořádání obchodů</w:t>
      </w:r>
    </w:p>
    <w:p w14:paraId="1477F223" w14:textId="77777777" w:rsidR="00913985" w:rsidRPr="00BD0DF0" w:rsidRDefault="00913985" w:rsidP="0018186F">
      <w:pPr>
        <w:spacing w:after="120"/>
        <w:ind w:left="425"/>
      </w:pPr>
      <w:r w:rsidRPr="00F34C40">
        <w:t xml:space="preserve">Banka obstará </w:t>
      </w:r>
      <w:r>
        <w:t>v</w:t>
      </w:r>
      <w:r w:rsidRPr="00F34C40">
        <w:t>ypořádání</w:t>
      </w:r>
      <w:r>
        <w:t xml:space="preserve"> O</w:t>
      </w:r>
      <w:r w:rsidRPr="00F34C40">
        <w:t xml:space="preserve">bchodu prostřednictvím </w:t>
      </w:r>
      <w:r>
        <w:t>s</w:t>
      </w:r>
      <w:r w:rsidRPr="00F34C40">
        <w:t>právce evidence, a to vždy v souladu s pravidly a zvyklostmi příslušného vypořádacího systému, rovněž dle obvyklé nebo zavedené obchodní praxe v dané jurisdikci nebo trhu, na kterém k </w:t>
      </w:r>
      <w:r>
        <w:t>v</w:t>
      </w:r>
      <w:r w:rsidRPr="00F34C40">
        <w:t xml:space="preserve">ypořádání </w:t>
      </w:r>
      <w:r>
        <w:t>O</w:t>
      </w:r>
      <w:r w:rsidRPr="00F34C40">
        <w:t>bchodu dochází. Banka informuje Klienta na jeho žádost o jednotlivých vypořádacích systémech, jejichž je členem a o jejich hlavních pravidlech.</w:t>
      </w:r>
      <w:r w:rsidR="0018186F">
        <w:t xml:space="preserve"> </w:t>
      </w:r>
      <w:r w:rsidRPr="00F34C40">
        <w:t xml:space="preserve">V případě, že </w:t>
      </w:r>
      <w:r>
        <w:t>v</w:t>
      </w:r>
      <w:r w:rsidRPr="00F34C40">
        <w:t xml:space="preserve">ypořádání </w:t>
      </w:r>
      <w:r>
        <w:t>O</w:t>
      </w:r>
      <w:r w:rsidRPr="00F34C40">
        <w:t xml:space="preserve">bchodu neproběhne v předpokládaném termínu, </w:t>
      </w:r>
      <w:r>
        <w:t>n</w:t>
      </w:r>
      <w:r w:rsidRPr="00BD0DF0">
        <w:t xml:space="preserve">a základě požadavku Klienta bude Banka Klienta informovat </w:t>
      </w:r>
      <w:r>
        <w:t xml:space="preserve">o </w:t>
      </w:r>
      <w:r w:rsidRPr="00BD0DF0">
        <w:t>zpoždění vypořádání Obchodu</w:t>
      </w:r>
      <w:r>
        <w:t xml:space="preserve"> a jeho </w:t>
      </w:r>
      <w:r w:rsidRPr="00BD0DF0">
        <w:t>důvodech zpoždění</w:t>
      </w:r>
      <w:r>
        <w:t xml:space="preserve">. </w:t>
      </w:r>
      <w:r w:rsidRPr="00BD0DF0">
        <w:t>Pozastavení vypořádání Obchodu Správcem evidence se nepovažuje za zpoždění vypořádání Obchodu dle Smlouvy.</w:t>
      </w:r>
    </w:p>
    <w:p w14:paraId="5890F2F8" w14:textId="77777777" w:rsidR="00913985" w:rsidRPr="00F6663F" w:rsidRDefault="00913985" w:rsidP="006D6C7C">
      <w:pPr>
        <w:pStyle w:val="Nadpis1"/>
        <w:numPr>
          <w:ilvl w:val="0"/>
          <w:numId w:val="13"/>
        </w:numPr>
        <w:tabs>
          <w:tab w:val="num" w:pos="425"/>
        </w:tabs>
        <w:ind w:left="425" w:hanging="425"/>
      </w:pPr>
      <w:r w:rsidRPr="00F6663F">
        <w:t>Správa Nástrojů</w:t>
      </w:r>
    </w:p>
    <w:p w14:paraId="4BC5EE28" w14:textId="77777777" w:rsidR="00913985" w:rsidRPr="00F34C40" w:rsidRDefault="00913985" w:rsidP="0018186F">
      <w:pPr>
        <w:spacing w:after="60"/>
        <w:ind w:left="425"/>
      </w:pPr>
      <w:r w:rsidRPr="00BD0DF0">
        <w:t>Banka provádí pro Klienta správu v rozsahu a za podmínek</w:t>
      </w:r>
      <w:r w:rsidRPr="00F34C40">
        <w:t xml:space="preserve"> stanovených Smlouvou a v souladu s podmínkami jednotlivých Bankou užívaných </w:t>
      </w:r>
      <w:r>
        <w:t>s</w:t>
      </w:r>
      <w:r w:rsidRPr="00F34C40">
        <w:t xml:space="preserve">právců evidence, a to počínaje okamžikem </w:t>
      </w:r>
      <w:r w:rsidRPr="000B14F3">
        <w:t xml:space="preserve">připsání Nástrojů na </w:t>
      </w:r>
      <w:r w:rsidRPr="00F6663F">
        <w:t>Podúčet cenných papírů</w:t>
      </w:r>
      <w:r w:rsidRPr="000B14F3">
        <w:t>.</w:t>
      </w:r>
    </w:p>
    <w:p w14:paraId="034E5B1D" w14:textId="77777777" w:rsidR="00913985" w:rsidRPr="00F34C40" w:rsidRDefault="00913985" w:rsidP="0018186F">
      <w:pPr>
        <w:spacing w:after="60"/>
        <w:ind w:left="425"/>
      </w:pPr>
      <w:r w:rsidRPr="00F34C40">
        <w:t>Pokud není dále stanoveno jinak, při výkonu Správy Banka bez dalšího Pokynu</w:t>
      </w:r>
      <w:r>
        <w:t xml:space="preserve"> (a) </w:t>
      </w:r>
      <w:r w:rsidRPr="00F34C40">
        <w:t>uplatňuje práva na výnosy a jistiny z Cenného papíru u emitenta nebo jím pověřené osoby nebo u Správce evidence;</w:t>
      </w:r>
      <w:r>
        <w:t xml:space="preserve"> (b) </w:t>
      </w:r>
      <w:r w:rsidRPr="00F34C40">
        <w:t>inkasuje ve prospěch Podúčtu hotovosti platby, výnosy či jiná peněžitá plnění z</w:t>
      </w:r>
      <w:r>
        <w:t> </w:t>
      </w:r>
      <w:r w:rsidRPr="00F34C40">
        <w:t>Cenných papírů;</w:t>
      </w:r>
      <w:r>
        <w:t xml:space="preserve"> (c) </w:t>
      </w:r>
      <w:r w:rsidRPr="00F34C40">
        <w:t>přebírá od emitenta Cenné papíry, které Klient nabyl v důsledku uplatnění práv spojených s Cennými papíry ve Správě, a tyto připisuje ve prospěch Podúčtu cenných papírů;</w:t>
      </w:r>
      <w:r>
        <w:t xml:space="preserve"> (d) </w:t>
      </w:r>
      <w:r w:rsidRPr="00F34C40">
        <w:t>provádí další činnosti, které jsou podle názoru Banky nezbytné v souvislosti s obdržením plateb, přijetím výnosů či zachováním jiných práv spojených s Cennými papíry;</w:t>
      </w:r>
      <w:r>
        <w:t xml:space="preserve"> (e) </w:t>
      </w:r>
      <w:r w:rsidRPr="00F34C40">
        <w:t>uzavírá potřebné smlouvy s třetími osobami týkající se právních jednání potřebných k řádnému plnění povinností Banky na základě této Smlouvy;</w:t>
      </w:r>
      <w:r>
        <w:t xml:space="preserve"> (f) </w:t>
      </w:r>
      <w:r w:rsidRPr="00F34C40">
        <w:t>vystavuje čestná prohlášení, potvrzení a jiné listiny týkající se vlastnictví Cenných papírů, která mohou být v souvislosti se Správou a Vypořádáním obchodu požadovány třetími stranami; a Klient se zavazuje, že v případě nutnosti potvrdí, případně učiní potřebné kroky, aby potvrdil jednání Banky podle tohoto bodu, a to i před tím, než je Banka učiní;</w:t>
      </w:r>
      <w:r>
        <w:t xml:space="preserve"> (g) </w:t>
      </w:r>
      <w:r w:rsidRPr="00F34C40">
        <w:t>činí vůči Správci evidence a vypořádacímu systému veškeré činnosti, které jsou nezbytné či vhodné, aby Banka mohla poskytovat Klientovi Služby;</w:t>
      </w:r>
      <w:r>
        <w:t xml:space="preserve"> nebo (h) </w:t>
      </w:r>
      <w:r w:rsidRPr="00F34C40">
        <w:t>při změně Správce evidence provádí převod Cenných papírů k jinému Správci evidence i bez souhlasu Klienta.</w:t>
      </w:r>
      <w:r>
        <w:t xml:space="preserve"> </w:t>
      </w:r>
    </w:p>
    <w:p w14:paraId="700A0E32" w14:textId="77777777" w:rsidR="00913985" w:rsidRPr="00F34C40" w:rsidRDefault="00913985" w:rsidP="0018186F">
      <w:pPr>
        <w:spacing w:after="60"/>
        <w:ind w:left="425"/>
      </w:pPr>
      <w:r w:rsidRPr="00F34C40">
        <w:t>Banka na základě výslovného Pokynu dále:</w:t>
      </w:r>
      <w:r>
        <w:t xml:space="preserve"> (a) </w:t>
      </w:r>
      <w:r w:rsidRPr="00F34C40">
        <w:t>vykonává výměnná nebo jiná práva spojená s Cennými papíry, jakož i další práva či povinnosti vlastníka Cenných papírů související se snížením základního kapitálu emitenta Cenných papírů nebo se zrušením emitenta, jeho přeměnou, likvidací či transakcí obdobné povahy;</w:t>
      </w:r>
      <w:r>
        <w:t xml:space="preserve"> (b) </w:t>
      </w:r>
      <w:r w:rsidRPr="00F34C40">
        <w:t>uplatňuje práva na přednostní úpis Cenných papírů při zvyšování základního kapitálu emitenta spojená s Cennými papíry;</w:t>
      </w:r>
      <w:r>
        <w:t xml:space="preserve"> (c) </w:t>
      </w:r>
      <w:r w:rsidRPr="00F34C40">
        <w:t>uplatňuje opční práva na předčasné splacení, případně odkoupení, Cenných papírů ve Správě;</w:t>
      </w:r>
      <w:r>
        <w:t xml:space="preserve"> (d) </w:t>
      </w:r>
      <w:r w:rsidRPr="00F34C40">
        <w:t>vypořádává úpis nově vydaného Cenného papíru;</w:t>
      </w:r>
      <w:r>
        <w:t xml:space="preserve"> (e) </w:t>
      </w:r>
      <w:r w:rsidRPr="00F34C40">
        <w:t>zajišťuje registraci zástavních práv na příslušných účtech vedených CDCP nebo jiným Správcem evidence; a</w:t>
      </w:r>
      <w:r>
        <w:t xml:space="preserve"> (f) </w:t>
      </w:r>
      <w:r w:rsidRPr="00F34C40">
        <w:t>zajišťuje zápis PPN nebo zrušení PPN.</w:t>
      </w:r>
    </w:p>
    <w:p w14:paraId="4CCF89E1" w14:textId="77777777" w:rsidR="00913985" w:rsidRPr="00F34C40" w:rsidRDefault="00913985" w:rsidP="0018186F">
      <w:pPr>
        <w:spacing w:after="60"/>
        <w:ind w:left="425"/>
      </w:pPr>
      <w:r w:rsidRPr="00F34C40">
        <w:t>Klient a Banka se mohou dohodnout, že Banka na účet Klienta provede jiný úkon související se Správou. Dohoda podle předcházející věty se považuje za uzavřenou tím, že Banka provede úkon podle písemného Pokynu, ve kterém Klient vymezí, jaký úkon má Banka učinit. Odměna Banky za provedení úkonu se řídí Sazebníkem, pokud se Klient a Banka nedohodnou jinak.</w:t>
      </w:r>
    </w:p>
    <w:p w14:paraId="50E954EE" w14:textId="77777777" w:rsidR="00913985" w:rsidRDefault="00913985" w:rsidP="0018186F">
      <w:pPr>
        <w:spacing w:after="60"/>
        <w:ind w:left="425"/>
      </w:pPr>
      <w:r w:rsidRPr="00F34C40">
        <w:t>Banka je oprávněna, bez uvedení důvodu, odmítnout převzít jakýkoli Cenný papír do Správy.</w:t>
      </w:r>
    </w:p>
    <w:p w14:paraId="226C0049" w14:textId="77777777" w:rsidR="00913985" w:rsidRPr="00F34C40" w:rsidRDefault="00913985" w:rsidP="0018186F">
      <w:pPr>
        <w:spacing w:after="60"/>
        <w:ind w:left="425"/>
      </w:pPr>
      <w:r>
        <w:t xml:space="preserve">Podmínky výkonu </w:t>
      </w:r>
      <w:r w:rsidRPr="00F34C40">
        <w:t>hlasovacích práv spojených s Cenným papírem na valné hromadě v případě akcie nebo na schůzi vlastníků dluhopisů v případě dluhopis</w:t>
      </w:r>
      <w:r>
        <w:t>ů v souvislosti s kapitálovou událostí stanoví Smlouva.</w:t>
      </w:r>
    </w:p>
    <w:p w14:paraId="2453B17C" w14:textId="77777777" w:rsidR="00913985" w:rsidRPr="00F34C40" w:rsidRDefault="00913985" w:rsidP="0018186F">
      <w:pPr>
        <w:spacing w:after="60"/>
        <w:ind w:left="425"/>
      </w:pPr>
      <w:r w:rsidRPr="00F34C40">
        <w:t xml:space="preserve">Správa zahraničních Cenných papírů. Správu Cenných papírů vydaných v zemích OECD (s výjimkou České republiky) Banka vykonává pouze, pokud jsou evidovány na klientských účtech Banky v systému CDCP, Euroclear, Cleastream nebo u jiného Správce evidence, případně přímo na účtu Klienta vedeném v CDCP či u jiného Správce evidence, pokud tyto subjekty Správu v daném rozsahu umožňují a pokud Pokyn nebo plná moc udělená </w:t>
      </w:r>
      <w:r w:rsidRPr="002A43D9">
        <w:t xml:space="preserve">Klientem Bance nestanoví jinak. Předchozí </w:t>
      </w:r>
      <w:r w:rsidRPr="00F6663F">
        <w:t>odstavec o výkonu práv na valné hromadě či schůzi vlastníků tímto není dotčen.</w:t>
      </w:r>
    </w:p>
    <w:p w14:paraId="39CCA808" w14:textId="77777777" w:rsidR="00913985" w:rsidRPr="00F34C40" w:rsidRDefault="00913985" w:rsidP="0018186F">
      <w:pPr>
        <w:spacing w:after="60"/>
        <w:ind w:left="425"/>
      </w:pPr>
      <w:r w:rsidRPr="00F34C40">
        <w:t>Cenné papíry svěřené Klientem do Správy budou evidovány na příslušném účtu, a to zejména na účtu vedeném v: centrální evidenci CDCP; nebo evidenci navazující na centrální evidenci CDCP; nebo samostatné evidence investičních nástrojů; nebo v evidenci navazující na samostatnou evidenci investičních nástrojů; a/nebo u jiného Správce evidence.</w:t>
      </w:r>
    </w:p>
    <w:p w14:paraId="7B570768" w14:textId="77777777" w:rsidR="00913985" w:rsidRPr="0038170D" w:rsidRDefault="00913985" w:rsidP="0018186F">
      <w:pPr>
        <w:spacing w:after="60"/>
        <w:ind w:left="425"/>
      </w:pPr>
      <w:r w:rsidRPr="00F34C40">
        <w:t>Klient je srozuměn s tím, že jeho Cenné papíry (tuzemské i zahraniční) mohou být vedeny na účtech zákazníků (tzv. sběrných účtech) otevřených u Správce evidence na jméno Banky a Banka současně vede tyto Cenné papíry:</w:t>
      </w:r>
      <w:r>
        <w:t xml:space="preserve"> </w:t>
      </w:r>
      <w:r w:rsidRPr="00F34C40">
        <w:t xml:space="preserve">v </w:t>
      </w:r>
      <w:r w:rsidRPr="00F34C40">
        <w:lastRenderedPageBreak/>
        <w:t>evidenci navazující na centrální evidenci cenných papírů, nebo</w:t>
      </w:r>
      <w:r>
        <w:t xml:space="preserve"> </w:t>
      </w:r>
      <w:r w:rsidRPr="0038170D">
        <w:t>v samostatné evidenci investičních nástrojů, a to dle příslušných ustanovení ZPKT.</w:t>
      </w:r>
    </w:p>
    <w:p w14:paraId="54C40C14" w14:textId="77777777" w:rsidR="00913985" w:rsidRPr="00CE1180" w:rsidRDefault="00913985" w:rsidP="0018186F">
      <w:pPr>
        <w:spacing w:after="60"/>
        <w:ind w:left="425"/>
      </w:pPr>
      <w:r w:rsidRPr="00CE1180">
        <w:t>Cenné papíry jsou na těchto sběrných účtech odděleny od Cenných papírů Banky, ale jsou vedeny společně s Cennými papíry ostatních klientů Banky.</w:t>
      </w:r>
    </w:p>
    <w:p w14:paraId="0010394E" w14:textId="77777777" w:rsidR="00913985" w:rsidRPr="00F34C40" w:rsidRDefault="00913985" w:rsidP="0018186F">
      <w:pPr>
        <w:spacing w:after="60"/>
        <w:ind w:left="425"/>
      </w:pPr>
      <w:r w:rsidRPr="00F34C40">
        <w:t xml:space="preserve">Banka na základě příkazu oprávněné osoby zapíše k Cenným papírům, které vede v samostatné evidenci, zástavní právo a vyznačí v ní údaje, které jsou vyžadovány pro vznik zástavního práva a které musí být uvedeny v příkazu k zápisu zástavního práva, včetně údaje o zástavním věřiteli. </w:t>
      </w:r>
    </w:p>
    <w:p w14:paraId="0973173E" w14:textId="77777777" w:rsidR="00913985" w:rsidRPr="00F34C40" w:rsidRDefault="00913985" w:rsidP="0018186F">
      <w:pPr>
        <w:spacing w:after="60"/>
        <w:ind w:left="425"/>
      </w:pPr>
      <w:r w:rsidRPr="00F34C40">
        <w:t>Listinné tuzemské Cenné papíry:</w:t>
      </w:r>
      <w:r>
        <w:t xml:space="preserve"> (a) </w:t>
      </w:r>
      <w:r w:rsidRPr="00F34C40">
        <w:t>Banka vykonává Správu listinných Cenných papírů, pouze pokud jsou vedeny v samostatné evidenci CDCP a/nebo jsou kótované. Banka je oprávněna předat tyto Cenné papíry do úschovy třetí osobě.</w:t>
      </w:r>
      <w:r>
        <w:t xml:space="preserve"> (b) </w:t>
      </w:r>
      <w:r w:rsidRPr="00F34C40">
        <w:t>Klient se zavazuje oznámit Bance v dostatečném předstihu svůj záměr svěřit listinné Cenné papíry do Správy, a to Pokynem ke vkladu Cenného papíru na Portfoliový účet.</w:t>
      </w:r>
      <w:r>
        <w:t xml:space="preserve"> (c) </w:t>
      </w:r>
      <w:r w:rsidRPr="00F34C40">
        <w:t>Klient se zavazuje předat Bance listinné Cenné papíry, které chce zaevidovat na Podúčet cenných papírů a které chce předat do její Správy. Každý listinný Cenný papír předaný Bance musí být písemně specifikován na předepsaném formuláři Banky. V</w:t>
      </w:r>
      <w:r>
        <w:t> </w:t>
      </w:r>
      <w:r w:rsidRPr="00F34C40">
        <w:t>případě obstarání koupě listinného Cenného papíru Banka převezme koupený listinný Cenný papír do Správy.</w:t>
      </w:r>
      <w:r>
        <w:t xml:space="preserve"> (d) </w:t>
      </w:r>
      <w:r w:rsidRPr="00F34C40">
        <w:t>K vyjmutí uloženého listinného Cenného papíru dochází na základě Klientem podepsaného formuláře, který Banka předloží Klientovi na jeho žádost o vyjmutí listinného Cenného papíru z uložení. Banka je povinna umožnit Klientovi převzetí listinného Cenného papíru ve lhůtě přiměřené časové náročnosti vyjmutí listinného Cenného papíru z místa úschovy u jiného depozitáře nebo Banky a bezpečnému doručení listinného Cenného papíru do obchodního místa Banky poskytujícího Klientovi Služby.</w:t>
      </w:r>
      <w:r>
        <w:t xml:space="preserve"> (e) </w:t>
      </w:r>
      <w:r w:rsidRPr="00F34C40">
        <w:t>Osobami, které jsou oprávněny za Banku nakládat s uloženými Cennými papíry, jsou zaměstnanci Banky, jejichž</w:t>
      </w:r>
      <w:r>
        <w:t xml:space="preserve"> </w:t>
      </w:r>
      <w:r w:rsidRPr="00F34C40">
        <w:t>pracovní náplň odpovídá požadované činnosti. Na základě žádosti sdělí Banka Klientovi, jaké osoby jsou oprávněny s uloženými Cennými papíry nakládat.</w:t>
      </w:r>
      <w:r>
        <w:t xml:space="preserve"> (f)</w:t>
      </w:r>
      <w:r w:rsidR="0018186F">
        <w:t xml:space="preserve"> </w:t>
      </w:r>
      <w:r w:rsidRPr="00F34C40">
        <w:t xml:space="preserve">Při výkonu Správy listinných Cenných papírů Banka bez dalšího Pokynu Klienta zajišťuje pouze obstarání a zajištění přijetí výplaty </w:t>
      </w:r>
      <w:r w:rsidRPr="009B724D">
        <w:t xml:space="preserve">výnosů a jistin z Cenných papírů. Ustanovení </w:t>
      </w:r>
      <w:r w:rsidRPr="00F6663F">
        <w:t xml:space="preserve">třetího </w:t>
      </w:r>
      <w:r w:rsidRPr="009B724D">
        <w:t xml:space="preserve">odstavce </w:t>
      </w:r>
      <w:r w:rsidRPr="00F6663F">
        <w:t>tohoto článku</w:t>
      </w:r>
      <w:r w:rsidRPr="009B724D">
        <w:t xml:space="preserve"> se na výkon Správy listinných Cenných papírů nepoužije. Další</w:t>
      </w:r>
      <w:r w:rsidRPr="00F34C40">
        <w:t xml:space="preserve"> úkony v rámci Správy listinných Cenných papírů Banka vykonává na základě Pokynu, přičemž Banka je oprávněna Pokyn odmítnout bez uvedení důvodu.</w:t>
      </w:r>
      <w:r>
        <w:t xml:space="preserve"> (g)</w:t>
      </w:r>
      <w:r w:rsidR="0018186F">
        <w:t xml:space="preserve"> </w:t>
      </w:r>
      <w:r w:rsidRPr="00F34C40">
        <w:t>Banka je oprávněna plnit své povinnosti podle této Smlouvy prostřednictvím třetích osob, a to zejména Správce evidence.</w:t>
      </w:r>
    </w:p>
    <w:p w14:paraId="1F4F57F4" w14:textId="77777777" w:rsidR="00913985" w:rsidRPr="00F34C40" w:rsidRDefault="00913985" w:rsidP="0018186F">
      <w:pPr>
        <w:spacing w:after="60"/>
        <w:ind w:left="425"/>
      </w:pPr>
      <w:r w:rsidRPr="00F34C40">
        <w:t>Zdanění příjmů z Cenných papírů a rovněž i zdanění příjmů z portfoliových účtů, se odvíjí od toho, kdo je konečným vlastníkem daných příjmů. Banka bude v případě zdanění postupovat podle příslušných právních předpisů. V případě, že konečný vlastník příjmů bude daňový rezident jiné země, než odkud mu plynou příjmy, a takový konečný vlastník bude chtít benefitovat ze smlouvy o zamezení dvojího zdanění uzavřené mezi příslušnými zeměmi (existuje-li taková smlouva), je povinen předložit Bance před uzavřením prvního Obchodu a následně vždy do konce ledna každého kalendářního roku potvrzení o svém daňovém domicilu a prohlášení skutečného vlastníka a dále k výzvě Banky další případně dokumenty požadované plátcem příjmu. V případě, že Klient nedodá Bance požadované dokumenty, budou příjmy zdaněny v souladu s legislativou země, odkud příjmy plynou. V případě, že v průběhu kalendářního roku dojde ke změně daňového rezidentství nebo konečného vlastnictví, je Klient povinen tuto skutečnost prokázat Bance bez zbytečného odkladu. Banka nenese odpovědnost za to, jakou sazbou bude příslušný plátce příjmy zdaňovat a negarantuje Klientovi, že plátce bude postupovat podle smlouvy o zamezení dvojího zdanění, i když obdržel veškeré požadované dokumenty.</w:t>
      </w:r>
    </w:p>
    <w:p w14:paraId="41EDF623" w14:textId="77777777" w:rsidR="00913985" w:rsidRPr="00F6663F" w:rsidRDefault="00913985" w:rsidP="006D6C7C">
      <w:pPr>
        <w:pStyle w:val="Nadpis1"/>
        <w:numPr>
          <w:ilvl w:val="0"/>
          <w:numId w:val="13"/>
        </w:numPr>
        <w:tabs>
          <w:tab w:val="num" w:pos="425"/>
        </w:tabs>
        <w:ind w:left="425" w:hanging="425"/>
      </w:pPr>
      <w:r w:rsidRPr="00F6663F">
        <w:t>Ocenění</w:t>
      </w:r>
    </w:p>
    <w:p w14:paraId="610883D1" w14:textId="77777777" w:rsidR="00913985" w:rsidRPr="00F34C40" w:rsidRDefault="00913985" w:rsidP="0018186F">
      <w:pPr>
        <w:spacing w:after="60"/>
        <w:ind w:left="425"/>
      </w:pPr>
      <w:r w:rsidRPr="00E95C89">
        <w:t>Pro účely výpočtu Odměny Banka oceňuje Cenné papíry vedené na Portfoliovém účtu k poslednímu Obchodnímu dni v kalendářním měsíci, a to následovně:</w:t>
      </w:r>
      <w:r>
        <w:t xml:space="preserve"> (a) </w:t>
      </w:r>
      <w:r w:rsidRPr="00E95C89">
        <w:t>posledním kurzem Cenného papíru dostupným v systému Reuters nebo Bloomberg nebo oceněním provedeným Bankou, popřípadě oceněním získaným Bankou z jiného externího zdroje, a to způsobem obvyklým na trhu s Cennými papíry; nebo</w:t>
      </w:r>
      <w:r>
        <w:t xml:space="preserve"> (b)</w:t>
      </w:r>
      <w:r w:rsidR="0018186F">
        <w:t xml:space="preserve"> </w:t>
      </w:r>
      <w:r w:rsidRPr="00E95C89">
        <w:t xml:space="preserve">v případě, že nelze cenu určit podle písmene </w:t>
      </w:r>
      <w:r>
        <w:t>(</w:t>
      </w:r>
      <w:r w:rsidRPr="00E95C89">
        <w:t>a), pak cenou, za kterou byl Cenný papír Klientem či pro Klienta nakoupen, popřípadě nominální cenou; a</w:t>
      </w:r>
      <w:r>
        <w:t xml:space="preserve"> (c) </w:t>
      </w:r>
      <w:r w:rsidRPr="00E95C89">
        <w:t>v případě Cenných papírů, které jsou cennými papíry kolektivního investování kurzem dostupným v systému Reuters,</w:t>
      </w:r>
      <w:r>
        <w:t xml:space="preserve"> </w:t>
      </w:r>
      <w:r w:rsidRPr="00E95C89">
        <w:t>Bloomberg nebo kurzem zveřejněným přímo emitentem Cenného papíru.</w:t>
      </w:r>
      <w:r>
        <w:t xml:space="preserve"> </w:t>
      </w:r>
      <w:r w:rsidRPr="00E95C89">
        <w:t>K přepočtu do měny CZK bude použit měnový kurs - fixing ČNB vyhlášený k příslušnému dni, k němuž je přepočet prováděn.</w:t>
      </w:r>
    </w:p>
    <w:p w14:paraId="1EB5C05F" w14:textId="77777777" w:rsidR="00913985" w:rsidRPr="00F34C40" w:rsidRDefault="00913985" w:rsidP="0018186F">
      <w:pPr>
        <w:spacing w:after="60"/>
        <w:ind w:left="425"/>
      </w:pPr>
      <w:r w:rsidRPr="00F6663F">
        <w:t xml:space="preserve">Ačkoliv Banka označuje ceny získané postupem podle předchozího odstavce </w:t>
      </w:r>
      <w:r w:rsidRPr="00E27C35">
        <w:t>za „tržní ceny“ či jiným obdobným termínem, Banka negarantuje, že Klient bude mít možnost koupit nebo prodat příslušný Cenný papír právě za takovou cenu. Nelze vyloučit, že v určitém časovém období</w:t>
      </w:r>
      <w:r w:rsidRPr="00F34C40">
        <w:t xml:space="preserve"> nebude na příslušném trhu žádná dostupná cena. Klient pak po tuto dobu nemusí mít možnost požadovaný nákup či prodej vůbec realizovat. Potencionální ztráta vyplývající z tohoto rizika může dosahovat až několik procent rozdílu mezi očekávanou cenou vycházející z posledních známých cen příslušných Cenných papírů a cenou, kterou je případně za tyto Cenné papíry ochotna nabídnout Banka, nebo jiný subjekt na trhu v okamžiku, kdy jí Klient požaduje.</w:t>
      </w:r>
    </w:p>
    <w:p w14:paraId="3DA1AF04" w14:textId="77777777" w:rsidR="00913985" w:rsidRPr="00F34C40" w:rsidRDefault="00913985" w:rsidP="0018186F">
      <w:pPr>
        <w:spacing w:after="60"/>
        <w:ind w:left="425"/>
      </w:pPr>
      <w:r w:rsidRPr="00F34C40">
        <w:t>Ocenění Cenných papírů slouží pouze pro účely výpočtu Odměny a nelze je považovat za podklad pro účetnictví Klienta či se na něj pro jakýkoliv jiný účel spoléhat. Ačkoliv Banka věnuje odbornou péči ocenění Cenných papírů, jejichž cenu není možné získat z externího zdroje, Banka vylučuje odpovědnost za (i) přesnost použitých modelů nebo odhadů použitých pro odvození ceny, (ii) za přesnost a úplnost dat použitých jako vstupy do příslušných modelů a (iii) za jakékoliv chyby nebo opomenutí v kalkulaci.</w:t>
      </w:r>
    </w:p>
    <w:p w14:paraId="7EC3F042" w14:textId="77777777" w:rsidR="00A352CF" w:rsidRPr="00A352CF" w:rsidRDefault="00A352CF" w:rsidP="00A352CF">
      <w:pPr>
        <w:rPr>
          <w:rFonts w:cs="Arial"/>
          <w:szCs w:val="18"/>
        </w:rPr>
      </w:pPr>
    </w:p>
    <w:sectPr w:rsidR="00A352CF" w:rsidRPr="00A352CF">
      <w:headerReference w:type="default" r:id="rId36"/>
      <w:footerReference w:type="default" r:id="rId37"/>
      <w:pgSz w:w="11907" w:h="16840" w:code="9"/>
      <w:pgMar w:top="2552" w:right="1134" w:bottom="1134" w:left="1134" w:header="454" w:footer="397" w:gutter="0"/>
      <w:pgNumType w:start="1"/>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55FF7" w14:textId="77777777" w:rsidR="00B32B21" w:rsidRDefault="00B32B21">
      <w:r>
        <w:separator/>
      </w:r>
    </w:p>
    <w:p w14:paraId="01DF558F" w14:textId="77777777" w:rsidR="00B32B21" w:rsidRDefault="00B32B21"/>
  </w:endnote>
  <w:endnote w:type="continuationSeparator" w:id="0">
    <w:p w14:paraId="4D025B95" w14:textId="77777777" w:rsidR="00B32B21" w:rsidRDefault="00B32B21">
      <w:r>
        <w:continuationSeparator/>
      </w:r>
    </w:p>
    <w:p w14:paraId="6E8037B8" w14:textId="77777777" w:rsidR="00B32B21" w:rsidRDefault="00B32B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UnicodeMS">
    <w:altName w:val="Arial"/>
    <w:panose1 w:val="00000000000000000000"/>
    <w:charset w:val="EE"/>
    <w:family w:val="auto"/>
    <w:notTrueType/>
    <w:pitch w:val="default"/>
    <w:sig w:usb0="00000005" w:usb1="00000000" w:usb2="00000000" w:usb3="00000000" w:csb0="00000002"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56EB0" w14:textId="77777777" w:rsidR="00B32B21" w:rsidRDefault="00B32B2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01"/>
      <w:gridCol w:w="4038"/>
    </w:tblGrid>
    <w:tr w:rsidR="00351B6D" w:rsidRPr="004A43E2" w14:paraId="3AB1C6AD" w14:textId="77777777">
      <w:tc>
        <w:tcPr>
          <w:tcW w:w="5601" w:type="dxa"/>
          <w:tcBorders>
            <w:top w:val="nil"/>
            <w:left w:val="nil"/>
            <w:bottom w:val="nil"/>
            <w:right w:val="nil"/>
          </w:tcBorders>
        </w:tcPr>
        <w:p w14:paraId="76218603" w14:textId="77777777" w:rsidR="00351B6D" w:rsidRDefault="00351B6D">
          <w:pPr>
            <w:pStyle w:val="kbFixedtext"/>
            <w:spacing w:before="100"/>
          </w:pPr>
          <w:r>
            <w:t xml:space="preserve">Komerční banka, a.s., se sídlem: </w:t>
          </w:r>
        </w:p>
        <w:p w14:paraId="7F1F0EA2" w14:textId="77777777" w:rsidR="00351B6D" w:rsidRDefault="00351B6D">
          <w:pPr>
            <w:pStyle w:val="kbFixedtext"/>
          </w:pPr>
          <w:r>
            <w:t>Praha 1, Na Příkopě 33 čp. 969, PSČ 114 07, IČO: 45317054</w:t>
          </w:r>
        </w:p>
        <w:p w14:paraId="65814C45" w14:textId="77777777" w:rsidR="00351B6D" w:rsidRDefault="00351B6D">
          <w:pPr>
            <w:pStyle w:val="kbRegistration"/>
          </w:pPr>
          <w:r>
            <w:t>ZAPSANÁ V OBCHODNÍM REJSTŘÍKU VEDENÉM MĚSTSKÝm SOUDEM V PRAZE, ODDÍL B, VLOŽKA 1360</w:t>
          </w:r>
        </w:p>
      </w:tc>
      <w:tc>
        <w:tcPr>
          <w:tcW w:w="4038" w:type="dxa"/>
          <w:tcBorders>
            <w:top w:val="nil"/>
            <w:left w:val="nil"/>
            <w:bottom w:val="nil"/>
            <w:right w:val="nil"/>
          </w:tcBorders>
        </w:tcPr>
        <w:p w14:paraId="2C57D0CE" w14:textId="519A36B8" w:rsidR="00351B6D" w:rsidRDefault="00351B6D">
          <w:pPr>
            <w:pStyle w:val="kbFixedtext"/>
            <w:spacing w:before="100"/>
            <w:jc w:val="right"/>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427C89">
            <w:rPr>
              <w:rStyle w:val="slostrnky"/>
              <w:noProof/>
            </w:rPr>
            <w:t>3</w:t>
          </w:r>
          <w:r>
            <w:rPr>
              <w:rStyle w:val="slostrnky"/>
            </w:rPr>
            <w:fldChar w:fldCharType="end"/>
          </w:r>
          <w:r>
            <w:rPr>
              <w:rStyle w:val="slostrnky"/>
            </w:rPr>
            <w:t xml:space="preserve"> </w:t>
          </w:r>
        </w:p>
        <w:p w14:paraId="3FF22B3A" w14:textId="77777777" w:rsidR="00351B6D" w:rsidRPr="0005484E" w:rsidRDefault="00351B6D">
          <w:pPr>
            <w:pStyle w:val="Registration"/>
            <w:jc w:val="right"/>
            <w:rPr>
              <w:szCs w:val="8"/>
            </w:rPr>
          </w:pPr>
          <w:r w:rsidRPr="0005484E">
            <w:rPr>
              <w:szCs w:val="8"/>
            </w:rPr>
            <w:t xml:space="preserve">Datum účinnosti šablony </w:t>
          </w:r>
          <w:r w:rsidR="00EB5121">
            <w:rPr>
              <w:szCs w:val="8"/>
            </w:rPr>
            <w:t>1</w:t>
          </w:r>
          <w:r w:rsidR="00E90BDD">
            <w:rPr>
              <w:szCs w:val="8"/>
            </w:rPr>
            <w:t>2</w:t>
          </w:r>
          <w:r w:rsidRPr="0005484E">
            <w:rPr>
              <w:szCs w:val="8"/>
            </w:rPr>
            <w:t xml:space="preserve">. </w:t>
          </w:r>
          <w:r w:rsidR="00EB5121">
            <w:rPr>
              <w:szCs w:val="8"/>
            </w:rPr>
            <w:t>1</w:t>
          </w:r>
          <w:r>
            <w:rPr>
              <w:szCs w:val="8"/>
            </w:rPr>
            <w:t>. 202</w:t>
          </w:r>
          <w:r w:rsidR="00E90BDD">
            <w:rPr>
              <w:szCs w:val="8"/>
            </w:rPr>
            <w:t>6</w:t>
          </w:r>
        </w:p>
        <w:p w14:paraId="48713958" w14:textId="5F71C8B8" w:rsidR="00351B6D" w:rsidRPr="005C3C2F" w:rsidRDefault="00351B6D">
          <w:pPr>
            <w:pStyle w:val="Registration"/>
            <w:jc w:val="right"/>
            <w:rPr>
              <w:sz w:val="18"/>
              <w:szCs w:val="18"/>
            </w:rPr>
          </w:pPr>
          <w:r w:rsidRPr="0005484E">
            <w:rPr>
              <w:szCs w:val="8"/>
            </w:rPr>
            <w:t xml:space="preserve">Ver f </w:t>
          </w:r>
          <w:r>
            <w:rPr>
              <w:szCs w:val="8"/>
            </w:rPr>
            <w:t>g_smlouva</w:t>
          </w:r>
          <w:r w:rsidRPr="0005484E">
            <w:rPr>
              <w:szCs w:val="8"/>
            </w:rPr>
            <w:t xml:space="preserve">.DOT </w:t>
          </w:r>
          <w:r w:rsidRPr="0005484E">
            <w:rPr>
              <w:szCs w:val="8"/>
            </w:rPr>
            <w:fldChar w:fldCharType="begin"/>
          </w:r>
          <w:r w:rsidRPr="0005484E">
            <w:rPr>
              <w:szCs w:val="8"/>
            </w:rPr>
            <w:instrText>\DATE</w:instrText>
          </w:r>
          <w:r w:rsidRPr="0005484E">
            <w:rPr>
              <w:szCs w:val="8"/>
            </w:rPr>
            <w:fldChar w:fldCharType="separate"/>
          </w:r>
          <w:r w:rsidR="00427C89">
            <w:rPr>
              <w:noProof/>
              <w:szCs w:val="8"/>
            </w:rPr>
            <w:t>23.3.2026</w:t>
          </w:r>
          <w:r w:rsidRPr="0005484E">
            <w:rPr>
              <w:szCs w:val="8"/>
            </w:rPr>
            <w:fldChar w:fldCharType="end"/>
          </w:r>
          <w:r w:rsidRPr="0005484E">
            <w:rPr>
              <w:szCs w:val="8"/>
            </w:rPr>
            <w:t xml:space="preserve"> </w:t>
          </w:r>
          <w:r w:rsidRPr="0005484E">
            <w:rPr>
              <w:szCs w:val="8"/>
            </w:rPr>
            <w:fldChar w:fldCharType="begin"/>
          </w:r>
          <w:r w:rsidRPr="0005484E">
            <w:rPr>
              <w:szCs w:val="8"/>
            </w:rPr>
            <w:instrText>\TIME</w:instrText>
          </w:r>
          <w:r w:rsidRPr="0005484E">
            <w:rPr>
              <w:szCs w:val="8"/>
            </w:rPr>
            <w:fldChar w:fldCharType="separate"/>
          </w:r>
          <w:r w:rsidR="00427C89">
            <w:rPr>
              <w:noProof/>
              <w:szCs w:val="8"/>
            </w:rPr>
            <w:t>2:44 odp.</w:t>
          </w:r>
          <w:r w:rsidRPr="0005484E">
            <w:rPr>
              <w:szCs w:val="8"/>
            </w:rPr>
            <w:fldChar w:fldCharType="end"/>
          </w:r>
        </w:p>
      </w:tc>
    </w:tr>
  </w:tbl>
  <w:p w14:paraId="511FAF4B" w14:textId="77777777" w:rsidR="00351B6D" w:rsidRPr="00127534" w:rsidRDefault="00351B6D">
    <w:pPr>
      <w:pStyle w:val="Zpat"/>
      <w:rPr>
        <w:sz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4CA1" w14:textId="77777777" w:rsidR="00B32B21" w:rsidRDefault="00B32B21">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01"/>
      <w:gridCol w:w="4038"/>
    </w:tblGrid>
    <w:tr w:rsidR="00351B6D" w:rsidRPr="004A43E2" w14:paraId="6912B700" w14:textId="77777777">
      <w:tc>
        <w:tcPr>
          <w:tcW w:w="5601" w:type="dxa"/>
          <w:tcBorders>
            <w:top w:val="nil"/>
            <w:left w:val="nil"/>
            <w:bottom w:val="nil"/>
            <w:right w:val="nil"/>
          </w:tcBorders>
        </w:tcPr>
        <w:p w14:paraId="3754C1F9" w14:textId="77777777" w:rsidR="00351B6D" w:rsidRDefault="00351B6D">
          <w:pPr>
            <w:pStyle w:val="kbFixedtext"/>
            <w:spacing w:before="100"/>
          </w:pPr>
          <w:r>
            <w:t xml:space="preserve">Komerční banka, a.s., se sídlem: </w:t>
          </w:r>
        </w:p>
        <w:p w14:paraId="49A22D12" w14:textId="77777777" w:rsidR="00351B6D" w:rsidRDefault="00351B6D">
          <w:pPr>
            <w:pStyle w:val="kbFixedtext"/>
          </w:pPr>
          <w:r>
            <w:t>Praha 1, Na Příkopě 33 čp. 969, PSČ 114 07, IČO: 45317054</w:t>
          </w:r>
        </w:p>
        <w:p w14:paraId="6DA7ED8B" w14:textId="77777777" w:rsidR="00351B6D" w:rsidRDefault="00351B6D">
          <w:pPr>
            <w:pStyle w:val="kbRegistration"/>
          </w:pPr>
          <w:r>
            <w:t>ZAPSANÁ V OBCHODNÍM REJSTŘÍKU VEDENÉM MĚSTSKÝm SOUDEM V PRAZE, ODDÍL B, VLOŽKA 1360</w:t>
          </w:r>
        </w:p>
      </w:tc>
      <w:tc>
        <w:tcPr>
          <w:tcW w:w="4038" w:type="dxa"/>
          <w:tcBorders>
            <w:top w:val="nil"/>
            <w:left w:val="nil"/>
            <w:bottom w:val="nil"/>
            <w:right w:val="nil"/>
          </w:tcBorders>
        </w:tcPr>
        <w:p w14:paraId="5E50DDD0" w14:textId="225A1A21" w:rsidR="00351B6D" w:rsidRDefault="00351B6D">
          <w:pPr>
            <w:pStyle w:val="kbFixedtext"/>
            <w:spacing w:before="100"/>
            <w:jc w:val="right"/>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427C89">
            <w:rPr>
              <w:rStyle w:val="slostrnky"/>
              <w:noProof/>
            </w:rPr>
            <w:t>1</w:t>
          </w:r>
          <w:r>
            <w:rPr>
              <w:rStyle w:val="slostrnky"/>
            </w:rPr>
            <w:fldChar w:fldCharType="end"/>
          </w:r>
        </w:p>
        <w:p w14:paraId="5F5A5931" w14:textId="77777777" w:rsidR="00351B6D" w:rsidRPr="0005484E" w:rsidRDefault="00351B6D" w:rsidP="00F81B38">
          <w:pPr>
            <w:pStyle w:val="Registration"/>
            <w:jc w:val="right"/>
            <w:rPr>
              <w:szCs w:val="8"/>
            </w:rPr>
          </w:pPr>
          <w:r w:rsidRPr="0005484E">
            <w:rPr>
              <w:szCs w:val="8"/>
            </w:rPr>
            <w:t xml:space="preserve">Datum účinnosti šablony </w:t>
          </w:r>
          <w:r w:rsidR="00EB5121">
            <w:rPr>
              <w:szCs w:val="8"/>
            </w:rPr>
            <w:t>1</w:t>
          </w:r>
          <w:r w:rsidR="00E90BDD">
            <w:rPr>
              <w:szCs w:val="8"/>
            </w:rPr>
            <w:t>2</w:t>
          </w:r>
          <w:r w:rsidRPr="0005484E">
            <w:rPr>
              <w:szCs w:val="8"/>
            </w:rPr>
            <w:t xml:space="preserve">. </w:t>
          </w:r>
          <w:r w:rsidR="00EB5121">
            <w:rPr>
              <w:szCs w:val="8"/>
            </w:rPr>
            <w:t>1</w:t>
          </w:r>
          <w:r>
            <w:rPr>
              <w:szCs w:val="8"/>
            </w:rPr>
            <w:t>. 202</w:t>
          </w:r>
          <w:r w:rsidR="00E90BDD">
            <w:rPr>
              <w:szCs w:val="8"/>
            </w:rPr>
            <w:t>6</w:t>
          </w:r>
        </w:p>
        <w:p w14:paraId="281C8478" w14:textId="1FF20E10" w:rsidR="00351B6D" w:rsidRPr="005C3C2F" w:rsidRDefault="00351B6D" w:rsidP="00F81B38">
          <w:pPr>
            <w:pStyle w:val="Registration"/>
            <w:jc w:val="right"/>
            <w:rPr>
              <w:sz w:val="18"/>
              <w:szCs w:val="18"/>
            </w:rPr>
          </w:pPr>
          <w:r w:rsidRPr="0005484E">
            <w:rPr>
              <w:szCs w:val="8"/>
            </w:rPr>
            <w:t xml:space="preserve">Ver f </w:t>
          </w:r>
          <w:r>
            <w:rPr>
              <w:szCs w:val="8"/>
            </w:rPr>
            <w:t>G_smlouva</w:t>
          </w:r>
          <w:r w:rsidRPr="0005484E">
            <w:rPr>
              <w:szCs w:val="8"/>
            </w:rPr>
            <w:t xml:space="preserve">.DOT </w:t>
          </w:r>
          <w:r w:rsidRPr="0005484E">
            <w:rPr>
              <w:szCs w:val="8"/>
            </w:rPr>
            <w:fldChar w:fldCharType="begin"/>
          </w:r>
          <w:r w:rsidRPr="0005484E">
            <w:rPr>
              <w:szCs w:val="8"/>
            </w:rPr>
            <w:instrText>\DATE</w:instrText>
          </w:r>
          <w:r w:rsidRPr="0005484E">
            <w:rPr>
              <w:szCs w:val="8"/>
            </w:rPr>
            <w:fldChar w:fldCharType="separate"/>
          </w:r>
          <w:r w:rsidR="00427C89">
            <w:rPr>
              <w:noProof/>
              <w:szCs w:val="8"/>
            </w:rPr>
            <w:t>23.3.2026</w:t>
          </w:r>
          <w:r w:rsidRPr="0005484E">
            <w:rPr>
              <w:szCs w:val="8"/>
            </w:rPr>
            <w:fldChar w:fldCharType="end"/>
          </w:r>
          <w:r w:rsidRPr="0005484E">
            <w:rPr>
              <w:szCs w:val="8"/>
            </w:rPr>
            <w:t xml:space="preserve"> </w:t>
          </w:r>
          <w:r w:rsidRPr="0005484E">
            <w:rPr>
              <w:szCs w:val="8"/>
            </w:rPr>
            <w:fldChar w:fldCharType="begin"/>
          </w:r>
          <w:r w:rsidRPr="0005484E">
            <w:rPr>
              <w:szCs w:val="8"/>
            </w:rPr>
            <w:instrText>\TIME</w:instrText>
          </w:r>
          <w:r w:rsidRPr="0005484E">
            <w:rPr>
              <w:szCs w:val="8"/>
            </w:rPr>
            <w:fldChar w:fldCharType="separate"/>
          </w:r>
          <w:r w:rsidR="00427C89">
            <w:rPr>
              <w:noProof/>
              <w:szCs w:val="8"/>
            </w:rPr>
            <w:t>2:44 odp.</w:t>
          </w:r>
          <w:r w:rsidRPr="0005484E">
            <w:rPr>
              <w:szCs w:val="8"/>
            </w:rPr>
            <w:fldChar w:fldCharType="end"/>
          </w:r>
        </w:p>
      </w:tc>
    </w:tr>
  </w:tbl>
  <w:p w14:paraId="0E0358D0" w14:textId="77777777" w:rsidR="00351B6D" w:rsidRPr="00127534" w:rsidRDefault="00351B6D">
    <w:pPr>
      <w:pStyle w:val="Zpat"/>
      <w:rPr>
        <w:sz w:val="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01"/>
      <w:gridCol w:w="4038"/>
    </w:tblGrid>
    <w:tr w:rsidR="00351B6D" w:rsidRPr="004A43E2" w14:paraId="61F735AA" w14:textId="77777777">
      <w:tc>
        <w:tcPr>
          <w:tcW w:w="5601" w:type="dxa"/>
          <w:tcBorders>
            <w:top w:val="nil"/>
            <w:left w:val="nil"/>
            <w:bottom w:val="nil"/>
            <w:right w:val="nil"/>
          </w:tcBorders>
        </w:tcPr>
        <w:p w14:paraId="6C2628D6" w14:textId="77777777" w:rsidR="00351B6D" w:rsidRDefault="00351B6D">
          <w:pPr>
            <w:pStyle w:val="kbFixedtext"/>
            <w:spacing w:before="100"/>
          </w:pPr>
          <w:r>
            <w:t xml:space="preserve">Komerční banka, a.s., se sídlem: </w:t>
          </w:r>
        </w:p>
        <w:p w14:paraId="0EF984D1" w14:textId="77777777" w:rsidR="00351B6D" w:rsidRDefault="00351B6D">
          <w:pPr>
            <w:pStyle w:val="kbFixedtext"/>
          </w:pPr>
          <w:r>
            <w:t>Praha 1, Na Příkopě 33 čp. 969, PSČ 114 07, IČO: 45317054</w:t>
          </w:r>
        </w:p>
        <w:p w14:paraId="15690F22" w14:textId="77777777" w:rsidR="00351B6D" w:rsidRDefault="00351B6D">
          <w:pPr>
            <w:pStyle w:val="kbRegistration"/>
          </w:pPr>
          <w:r>
            <w:t>ZAPSANÁ V OBCHODNÍM REJSTŘÍKU VEDENÉM MĚSTSKÝm SOUDEM V PRAZE, ODDÍL B, VLOŽKA 1360</w:t>
          </w:r>
        </w:p>
      </w:tc>
      <w:tc>
        <w:tcPr>
          <w:tcW w:w="4038" w:type="dxa"/>
          <w:tcBorders>
            <w:top w:val="nil"/>
            <w:left w:val="nil"/>
            <w:bottom w:val="nil"/>
            <w:right w:val="nil"/>
          </w:tcBorders>
        </w:tcPr>
        <w:p w14:paraId="7A765095" w14:textId="552B6AD8" w:rsidR="00351B6D" w:rsidRDefault="00351B6D">
          <w:pPr>
            <w:pStyle w:val="kbFixedtext"/>
            <w:spacing w:before="100"/>
            <w:jc w:val="right"/>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427C89">
            <w:rPr>
              <w:rStyle w:val="slostrnky"/>
              <w:noProof/>
            </w:rPr>
            <w:t>2</w:t>
          </w:r>
          <w:r>
            <w:rPr>
              <w:rStyle w:val="slostrnky"/>
            </w:rPr>
            <w:fldChar w:fldCharType="end"/>
          </w:r>
        </w:p>
        <w:p w14:paraId="27FE5E0A" w14:textId="77777777" w:rsidR="00351B6D" w:rsidRPr="0005484E" w:rsidRDefault="00351B6D" w:rsidP="00F81B38">
          <w:pPr>
            <w:pStyle w:val="Registration"/>
            <w:jc w:val="right"/>
            <w:rPr>
              <w:szCs w:val="8"/>
            </w:rPr>
          </w:pPr>
          <w:r>
            <w:rPr>
              <w:szCs w:val="8"/>
            </w:rPr>
            <w:t xml:space="preserve">Datum účinnosti šablony </w:t>
          </w:r>
          <w:r w:rsidR="00EB5121">
            <w:rPr>
              <w:szCs w:val="8"/>
            </w:rPr>
            <w:t>1</w:t>
          </w:r>
          <w:r w:rsidR="00E90BDD">
            <w:rPr>
              <w:szCs w:val="8"/>
            </w:rPr>
            <w:t>2</w:t>
          </w:r>
          <w:r w:rsidRPr="0005484E">
            <w:rPr>
              <w:szCs w:val="8"/>
            </w:rPr>
            <w:t xml:space="preserve">. </w:t>
          </w:r>
          <w:r w:rsidR="00EB5121">
            <w:rPr>
              <w:szCs w:val="8"/>
            </w:rPr>
            <w:t>1</w:t>
          </w:r>
          <w:r>
            <w:rPr>
              <w:szCs w:val="8"/>
            </w:rPr>
            <w:t>. 202</w:t>
          </w:r>
          <w:r w:rsidR="00E90BDD">
            <w:rPr>
              <w:szCs w:val="8"/>
            </w:rPr>
            <w:t>6</w:t>
          </w:r>
        </w:p>
        <w:p w14:paraId="646A6D7D" w14:textId="6185029B" w:rsidR="00351B6D" w:rsidRPr="005C3C2F" w:rsidRDefault="00351B6D" w:rsidP="00F81B38">
          <w:pPr>
            <w:pStyle w:val="Registration"/>
            <w:jc w:val="right"/>
            <w:rPr>
              <w:sz w:val="18"/>
              <w:szCs w:val="18"/>
            </w:rPr>
          </w:pPr>
          <w:r w:rsidRPr="0005484E">
            <w:rPr>
              <w:szCs w:val="8"/>
            </w:rPr>
            <w:t xml:space="preserve">Ver f </w:t>
          </w:r>
          <w:r>
            <w:rPr>
              <w:szCs w:val="8"/>
            </w:rPr>
            <w:t>g_smlouva</w:t>
          </w:r>
          <w:r w:rsidRPr="0005484E">
            <w:rPr>
              <w:szCs w:val="8"/>
            </w:rPr>
            <w:t xml:space="preserve">.DOT </w:t>
          </w:r>
          <w:r w:rsidRPr="0005484E">
            <w:rPr>
              <w:szCs w:val="8"/>
            </w:rPr>
            <w:fldChar w:fldCharType="begin"/>
          </w:r>
          <w:r w:rsidRPr="0005484E">
            <w:rPr>
              <w:szCs w:val="8"/>
            </w:rPr>
            <w:instrText>\DATE</w:instrText>
          </w:r>
          <w:r w:rsidRPr="0005484E">
            <w:rPr>
              <w:szCs w:val="8"/>
            </w:rPr>
            <w:fldChar w:fldCharType="separate"/>
          </w:r>
          <w:r w:rsidR="00427C89">
            <w:rPr>
              <w:noProof/>
              <w:szCs w:val="8"/>
            </w:rPr>
            <w:t>23.3.2026</w:t>
          </w:r>
          <w:r w:rsidRPr="0005484E">
            <w:rPr>
              <w:szCs w:val="8"/>
            </w:rPr>
            <w:fldChar w:fldCharType="end"/>
          </w:r>
          <w:r w:rsidRPr="0005484E">
            <w:rPr>
              <w:szCs w:val="8"/>
            </w:rPr>
            <w:t xml:space="preserve"> </w:t>
          </w:r>
          <w:r w:rsidRPr="0005484E">
            <w:rPr>
              <w:szCs w:val="8"/>
            </w:rPr>
            <w:fldChar w:fldCharType="begin"/>
          </w:r>
          <w:r w:rsidRPr="0005484E">
            <w:rPr>
              <w:szCs w:val="8"/>
            </w:rPr>
            <w:instrText>\TIME</w:instrText>
          </w:r>
          <w:r w:rsidRPr="0005484E">
            <w:rPr>
              <w:szCs w:val="8"/>
            </w:rPr>
            <w:fldChar w:fldCharType="separate"/>
          </w:r>
          <w:r w:rsidR="00427C89">
            <w:rPr>
              <w:noProof/>
              <w:szCs w:val="8"/>
            </w:rPr>
            <w:t>2:44 odp.</w:t>
          </w:r>
          <w:r w:rsidRPr="0005484E">
            <w:rPr>
              <w:szCs w:val="8"/>
            </w:rPr>
            <w:fldChar w:fldCharType="end"/>
          </w:r>
        </w:p>
      </w:tc>
    </w:tr>
  </w:tbl>
  <w:p w14:paraId="63D2B21E" w14:textId="77777777" w:rsidR="00351B6D" w:rsidRPr="00127534" w:rsidRDefault="00351B6D">
    <w:pPr>
      <w:pStyle w:val="Zpat"/>
      <w:rPr>
        <w:sz w:val="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01"/>
      <w:gridCol w:w="4038"/>
    </w:tblGrid>
    <w:tr w:rsidR="00351B6D" w:rsidRPr="004A43E2" w14:paraId="279E1DD8" w14:textId="77777777">
      <w:tc>
        <w:tcPr>
          <w:tcW w:w="5601" w:type="dxa"/>
          <w:tcBorders>
            <w:top w:val="nil"/>
            <w:left w:val="nil"/>
            <w:bottom w:val="nil"/>
            <w:right w:val="nil"/>
          </w:tcBorders>
        </w:tcPr>
        <w:p w14:paraId="59B1B8A8" w14:textId="77777777" w:rsidR="00351B6D" w:rsidRDefault="00351B6D">
          <w:pPr>
            <w:pStyle w:val="kbFixedtext"/>
            <w:spacing w:before="100"/>
          </w:pPr>
          <w:r>
            <w:t xml:space="preserve">Komerční banka, a.s., se sídlem: </w:t>
          </w:r>
        </w:p>
        <w:p w14:paraId="1205FCFF" w14:textId="77777777" w:rsidR="00351B6D" w:rsidRDefault="00351B6D">
          <w:pPr>
            <w:pStyle w:val="kbFixedtext"/>
          </w:pPr>
          <w:r>
            <w:t>Praha 1, Na Příkopě 33 čp. 969, PSČ 114 07, IČO: 45317054</w:t>
          </w:r>
        </w:p>
        <w:p w14:paraId="0AC76EB3" w14:textId="77777777" w:rsidR="00351B6D" w:rsidRDefault="00351B6D">
          <w:pPr>
            <w:pStyle w:val="kbRegistration"/>
          </w:pPr>
          <w:r>
            <w:t>ZAPSANÁ V OBCHODNÍM REJSTŘÍKU VEDENÉM MĚSTSKÝm SOUDEM V PRAZE, ODDÍL B, VLOŽKA 1360</w:t>
          </w:r>
        </w:p>
      </w:tc>
      <w:tc>
        <w:tcPr>
          <w:tcW w:w="4038" w:type="dxa"/>
          <w:tcBorders>
            <w:top w:val="nil"/>
            <w:left w:val="nil"/>
            <w:bottom w:val="nil"/>
            <w:right w:val="nil"/>
          </w:tcBorders>
        </w:tcPr>
        <w:p w14:paraId="1FEE7503" w14:textId="3F2B7FFB" w:rsidR="00351B6D" w:rsidRDefault="00351B6D">
          <w:pPr>
            <w:pStyle w:val="kbFixedtext"/>
            <w:spacing w:before="100"/>
            <w:jc w:val="right"/>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427C89">
            <w:rPr>
              <w:rStyle w:val="slostrnky"/>
              <w:noProof/>
            </w:rPr>
            <w:t>2</w:t>
          </w:r>
          <w:r>
            <w:rPr>
              <w:rStyle w:val="slostrnky"/>
            </w:rPr>
            <w:fldChar w:fldCharType="end"/>
          </w:r>
          <w:r>
            <w:rPr>
              <w:rStyle w:val="slostrnky"/>
            </w:rPr>
            <w:t xml:space="preserve"> </w:t>
          </w:r>
        </w:p>
        <w:p w14:paraId="1A0BBF78" w14:textId="77777777" w:rsidR="00351B6D" w:rsidRPr="0005484E" w:rsidRDefault="00351B6D" w:rsidP="00F81B38">
          <w:pPr>
            <w:pStyle w:val="Registration"/>
            <w:jc w:val="right"/>
            <w:rPr>
              <w:szCs w:val="8"/>
            </w:rPr>
          </w:pPr>
          <w:r w:rsidRPr="0005484E">
            <w:rPr>
              <w:szCs w:val="8"/>
            </w:rPr>
            <w:t xml:space="preserve">Datum účinnosti šablony </w:t>
          </w:r>
          <w:r w:rsidR="00EB5121">
            <w:rPr>
              <w:szCs w:val="8"/>
            </w:rPr>
            <w:t>1</w:t>
          </w:r>
          <w:r w:rsidR="00E90BDD">
            <w:rPr>
              <w:szCs w:val="8"/>
            </w:rPr>
            <w:t>2</w:t>
          </w:r>
          <w:r w:rsidRPr="0005484E">
            <w:rPr>
              <w:szCs w:val="8"/>
            </w:rPr>
            <w:t xml:space="preserve">. </w:t>
          </w:r>
          <w:r w:rsidR="00EB5121">
            <w:rPr>
              <w:szCs w:val="8"/>
            </w:rPr>
            <w:t>1</w:t>
          </w:r>
          <w:r>
            <w:rPr>
              <w:szCs w:val="8"/>
            </w:rPr>
            <w:t>. 202</w:t>
          </w:r>
          <w:r w:rsidR="00E90BDD">
            <w:rPr>
              <w:szCs w:val="8"/>
            </w:rPr>
            <w:t>6</w:t>
          </w:r>
        </w:p>
        <w:p w14:paraId="4FBD2E18" w14:textId="540B6167" w:rsidR="00351B6D" w:rsidRPr="005C3C2F" w:rsidRDefault="00351B6D" w:rsidP="00F81B38">
          <w:pPr>
            <w:pStyle w:val="Registration"/>
            <w:jc w:val="right"/>
            <w:rPr>
              <w:sz w:val="18"/>
              <w:szCs w:val="18"/>
            </w:rPr>
          </w:pPr>
          <w:r w:rsidRPr="0005484E">
            <w:rPr>
              <w:szCs w:val="8"/>
            </w:rPr>
            <w:t xml:space="preserve">Ver f </w:t>
          </w:r>
          <w:r>
            <w:rPr>
              <w:szCs w:val="8"/>
            </w:rPr>
            <w:t>g_smlouva</w:t>
          </w:r>
          <w:r w:rsidRPr="0005484E">
            <w:rPr>
              <w:szCs w:val="8"/>
            </w:rPr>
            <w:t xml:space="preserve">.DOT </w:t>
          </w:r>
          <w:r w:rsidRPr="0005484E">
            <w:rPr>
              <w:szCs w:val="8"/>
            </w:rPr>
            <w:fldChar w:fldCharType="begin"/>
          </w:r>
          <w:r w:rsidRPr="0005484E">
            <w:rPr>
              <w:szCs w:val="8"/>
            </w:rPr>
            <w:instrText>\DATE</w:instrText>
          </w:r>
          <w:r w:rsidRPr="0005484E">
            <w:rPr>
              <w:szCs w:val="8"/>
            </w:rPr>
            <w:fldChar w:fldCharType="separate"/>
          </w:r>
          <w:r w:rsidR="00427C89">
            <w:rPr>
              <w:noProof/>
              <w:szCs w:val="8"/>
            </w:rPr>
            <w:t>23.3.2026</w:t>
          </w:r>
          <w:r w:rsidRPr="0005484E">
            <w:rPr>
              <w:szCs w:val="8"/>
            </w:rPr>
            <w:fldChar w:fldCharType="end"/>
          </w:r>
          <w:r w:rsidRPr="0005484E">
            <w:rPr>
              <w:szCs w:val="8"/>
            </w:rPr>
            <w:t xml:space="preserve"> </w:t>
          </w:r>
          <w:r w:rsidRPr="0005484E">
            <w:rPr>
              <w:szCs w:val="8"/>
            </w:rPr>
            <w:fldChar w:fldCharType="begin"/>
          </w:r>
          <w:r w:rsidRPr="0005484E">
            <w:rPr>
              <w:szCs w:val="8"/>
            </w:rPr>
            <w:instrText>\TIME</w:instrText>
          </w:r>
          <w:r w:rsidRPr="0005484E">
            <w:rPr>
              <w:szCs w:val="8"/>
            </w:rPr>
            <w:fldChar w:fldCharType="separate"/>
          </w:r>
          <w:r w:rsidR="00427C89">
            <w:rPr>
              <w:noProof/>
              <w:szCs w:val="8"/>
            </w:rPr>
            <w:t>2:44 odp.</w:t>
          </w:r>
          <w:r w:rsidRPr="0005484E">
            <w:rPr>
              <w:szCs w:val="8"/>
            </w:rPr>
            <w:fldChar w:fldCharType="end"/>
          </w:r>
        </w:p>
      </w:tc>
    </w:tr>
  </w:tbl>
  <w:p w14:paraId="77EBBA1D" w14:textId="77777777" w:rsidR="00351B6D" w:rsidRPr="00127534" w:rsidRDefault="00351B6D">
    <w:pPr>
      <w:pStyle w:val="Zpat"/>
      <w:rPr>
        <w:sz w:val="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01"/>
      <w:gridCol w:w="4038"/>
    </w:tblGrid>
    <w:tr w:rsidR="00351B6D" w:rsidRPr="004A43E2" w14:paraId="13EC2071" w14:textId="77777777">
      <w:tc>
        <w:tcPr>
          <w:tcW w:w="5601" w:type="dxa"/>
          <w:tcBorders>
            <w:top w:val="nil"/>
            <w:left w:val="nil"/>
            <w:bottom w:val="nil"/>
            <w:right w:val="nil"/>
          </w:tcBorders>
        </w:tcPr>
        <w:p w14:paraId="30F8773B" w14:textId="77777777" w:rsidR="00351B6D" w:rsidRDefault="00351B6D">
          <w:pPr>
            <w:pStyle w:val="kbFixedtext"/>
            <w:spacing w:before="100"/>
          </w:pPr>
          <w:r>
            <w:t xml:space="preserve">Komerční banka, a.s., se sídlem: </w:t>
          </w:r>
        </w:p>
        <w:p w14:paraId="4702D558" w14:textId="77777777" w:rsidR="00351B6D" w:rsidRDefault="00351B6D">
          <w:pPr>
            <w:pStyle w:val="kbFixedtext"/>
          </w:pPr>
          <w:r>
            <w:t>Praha 1, Na Příkopě 33 čp. 969, PSČ 114 07, IČO: 45317054</w:t>
          </w:r>
        </w:p>
        <w:p w14:paraId="52BF72AD" w14:textId="77777777" w:rsidR="00351B6D" w:rsidRDefault="00351B6D">
          <w:pPr>
            <w:pStyle w:val="kbRegistration"/>
          </w:pPr>
          <w:r>
            <w:t>ZAPSANÁ V OBCHODNÍM REJSTŘÍKU VEDENÉM MĚSTSKÝm SOUDEM V PRAZE, ODDÍL B, VLOŽKA 1360</w:t>
          </w:r>
        </w:p>
      </w:tc>
      <w:tc>
        <w:tcPr>
          <w:tcW w:w="4038" w:type="dxa"/>
          <w:tcBorders>
            <w:top w:val="nil"/>
            <w:left w:val="nil"/>
            <w:bottom w:val="nil"/>
            <w:right w:val="nil"/>
          </w:tcBorders>
        </w:tcPr>
        <w:p w14:paraId="159F2B4B" w14:textId="0190D79F" w:rsidR="00351B6D" w:rsidRDefault="00351B6D">
          <w:pPr>
            <w:pStyle w:val="kbFixedtext"/>
            <w:spacing w:before="100"/>
            <w:jc w:val="right"/>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427C89">
            <w:rPr>
              <w:rStyle w:val="slostrnky"/>
              <w:noProof/>
            </w:rPr>
            <w:t>1</w:t>
          </w:r>
          <w:r>
            <w:rPr>
              <w:rStyle w:val="slostrnky"/>
            </w:rPr>
            <w:fldChar w:fldCharType="end"/>
          </w:r>
        </w:p>
        <w:p w14:paraId="164CAAEC" w14:textId="77777777" w:rsidR="00351B6D" w:rsidRPr="0005484E" w:rsidRDefault="00351B6D" w:rsidP="00F81B38">
          <w:pPr>
            <w:pStyle w:val="Registration"/>
            <w:jc w:val="right"/>
            <w:rPr>
              <w:szCs w:val="8"/>
            </w:rPr>
          </w:pPr>
          <w:r w:rsidRPr="0005484E">
            <w:rPr>
              <w:szCs w:val="8"/>
            </w:rPr>
            <w:t xml:space="preserve">Datum účinnosti šablony </w:t>
          </w:r>
          <w:r w:rsidR="00EB5121">
            <w:rPr>
              <w:szCs w:val="8"/>
            </w:rPr>
            <w:t>1</w:t>
          </w:r>
          <w:r w:rsidR="00E90BDD">
            <w:rPr>
              <w:szCs w:val="8"/>
            </w:rPr>
            <w:t>2</w:t>
          </w:r>
          <w:r w:rsidRPr="0005484E">
            <w:rPr>
              <w:szCs w:val="8"/>
            </w:rPr>
            <w:t xml:space="preserve">. </w:t>
          </w:r>
          <w:r w:rsidR="00EB5121">
            <w:rPr>
              <w:szCs w:val="8"/>
            </w:rPr>
            <w:t>1</w:t>
          </w:r>
          <w:r>
            <w:rPr>
              <w:szCs w:val="8"/>
            </w:rPr>
            <w:t>. 202</w:t>
          </w:r>
          <w:r w:rsidR="00E90BDD">
            <w:rPr>
              <w:szCs w:val="8"/>
            </w:rPr>
            <w:t>6</w:t>
          </w:r>
        </w:p>
        <w:p w14:paraId="1645EEF0" w14:textId="52CB33CF" w:rsidR="00351B6D" w:rsidRPr="005C3C2F" w:rsidRDefault="00351B6D" w:rsidP="00F81B38">
          <w:pPr>
            <w:pStyle w:val="Registration"/>
            <w:jc w:val="right"/>
            <w:rPr>
              <w:sz w:val="18"/>
              <w:szCs w:val="18"/>
            </w:rPr>
          </w:pPr>
          <w:r w:rsidRPr="0005484E">
            <w:rPr>
              <w:szCs w:val="8"/>
            </w:rPr>
            <w:t xml:space="preserve">Ver f </w:t>
          </w:r>
          <w:r>
            <w:rPr>
              <w:szCs w:val="8"/>
            </w:rPr>
            <w:t>g_smlouva</w:t>
          </w:r>
          <w:r w:rsidRPr="0005484E">
            <w:rPr>
              <w:szCs w:val="8"/>
            </w:rPr>
            <w:t xml:space="preserve">.DOT </w:t>
          </w:r>
          <w:r w:rsidRPr="0005484E">
            <w:rPr>
              <w:szCs w:val="8"/>
            </w:rPr>
            <w:fldChar w:fldCharType="begin"/>
          </w:r>
          <w:r w:rsidRPr="0005484E">
            <w:rPr>
              <w:szCs w:val="8"/>
            </w:rPr>
            <w:instrText>\DATE</w:instrText>
          </w:r>
          <w:r w:rsidRPr="0005484E">
            <w:rPr>
              <w:szCs w:val="8"/>
            </w:rPr>
            <w:fldChar w:fldCharType="separate"/>
          </w:r>
          <w:r w:rsidR="00427C89">
            <w:rPr>
              <w:noProof/>
              <w:szCs w:val="8"/>
            </w:rPr>
            <w:t>23.3.2026</w:t>
          </w:r>
          <w:r w:rsidRPr="0005484E">
            <w:rPr>
              <w:szCs w:val="8"/>
            </w:rPr>
            <w:fldChar w:fldCharType="end"/>
          </w:r>
          <w:r w:rsidRPr="0005484E">
            <w:rPr>
              <w:szCs w:val="8"/>
            </w:rPr>
            <w:t xml:space="preserve"> </w:t>
          </w:r>
          <w:r w:rsidRPr="0005484E">
            <w:rPr>
              <w:szCs w:val="8"/>
            </w:rPr>
            <w:fldChar w:fldCharType="begin"/>
          </w:r>
          <w:r w:rsidRPr="0005484E">
            <w:rPr>
              <w:szCs w:val="8"/>
            </w:rPr>
            <w:instrText>\TIME</w:instrText>
          </w:r>
          <w:r w:rsidRPr="0005484E">
            <w:rPr>
              <w:szCs w:val="8"/>
            </w:rPr>
            <w:fldChar w:fldCharType="separate"/>
          </w:r>
          <w:r w:rsidR="00427C89">
            <w:rPr>
              <w:noProof/>
              <w:szCs w:val="8"/>
            </w:rPr>
            <w:t>2:44 odp.</w:t>
          </w:r>
          <w:r w:rsidRPr="0005484E">
            <w:rPr>
              <w:szCs w:val="8"/>
            </w:rPr>
            <w:fldChar w:fldCharType="end"/>
          </w:r>
        </w:p>
      </w:tc>
    </w:tr>
  </w:tbl>
  <w:p w14:paraId="64A54BD1" w14:textId="77777777" w:rsidR="00351B6D" w:rsidRPr="00127534" w:rsidRDefault="00351B6D">
    <w:pPr>
      <w:pStyle w:val="Zpat"/>
      <w:rPr>
        <w:sz w:val="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01"/>
      <w:gridCol w:w="4038"/>
    </w:tblGrid>
    <w:tr w:rsidR="00351B6D" w:rsidRPr="004A43E2" w14:paraId="7A0CAF80" w14:textId="77777777">
      <w:tc>
        <w:tcPr>
          <w:tcW w:w="5601" w:type="dxa"/>
          <w:tcBorders>
            <w:top w:val="nil"/>
            <w:left w:val="nil"/>
            <w:bottom w:val="nil"/>
            <w:right w:val="nil"/>
          </w:tcBorders>
        </w:tcPr>
        <w:p w14:paraId="675FCCC2" w14:textId="77777777" w:rsidR="00351B6D" w:rsidRDefault="00351B6D">
          <w:pPr>
            <w:pStyle w:val="kbFixedtext"/>
            <w:spacing w:before="100"/>
          </w:pPr>
          <w:r>
            <w:t xml:space="preserve">Komerční banka, a.s., se sídlem: </w:t>
          </w:r>
        </w:p>
        <w:p w14:paraId="613F0BE9" w14:textId="77777777" w:rsidR="00351B6D" w:rsidRDefault="00351B6D">
          <w:pPr>
            <w:pStyle w:val="kbFixedtext"/>
          </w:pPr>
          <w:r>
            <w:t>Praha 1, Na Příkopě 33 čp. 969, PSČ 114 07, IČO: 45317054</w:t>
          </w:r>
        </w:p>
        <w:p w14:paraId="4AB8D6E4" w14:textId="77777777" w:rsidR="00351B6D" w:rsidRDefault="00351B6D">
          <w:pPr>
            <w:pStyle w:val="kbRegistration"/>
          </w:pPr>
          <w:r>
            <w:t>ZAPSANÁ V OBCHODNÍM REJSTŘÍKU VEDENÉM MĚSTSKÝm SOUDEM V PRAZE, ODDÍL B, VLOŽKA 1360</w:t>
          </w:r>
        </w:p>
      </w:tc>
      <w:tc>
        <w:tcPr>
          <w:tcW w:w="4038" w:type="dxa"/>
          <w:tcBorders>
            <w:top w:val="nil"/>
            <w:left w:val="nil"/>
            <w:bottom w:val="nil"/>
            <w:right w:val="nil"/>
          </w:tcBorders>
        </w:tcPr>
        <w:p w14:paraId="3018BC3A" w14:textId="46058B78" w:rsidR="00351B6D" w:rsidRDefault="00351B6D">
          <w:pPr>
            <w:pStyle w:val="kbFixedtext"/>
            <w:spacing w:before="100"/>
            <w:jc w:val="right"/>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427C89">
            <w:rPr>
              <w:rStyle w:val="slostrnky"/>
              <w:noProof/>
            </w:rPr>
            <w:t>18</w:t>
          </w:r>
          <w:r>
            <w:rPr>
              <w:rStyle w:val="slostrnky"/>
            </w:rPr>
            <w:fldChar w:fldCharType="end"/>
          </w:r>
        </w:p>
        <w:p w14:paraId="3FF9B6EA" w14:textId="77777777" w:rsidR="00351B6D" w:rsidRPr="0005484E" w:rsidRDefault="00351B6D" w:rsidP="00F81B38">
          <w:pPr>
            <w:pStyle w:val="Registration"/>
            <w:jc w:val="right"/>
            <w:rPr>
              <w:szCs w:val="8"/>
            </w:rPr>
          </w:pPr>
          <w:r>
            <w:rPr>
              <w:szCs w:val="8"/>
            </w:rPr>
            <w:t xml:space="preserve">Datum účinnosti šablony </w:t>
          </w:r>
          <w:r w:rsidR="00EB5121">
            <w:rPr>
              <w:szCs w:val="8"/>
            </w:rPr>
            <w:t>1</w:t>
          </w:r>
          <w:r w:rsidR="00E90BDD">
            <w:rPr>
              <w:szCs w:val="8"/>
            </w:rPr>
            <w:t>2</w:t>
          </w:r>
          <w:r w:rsidRPr="0005484E">
            <w:rPr>
              <w:szCs w:val="8"/>
            </w:rPr>
            <w:t xml:space="preserve">. </w:t>
          </w:r>
          <w:r w:rsidR="00EB5121">
            <w:rPr>
              <w:szCs w:val="8"/>
            </w:rPr>
            <w:t>1</w:t>
          </w:r>
          <w:r>
            <w:rPr>
              <w:szCs w:val="8"/>
            </w:rPr>
            <w:t>. 202</w:t>
          </w:r>
          <w:r w:rsidR="00E90BDD">
            <w:rPr>
              <w:szCs w:val="8"/>
            </w:rPr>
            <w:t>6</w:t>
          </w:r>
        </w:p>
        <w:p w14:paraId="69EB1189" w14:textId="158F4770" w:rsidR="00351B6D" w:rsidRPr="005C3C2F" w:rsidRDefault="00351B6D" w:rsidP="00F81B38">
          <w:pPr>
            <w:pStyle w:val="Registration"/>
            <w:jc w:val="right"/>
            <w:rPr>
              <w:sz w:val="18"/>
              <w:szCs w:val="18"/>
            </w:rPr>
          </w:pPr>
          <w:r w:rsidRPr="0005484E">
            <w:rPr>
              <w:szCs w:val="8"/>
            </w:rPr>
            <w:t xml:space="preserve">Ver f </w:t>
          </w:r>
          <w:r>
            <w:rPr>
              <w:szCs w:val="8"/>
            </w:rPr>
            <w:t>g_smlouva</w:t>
          </w:r>
          <w:r w:rsidRPr="0005484E">
            <w:rPr>
              <w:szCs w:val="8"/>
            </w:rPr>
            <w:t xml:space="preserve">.DOT </w:t>
          </w:r>
          <w:r w:rsidRPr="0005484E">
            <w:rPr>
              <w:szCs w:val="8"/>
            </w:rPr>
            <w:fldChar w:fldCharType="begin"/>
          </w:r>
          <w:r w:rsidRPr="0005484E">
            <w:rPr>
              <w:szCs w:val="8"/>
            </w:rPr>
            <w:instrText>\DATE</w:instrText>
          </w:r>
          <w:r w:rsidRPr="0005484E">
            <w:rPr>
              <w:szCs w:val="8"/>
            </w:rPr>
            <w:fldChar w:fldCharType="separate"/>
          </w:r>
          <w:r w:rsidR="00427C89">
            <w:rPr>
              <w:noProof/>
              <w:szCs w:val="8"/>
            </w:rPr>
            <w:t>23.3.2026</w:t>
          </w:r>
          <w:r w:rsidRPr="0005484E">
            <w:rPr>
              <w:szCs w:val="8"/>
            </w:rPr>
            <w:fldChar w:fldCharType="end"/>
          </w:r>
          <w:r w:rsidRPr="0005484E">
            <w:rPr>
              <w:szCs w:val="8"/>
            </w:rPr>
            <w:t xml:space="preserve"> </w:t>
          </w:r>
          <w:r w:rsidRPr="0005484E">
            <w:rPr>
              <w:szCs w:val="8"/>
            </w:rPr>
            <w:fldChar w:fldCharType="begin"/>
          </w:r>
          <w:r w:rsidRPr="0005484E">
            <w:rPr>
              <w:szCs w:val="8"/>
            </w:rPr>
            <w:instrText>\TIME</w:instrText>
          </w:r>
          <w:r w:rsidRPr="0005484E">
            <w:rPr>
              <w:szCs w:val="8"/>
            </w:rPr>
            <w:fldChar w:fldCharType="separate"/>
          </w:r>
          <w:r w:rsidR="00427C89">
            <w:rPr>
              <w:noProof/>
              <w:szCs w:val="8"/>
            </w:rPr>
            <w:t>2:44 odp.</w:t>
          </w:r>
          <w:r w:rsidRPr="0005484E">
            <w:rPr>
              <w:szCs w:val="8"/>
            </w:rPr>
            <w:fldChar w:fldCharType="end"/>
          </w:r>
        </w:p>
      </w:tc>
    </w:tr>
  </w:tbl>
  <w:p w14:paraId="53B5AF92" w14:textId="77777777" w:rsidR="00351B6D" w:rsidRPr="00127534" w:rsidRDefault="00351B6D">
    <w:pPr>
      <w:pStyle w:val="Zpat"/>
      <w:rPr>
        <w:sz w:val="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5601"/>
      <w:gridCol w:w="4038"/>
    </w:tblGrid>
    <w:tr w:rsidR="00351B6D" w:rsidRPr="004A43E2" w14:paraId="5C5BC861" w14:textId="77777777">
      <w:tc>
        <w:tcPr>
          <w:tcW w:w="5601" w:type="dxa"/>
          <w:tcBorders>
            <w:top w:val="nil"/>
            <w:left w:val="nil"/>
            <w:bottom w:val="nil"/>
            <w:right w:val="nil"/>
          </w:tcBorders>
        </w:tcPr>
        <w:p w14:paraId="02E2E5F0" w14:textId="77777777" w:rsidR="00351B6D" w:rsidRDefault="00351B6D">
          <w:pPr>
            <w:pStyle w:val="kbFixedtext"/>
            <w:spacing w:before="100"/>
          </w:pPr>
          <w:r>
            <w:t xml:space="preserve">Komerční banka, a.s., se sídlem: </w:t>
          </w:r>
        </w:p>
        <w:p w14:paraId="559BE87A" w14:textId="77777777" w:rsidR="00351B6D" w:rsidRDefault="00351B6D">
          <w:pPr>
            <w:pStyle w:val="kbFixedtext"/>
          </w:pPr>
          <w:r>
            <w:t>Praha 1, Na Příkopě 33 čp. 969, PSČ 114 07, IČO: 45317054</w:t>
          </w:r>
        </w:p>
        <w:p w14:paraId="59326451" w14:textId="77777777" w:rsidR="00351B6D" w:rsidRDefault="00351B6D">
          <w:pPr>
            <w:pStyle w:val="kbRegistration"/>
          </w:pPr>
          <w:r>
            <w:t>ZAPSANÁ V OBCHODNÍM REJSTŘÍKU VEDENÉM MĚSTSKÝm SOUDEM V PRAZE, ODDÍL B, VLOŽKA 1360</w:t>
          </w:r>
        </w:p>
      </w:tc>
      <w:tc>
        <w:tcPr>
          <w:tcW w:w="4038" w:type="dxa"/>
          <w:tcBorders>
            <w:top w:val="nil"/>
            <w:left w:val="nil"/>
            <w:bottom w:val="nil"/>
            <w:right w:val="nil"/>
          </w:tcBorders>
        </w:tcPr>
        <w:p w14:paraId="7D3F59A7" w14:textId="5E1E06DF" w:rsidR="00351B6D" w:rsidRDefault="00351B6D">
          <w:pPr>
            <w:pStyle w:val="kbFixedtext"/>
            <w:spacing w:before="100"/>
            <w:jc w:val="right"/>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9</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427C89">
            <w:rPr>
              <w:rStyle w:val="slostrnky"/>
              <w:noProof/>
            </w:rPr>
            <w:t>12</w:t>
          </w:r>
          <w:r>
            <w:rPr>
              <w:rStyle w:val="slostrnky"/>
            </w:rPr>
            <w:fldChar w:fldCharType="end"/>
          </w:r>
        </w:p>
        <w:p w14:paraId="025F60E5" w14:textId="77777777" w:rsidR="00351B6D" w:rsidRPr="0005484E" w:rsidRDefault="00351B6D" w:rsidP="00F81B38">
          <w:pPr>
            <w:pStyle w:val="Registration"/>
            <w:jc w:val="right"/>
            <w:rPr>
              <w:szCs w:val="8"/>
            </w:rPr>
          </w:pPr>
          <w:r w:rsidRPr="0005484E">
            <w:rPr>
              <w:szCs w:val="8"/>
            </w:rPr>
            <w:t xml:space="preserve">Datum účinnosti šablony </w:t>
          </w:r>
          <w:r w:rsidR="00EB5121">
            <w:rPr>
              <w:szCs w:val="8"/>
            </w:rPr>
            <w:t>1</w:t>
          </w:r>
          <w:r w:rsidR="00E90BDD">
            <w:rPr>
              <w:szCs w:val="8"/>
            </w:rPr>
            <w:t>2</w:t>
          </w:r>
          <w:r w:rsidRPr="0005484E">
            <w:rPr>
              <w:szCs w:val="8"/>
            </w:rPr>
            <w:t xml:space="preserve">. </w:t>
          </w:r>
          <w:r w:rsidR="00EB5121">
            <w:rPr>
              <w:szCs w:val="8"/>
            </w:rPr>
            <w:t>1</w:t>
          </w:r>
          <w:r>
            <w:rPr>
              <w:szCs w:val="8"/>
            </w:rPr>
            <w:t>. 202</w:t>
          </w:r>
          <w:r w:rsidR="00E90BDD">
            <w:rPr>
              <w:szCs w:val="8"/>
            </w:rPr>
            <w:t>6</w:t>
          </w:r>
        </w:p>
        <w:p w14:paraId="2014E32C" w14:textId="1FCDFADA" w:rsidR="00351B6D" w:rsidRPr="005C3C2F" w:rsidRDefault="00351B6D" w:rsidP="00F81B38">
          <w:pPr>
            <w:pStyle w:val="Registration"/>
            <w:jc w:val="right"/>
            <w:rPr>
              <w:sz w:val="18"/>
              <w:szCs w:val="18"/>
            </w:rPr>
          </w:pPr>
          <w:r w:rsidRPr="0005484E">
            <w:rPr>
              <w:szCs w:val="8"/>
            </w:rPr>
            <w:t xml:space="preserve">Ver f </w:t>
          </w:r>
          <w:r>
            <w:rPr>
              <w:szCs w:val="8"/>
            </w:rPr>
            <w:t>g_smlouva</w:t>
          </w:r>
          <w:r w:rsidRPr="0005484E">
            <w:rPr>
              <w:szCs w:val="8"/>
            </w:rPr>
            <w:t xml:space="preserve">.DOT </w:t>
          </w:r>
          <w:r w:rsidRPr="0005484E">
            <w:rPr>
              <w:szCs w:val="8"/>
            </w:rPr>
            <w:fldChar w:fldCharType="begin"/>
          </w:r>
          <w:r w:rsidRPr="0005484E">
            <w:rPr>
              <w:szCs w:val="8"/>
            </w:rPr>
            <w:instrText>\DATE</w:instrText>
          </w:r>
          <w:r w:rsidRPr="0005484E">
            <w:rPr>
              <w:szCs w:val="8"/>
            </w:rPr>
            <w:fldChar w:fldCharType="separate"/>
          </w:r>
          <w:r w:rsidR="00427C89">
            <w:rPr>
              <w:noProof/>
              <w:szCs w:val="8"/>
            </w:rPr>
            <w:t>23.3.2026</w:t>
          </w:r>
          <w:r w:rsidRPr="0005484E">
            <w:rPr>
              <w:szCs w:val="8"/>
            </w:rPr>
            <w:fldChar w:fldCharType="end"/>
          </w:r>
          <w:r w:rsidRPr="0005484E">
            <w:rPr>
              <w:szCs w:val="8"/>
            </w:rPr>
            <w:t xml:space="preserve"> </w:t>
          </w:r>
          <w:r w:rsidRPr="0005484E">
            <w:rPr>
              <w:szCs w:val="8"/>
            </w:rPr>
            <w:fldChar w:fldCharType="begin"/>
          </w:r>
          <w:r w:rsidRPr="0005484E">
            <w:rPr>
              <w:szCs w:val="8"/>
            </w:rPr>
            <w:instrText>\TIME</w:instrText>
          </w:r>
          <w:r w:rsidRPr="0005484E">
            <w:rPr>
              <w:szCs w:val="8"/>
            </w:rPr>
            <w:fldChar w:fldCharType="separate"/>
          </w:r>
          <w:r w:rsidR="00427C89">
            <w:rPr>
              <w:noProof/>
              <w:szCs w:val="8"/>
            </w:rPr>
            <w:t>2:44 odp.</w:t>
          </w:r>
          <w:r w:rsidRPr="0005484E">
            <w:rPr>
              <w:szCs w:val="8"/>
            </w:rPr>
            <w:fldChar w:fldCharType="end"/>
          </w:r>
        </w:p>
      </w:tc>
    </w:tr>
  </w:tbl>
  <w:p w14:paraId="48232753" w14:textId="77777777" w:rsidR="00351B6D" w:rsidRPr="00127534" w:rsidRDefault="00351B6D">
    <w:pPr>
      <w:pStyle w:val="Zpat"/>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3D113" w14:textId="77777777" w:rsidR="00B32B21" w:rsidRDefault="00B32B21">
      <w:r>
        <w:separator/>
      </w:r>
    </w:p>
    <w:p w14:paraId="14C8AB23" w14:textId="77777777" w:rsidR="00B32B21" w:rsidRDefault="00B32B21"/>
  </w:footnote>
  <w:footnote w:type="continuationSeparator" w:id="0">
    <w:p w14:paraId="274C96BC" w14:textId="77777777" w:rsidR="00B32B21" w:rsidRDefault="00B32B21">
      <w:r>
        <w:continuationSeparator/>
      </w:r>
    </w:p>
    <w:p w14:paraId="403F6591" w14:textId="77777777" w:rsidR="00B32B21" w:rsidRDefault="00B32B21"/>
  </w:footnote>
  <w:footnote w:id="1">
    <w:p w14:paraId="2DC29024" w14:textId="77777777" w:rsidR="00351B6D" w:rsidRDefault="00351B6D" w:rsidP="006219AF">
      <w:pPr>
        <w:pStyle w:val="Textpoznpodarou"/>
        <w:spacing w:after="120"/>
        <w:ind w:left="284" w:hanging="284"/>
      </w:pPr>
      <w:r>
        <w:rPr>
          <w:rStyle w:val="Znakapoznpodarou"/>
        </w:rPr>
        <w:footnoteRef/>
      </w:r>
      <w:r>
        <w:tab/>
      </w:r>
      <w:r w:rsidRPr="00251B7B">
        <w:rPr>
          <w:sz w:val="16"/>
        </w:rPr>
        <w:t>Tato služby je umožněna pouze pro Obchody se Zlatem v CZK, nikoliv Obchody se Zlatem v EUR.</w:t>
      </w:r>
    </w:p>
  </w:footnote>
  <w:footnote w:id="2">
    <w:p w14:paraId="1C206E40" w14:textId="77777777" w:rsidR="00E02C60" w:rsidRDefault="00E02C60" w:rsidP="00E02C60">
      <w:pPr>
        <w:pStyle w:val="Textpoznpodarou"/>
      </w:pPr>
      <w:r w:rsidRPr="00C50B7B">
        <w:rPr>
          <w:rStyle w:val="Znakapoznpodarou"/>
          <w:sz w:val="16"/>
        </w:rPr>
        <w:footnoteRef/>
      </w:r>
      <w:r>
        <w:t xml:space="preserve"> </w:t>
      </w:r>
      <w:r w:rsidRPr="00E9087D">
        <w:rPr>
          <w:sz w:val="12"/>
        </w:rPr>
        <w:t xml:space="preserve">z. č. 89/2012 Sb., občanský zákoník, ve znění pozdějších předpisů  </w:t>
      </w:r>
    </w:p>
  </w:footnote>
  <w:footnote w:id="3">
    <w:p w14:paraId="2332576E" w14:textId="77777777" w:rsidR="00E02C60" w:rsidRPr="00862C64" w:rsidRDefault="00E02C60" w:rsidP="00E02C60">
      <w:pPr>
        <w:pStyle w:val="Textpoznpodarou"/>
        <w:rPr>
          <w:sz w:val="12"/>
          <w:szCs w:val="12"/>
        </w:rPr>
      </w:pPr>
      <w:r w:rsidRPr="00862C64">
        <w:rPr>
          <w:rStyle w:val="Znakapoznpodarou"/>
          <w:sz w:val="12"/>
          <w:szCs w:val="12"/>
        </w:rPr>
        <w:footnoteRef/>
      </w:r>
      <w:r w:rsidRPr="00862C64">
        <w:rPr>
          <w:sz w:val="12"/>
          <w:szCs w:val="12"/>
        </w:rPr>
        <w:t xml:space="preserve"> Např. článek 3 Všeobecných podmínek. </w:t>
      </w:r>
    </w:p>
  </w:footnote>
  <w:footnote w:id="4">
    <w:p w14:paraId="5D50EA0E" w14:textId="77777777" w:rsidR="00E02C60" w:rsidRDefault="00E02C60" w:rsidP="00E02C60">
      <w:pPr>
        <w:pStyle w:val="Textpoznpodarou"/>
      </w:pPr>
      <w:r w:rsidRPr="00C50B7B">
        <w:rPr>
          <w:rStyle w:val="Znakapoznpodarou"/>
          <w:sz w:val="16"/>
        </w:rPr>
        <w:footnoteRef/>
      </w:r>
      <w:r w:rsidRPr="00C50B7B">
        <w:rPr>
          <w:sz w:val="16"/>
        </w:rPr>
        <w:t xml:space="preserve"> </w:t>
      </w:r>
      <w:r w:rsidRPr="00E9087D">
        <w:rPr>
          <w:sz w:val="12"/>
        </w:rPr>
        <w:t xml:space="preserve">z. č. 89/2012 Sb., občanský zákoník, ve znění pozdějších předpisů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9795" w14:textId="77777777" w:rsidR="00B32B21" w:rsidRDefault="00B32B2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1" w:type="dxa"/>
      <w:tblLook w:val="04A0" w:firstRow="1" w:lastRow="0" w:firstColumn="1" w:lastColumn="0" w:noHBand="0" w:noVBand="1"/>
    </w:tblPr>
    <w:tblGrid>
      <w:gridCol w:w="5070"/>
      <w:gridCol w:w="5811"/>
    </w:tblGrid>
    <w:tr w:rsidR="00D74A3A" w14:paraId="299AC596" w14:textId="77777777" w:rsidTr="00D74A3A">
      <w:tc>
        <w:tcPr>
          <w:tcW w:w="5070" w:type="dxa"/>
          <w:shd w:val="clear" w:color="auto" w:fill="auto"/>
        </w:tcPr>
        <w:p w14:paraId="7A92F97C" w14:textId="0EB949F3" w:rsidR="00D74A3A" w:rsidRDefault="00B32B21" w:rsidP="00D74A3A">
          <w:pPr>
            <w:pStyle w:val="Zhlav"/>
            <w:spacing w:before="480"/>
          </w:pPr>
          <w:bookmarkStart w:id="40" w:name="_Hlk136589472"/>
          <w:r>
            <w:rPr>
              <w:noProof/>
            </w:rPr>
            <w:drawing>
              <wp:inline distT="0" distB="0" distL="0" distR="0" wp14:anchorId="0C622F70" wp14:editId="33924DA4">
                <wp:extent cx="1076325" cy="42862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428625"/>
                        </a:xfrm>
                        <a:prstGeom prst="rect">
                          <a:avLst/>
                        </a:prstGeom>
                        <a:noFill/>
                        <a:ln>
                          <a:noFill/>
                        </a:ln>
                      </pic:spPr>
                    </pic:pic>
                  </a:graphicData>
                </a:graphic>
              </wp:inline>
            </w:drawing>
          </w:r>
        </w:p>
      </w:tc>
      <w:tc>
        <w:tcPr>
          <w:tcW w:w="5811" w:type="dxa"/>
          <w:shd w:val="clear" w:color="auto" w:fill="auto"/>
          <w:vAlign w:val="center"/>
        </w:tcPr>
        <w:p w14:paraId="7379FAE3" w14:textId="77777777" w:rsidR="00D74A3A" w:rsidRDefault="00D74A3A" w:rsidP="00D74A3A">
          <w:pPr>
            <w:pStyle w:val="kbDocumentnameextrenal"/>
            <w:tabs>
              <w:tab w:val="clear" w:pos="6167"/>
              <w:tab w:val="right" w:pos="4613"/>
            </w:tabs>
            <w:spacing w:before="480"/>
          </w:pPr>
          <w:r>
            <w:tab/>
            <w:t>Smlouva o obstarávání koupě</w:t>
          </w:r>
          <w:r>
            <w:br/>
          </w:r>
          <w:r>
            <w:tab/>
            <w:t>nebo prodeje investičních nástrojů</w:t>
          </w:r>
        </w:p>
      </w:tc>
    </w:tr>
    <w:bookmarkEnd w:id="40"/>
  </w:tbl>
  <w:p w14:paraId="319ACD5B" w14:textId="77777777" w:rsidR="00D74A3A" w:rsidRDefault="00D74A3A" w:rsidP="00D74A3A">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195D" w14:textId="77777777" w:rsidR="00B32B21" w:rsidRDefault="00B32B21">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1" w:type="dxa"/>
      <w:tblLook w:val="04A0" w:firstRow="1" w:lastRow="0" w:firstColumn="1" w:lastColumn="0" w:noHBand="0" w:noVBand="1"/>
    </w:tblPr>
    <w:tblGrid>
      <w:gridCol w:w="4361"/>
      <w:gridCol w:w="6520"/>
    </w:tblGrid>
    <w:tr w:rsidR="00D74A3A" w14:paraId="7DCB95DE" w14:textId="77777777" w:rsidTr="00D74A3A">
      <w:tc>
        <w:tcPr>
          <w:tcW w:w="4361" w:type="dxa"/>
          <w:shd w:val="clear" w:color="auto" w:fill="auto"/>
        </w:tcPr>
        <w:p w14:paraId="5C57822E" w14:textId="147849B5" w:rsidR="00D74A3A" w:rsidRDefault="00B32B21" w:rsidP="00D74A3A">
          <w:pPr>
            <w:pStyle w:val="Zhlav"/>
            <w:spacing w:before="480"/>
          </w:pPr>
          <w:r>
            <w:rPr>
              <w:noProof/>
            </w:rPr>
            <w:drawing>
              <wp:inline distT="0" distB="0" distL="0" distR="0" wp14:anchorId="282F802D" wp14:editId="58E997FA">
                <wp:extent cx="1076325" cy="42862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428625"/>
                        </a:xfrm>
                        <a:prstGeom prst="rect">
                          <a:avLst/>
                        </a:prstGeom>
                        <a:noFill/>
                        <a:ln>
                          <a:noFill/>
                        </a:ln>
                      </pic:spPr>
                    </pic:pic>
                  </a:graphicData>
                </a:graphic>
              </wp:inline>
            </w:drawing>
          </w:r>
        </w:p>
      </w:tc>
      <w:tc>
        <w:tcPr>
          <w:tcW w:w="6520" w:type="dxa"/>
          <w:shd w:val="clear" w:color="auto" w:fill="auto"/>
          <w:vAlign w:val="center"/>
        </w:tcPr>
        <w:p w14:paraId="242A1746" w14:textId="77777777" w:rsidR="00D74A3A" w:rsidRDefault="00D74A3A" w:rsidP="00D74A3A">
          <w:pPr>
            <w:pStyle w:val="kbDocumentnameextrenal"/>
            <w:tabs>
              <w:tab w:val="clear" w:pos="6167"/>
              <w:tab w:val="right" w:pos="5273"/>
            </w:tabs>
            <w:spacing w:before="480"/>
          </w:pPr>
          <w:r>
            <w:tab/>
            <w:t>Příloha č. 1</w:t>
          </w:r>
          <w:r>
            <w:br/>
          </w:r>
          <w:r>
            <w:tab/>
            <w:t>Služby sjednané mezi bankou a klientem</w:t>
          </w:r>
        </w:p>
      </w:tc>
    </w:tr>
  </w:tbl>
  <w:p w14:paraId="064163C2" w14:textId="77777777" w:rsidR="00D74A3A" w:rsidRDefault="00D74A3A" w:rsidP="00D74A3A">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1" w:type="dxa"/>
      <w:tblLook w:val="04A0" w:firstRow="1" w:lastRow="0" w:firstColumn="1" w:lastColumn="0" w:noHBand="0" w:noVBand="1"/>
    </w:tblPr>
    <w:tblGrid>
      <w:gridCol w:w="6629"/>
      <w:gridCol w:w="4252"/>
    </w:tblGrid>
    <w:tr w:rsidR="00D74A3A" w14:paraId="75DBA9C7" w14:textId="77777777" w:rsidTr="00D74A3A">
      <w:tc>
        <w:tcPr>
          <w:tcW w:w="6629" w:type="dxa"/>
          <w:shd w:val="clear" w:color="auto" w:fill="auto"/>
        </w:tcPr>
        <w:p w14:paraId="2011D0E4" w14:textId="6E965894" w:rsidR="00D74A3A" w:rsidRDefault="00B32B21" w:rsidP="00D74A3A">
          <w:pPr>
            <w:pStyle w:val="Zhlav"/>
            <w:spacing w:before="480"/>
          </w:pPr>
          <w:r>
            <w:rPr>
              <w:noProof/>
            </w:rPr>
            <w:drawing>
              <wp:inline distT="0" distB="0" distL="0" distR="0" wp14:anchorId="1EDB8463" wp14:editId="6BAD334F">
                <wp:extent cx="1076325" cy="428625"/>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428625"/>
                        </a:xfrm>
                        <a:prstGeom prst="rect">
                          <a:avLst/>
                        </a:prstGeom>
                        <a:noFill/>
                        <a:ln>
                          <a:noFill/>
                        </a:ln>
                      </pic:spPr>
                    </pic:pic>
                  </a:graphicData>
                </a:graphic>
              </wp:inline>
            </w:drawing>
          </w:r>
        </w:p>
      </w:tc>
      <w:tc>
        <w:tcPr>
          <w:tcW w:w="4252" w:type="dxa"/>
          <w:shd w:val="clear" w:color="auto" w:fill="auto"/>
          <w:vAlign w:val="center"/>
        </w:tcPr>
        <w:p w14:paraId="6687768B" w14:textId="77777777" w:rsidR="00D74A3A" w:rsidRDefault="00D74A3A" w:rsidP="00D74A3A">
          <w:pPr>
            <w:pStyle w:val="kbDocumentnameextrenal"/>
            <w:tabs>
              <w:tab w:val="clear" w:pos="6167"/>
              <w:tab w:val="right" w:pos="3005"/>
            </w:tabs>
            <w:spacing w:before="480"/>
          </w:pPr>
          <w:r>
            <w:tab/>
            <w:t>Příloha č. 2</w:t>
          </w:r>
          <w:r>
            <w:br/>
          </w:r>
          <w:r>
            <w:tab/>
            <w:t>Kontaktní údaje banky</w:t>
          </w:r>
        </w:p>
      </w:tc>
    </w:tr>
  </w:tbl>
  <w:p w14:paraId="070D3E18" w14:textId="77777777" w:rsidR="00D74A3A" w:rsidRDefault="00D74A3A" w:rsidP="00D74A3A">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1" w:type="dxa"/>
      <w:tblLook w:val="04A0" w:firstRow="1" w:lastRow="0" w:firstColumn="1" w:lastColumn="0" w:noHBand="0" w:noVBand="1"/>
    </w:tblPr>
    <w:tblGrid>
      <w:gridCol w:w="6629"/>
      <w:gridCol w:w="4252"/>
    </w:tblGrid>
    <w:tr w:rsidR="00D74A3A" w14:paraId="4434A5FE" w14:textId="77777777" w:rsidTr="00C73421">
      <w:tc>
        <w:tcPr>
          <w:tcW w:w="6629" w:type="dxa"/>
          <w:shd w:val="clear" w:color="auto" w:fill="auto"/>
        </w:tcPr>
        <w:p w14:paraId="416626ED" w14:textId="286A2C21" w:rsidR="00D74A3A" w:rsidRDefault="00B32B21" w:rsidP="00D74A3A">
          <w:pPr>
            <w:pStyle w:val="Zhlav"/>
            <w:spacing w:before="480"/>
          </w:pPr>
          <w:r>
            <w:rPr>
              <w:noProof/>
            </w:rPr>
            <w:drawing>
              <wp:inline distT="0" distB="0" distL="0" distR="0" wp14:anchorId="4766ADD2" wp14:editId="59DA57E1">
                <wp:extent cx="1076325" cy="428625"/>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428625"/>
                        </a:xfrm>
                        <a:prstGeom prst="rect">
                          <a:avLst/>
                        </a:prstGeom>
                        <a:noFill/>
                        <a:ln>
                          <a:noFill/>
                        </a:ln>
                      </pic:spPr>
                    </pic:pic>
                  </a:graphicData>
                </a:graphic>
              </wp:inline>
            </w:drawing>
          </w:r>
        </w:p>
      </w:tc>
      <w:tc>
        <w:tcPr>
          <w:tcW w:w="4252" w:type="dxa"/>
          <w:shd w:val="clear" w:color="auto" w:fill="auto"/>
          <w:vAlign w:val="center"/>
        </w:tcPr>
        <w:p w14:paraId="06F01A7B" w14:textId="77777777" w:rsidR="00D74A3A" w:rsidRDefault="00D74A3A" w:rsidP="00D74A3A">
          <w:pPr>
            <w:pStyle w:val="kbDocumentnameextrenal"/>
            <w:tabs>
              <w:tab w:val="clear" w:pos="6167"/>
              <w:tab w:val="right" w:pos="3005"/>
            </w:tabs>
            <w:spacing w:before="480"/>
          </w:pPr>
          <w:r>
            <w:tab/>
            <w:t>Příloha č. 3</w:t>
          </w:r>
          <w:r>
            <w:br/>
          </w:r>
          <w:r>
            <w:tab/>
            <w:t>Kontaktní údaje klienta</w:t>
          </w:r>
        </w:p>
      </w:tc>
    </w:tr>
  </w:tbl>
  <w:p w14:paraId="32D0DBCA" w14:textId="77777777" w:rsidR="00D74A3A" w:rsidRDefault="00D74A3A" w:rsidP="00D74A3A">
    <w:pPr>
      <w:pStyle w:val="Zhlav"/>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1" w:type="dxa"/>
      <w:tblLook w:val="04A0" w:firstRow="1" w:lastRow="0" w:firstColumn="1" w:lastColumn="0" w:noHBand="0" w:noVBand="1"/>
    </w:tblPr>
    <w:tblGrid>
      <w:gridCol w:w="5920"/>
      <w:gridCol w:w="4961"/>
    </w:tblGrid>
    <w:tr w:rsidR="00D74A3A" w14:paraId="7C2FF9B3" w14:textId="77777777" w:rsidTr="00D74A3A">
      <w:tc>
        <w:tcPr>
          <w:tcW w:w="5920" w:type="dxa"/>
          <w:shd w:val="clear" w:color="auto" w:fill="auto"/>
        </w:tcPr>
        <w:p w14:paraId="762FF18B" w14:textId="622CDDC3" w:rsidR="00D74A3A" w:rsidRDefault="00B32B21" w:rsidP="00D74A3A">
          <w:pPr>
            <w:pStyle w:val="Zhlav"/>
            <w:spacing w:before="480"/>
          </w:pPr>
          <w:r>
            <w:rPr>
              <w:noProof/>
            </w:rPr>
            <w:drawing>
              <wp:inline distT="0" distB="0" distL="0" distR="0" wp14:anchorId="1F8678ED" wp14:editId="1F99966F">
                <wp:extent cx="1076325" cy="428625"/>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428625"/>
                        </a:xfrm>
                        <a:prstGeom prst="rect">
                          <a:avLst/>
                        </a:prstGeom>
                        <a:noFill/>
                        <a:ln>
                          <a:noFill/>
                        </a:ln>
                      </pic:spPr>
                    </pic:pic>
                  </a:graphicData>
                </a:graphic>
              </wp:inline>
            </w:drawing>
          </w:r>
        </w:p>
      </w:tc>
      <w:tc>
        <w:tcPr>
          <w:tcW w:w="4961" w:type="dxa"/>
          <w:shd w:val="clear" w:color="auto" w:fill="auto"/>
          <w:vAlign w:val="center"/>
        </w:tcPr>
        <w:p w14:paraId="2852666C" w14:textId="77777777" w:rsidR="00D74A3A" w:rsidRDefault="00D74A3A" w:rsidP="00D74A3A">
          <w:pPr>
            <w:pStyle w:val="kbDocumentnameextrenal"/>
            <w:tabs>
              <w:tab w:val="clear" w:pos="6167"/>
              <w:tab w:val="right" w:pos="3717"/>
            </w:tabs>
            <w:spacing w:before="480"/>
          </w:pPr>
          <w:r>
            <w:tab/>
            <w:t>Příloha č. 4</w:t>
          </w:r>
          <w:r>
            <w:br/>
          </w:r>
          <w:r>
            <w:tab/>
            <w:t>Podpisový vzor ke smlouvě</w:t>
          </w:r>
        </w:p>
      </w:tc>
    </w:tr>
  </w:tbl>
  <w:p w14:paraId="578B3845" w14:textId="77777777" w:rsidR="00D74A3A" w:rsidRDefault="00D74A3A" w:rsidP="00D74A3A">
    <w:pPr>
      <w:pStyle w:val="Zhlav"/>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1" w:type="dxa"/>
      <w:tblLook w:val="04A0" w:firstRow="1" w:lastRow="0" w:firstColumn="1" w:lastColumn="0" w:noHBand="0" w:noVBand="1"/>
    </w:tblPr>
    <w:tblGrid>
      <w:gridCol w:w="8188"/>
      <w:gridCol w:w="2693"/>
    </w:tblGrid>
    <w:tr w:rsidR="00D74A3A" w14:paraId="4F4F2DBE" w14:textId="77777777" w:rsidTr="00D74A3A">
      <w:tc>
        <w:tcPr>
          <w:tcW w:w="8188" w:type="dxa"/>
          <w:shd w:val="clear" w:color="auto" w:fill="auto"/>
        </w:tcPr>
        <w:p w14:paraId="43B15C90" w14:textId="21C6F539" w:rsidR="00D74A3A" w:rsidRDefault="00B32B21" w:rsidP="00D74A3A">
          <w:pPr>
            <w:pStyle w:val="Zhlav"/>
            <w:spacing w:before="480"/>
          </w:pPr>
          <w:r>
            <w:rPr>
              <w:noProof/>
            </w:rPr>
            <w:drawing>
              <wp:inline distT="0" distB="0" distL="0" distR="0" wp14:anchorId="063F13CB" wp14:editId="1B5EE013">
                <wp:extent cx="1076325" cy="428625"/>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428625"/>
                        </a:xfrm>
                        <a:prstGeom prst="rect">
                          <a:avLst/>
                        </a:prstGeom>
                        <a:noFill/>
                        <a:ln>
                          <a:noFill/>
                        </a:ln>
                      </pic:spPr>
                    </pic:pic>
                  </a:graphicData>
                </a:graphic>
              </wp:inline>
            </w:drawing>
          </w:r>
        </w:p>
      </w:tc>
      <w:tc>
        <w:tcPr>
          <w:tcW w:w="2693" w:type="dxa"/>
          <w:shd w:val="clear" w:color="auto" w:fill="auto"/>
          <w:vAlign w:val="center"/>
        </w:tcPr>
        <w:p w14:paraId="0638E253" w14:textId="77777777" w:rsidR="00D74A3A" w:rsidRDefault="00D74A3A" w:rsidP="00D74A3A">
          <w:pPr>
            <w:pStyle w:val="kbDocumentnameextrenal"/>
            <w:tabs>
              <w:tab w:val="clear" w:pos="6167"/>
              <w:tab w:val="right" w:pos="1456"/>
            </w:tabs>
            <w:spacing w:before="480"/>
          </w:pPr>
          <w:r>
            <w:tab/>
          </w:r>
          <w:r>
            <w:rPr>
              <w:rFonts w:cs="Arial"/>
              <w:bCs/>
              <w:szCs w:val="27"/>
            </w:rPr>
            <w:t>Podmínky</w:t>
          </w:r>
        </w:p>
      </w:tc>
    </w:tr>
  </w:tbl>
  <w:p w14:paraId="2B9AB694" w14:textId="77777777" w:rsidR="00D74A3A" w:rsidRDefault="00D74A3A" w:rsidP="00D74A3A">
    <w:pPr>
      <w:pStyle w:val="Zhlav"/>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1" w:type="dxa"/>
      <w:tblLook w:val="04A0" w:firstRow="1" w:lastRow="0" w:firstColumn="1" w:lastColumn="0" w:noHBand="0" w:noVBand="1"/>
    </w:tblPr>
    <w:tblGrid>
      <w:gridCol w:w="3510"/>
      <w:gridCol w:w="7371"/>
    </w:tblGrid>
    <w:tr w:rsidR="00D74A3A" w14:paraId="4867978E" w14:textId="77777777" w:rsidTr="00D74A3A">
      <w:tc>
        <w:tcPr>
          <w:tcW w:w="3510" w:type="dxa"/>
          <w:shd w:val="clear" w:color="auto" w:fill="auto"/>
        </w:tcPr>
        <w:p w14:paraId="0A4A4D89" w14:textId="643B58BB" w:rsidR="00D74A3A" w:rsidRDefault="00B32B21" w:rsidP="00D74A3A">
          <w:pPr>
            <w:pStyle w:val="Zhlav"/>
            <w:spacing w:before="480"/>
          </w:pPr>
          <w:r>
            <w:rPr>
              <w:noProof/>
            </w:rPr>
            <w:drawing>
              <wp:inline distT="0" distB="0" distL="0" distR="0" wp14:anchorId="3F0EBB4C" wp14:editId="26354240">
                <wp:extent cx="1076325" cy="428625"/>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428625"/>
                        </a:xfrm>
                        <a:prstGeom prst="rect">
                          <a:avLst/>
                        </a:prstGeom>
                        <a:noFill/>
                        <a:ln>
                          <a:noFill/>
                        </a:ln>
                      </pic:spPr>
                    </pic:pic>
                  </a:graphicData>
                </a:graphic>
              </wp:inline>
            </w:drawing>
          </w:r>
        </w:p>
      </w:tc>
      <w:tc>
        <w:tcPr>
          <w:tcW w:w="7371" w:type="dxa"/>
          <w:shd w:val="clear" w:color="auto" w:fill="auto"/>
          <w:vAlign w:val="center"/>
        </w:tcPr>
        <w:p w14:paraId="5F8D3CEF" w14:textId="77777777" w:rsidR="00D74A3A" w:rsidRDefault="00D74A3A" w:rsidP="00D74A3A">
          <w:pPr>
            <w:pStyle w:val="kbDocumentnameextrenal"/>
            <w:tabs>
              <w:tab w:val="clear" w:pos="6167"/>
              <w:tab w:val="right" w:pos="6126"/>
            </w:tabs>
            <w:spacing w:before="480"/>
          </w:pPr>
          <w:r>
            <w:tab/>
          </w:r>
          <w:r w:rsidRPr="00590526">
            <w:rPr>
              <w:rFonts w:cs="Arial"/>
              <w:bCs/>
              <w:szCs w:val="27"/>
            </w:rPr>
            <w:t xml:space="preserve">Informace o </w:t>
          </w:r>
          <w:r>
            <w:rPr>
              <w:rFonts w:cs="Arial"/>
              <w:bCs/>
              <w:szCs w:val="27"/>
            </w:rPr>
            <w:t>investičních službách a nástrojích</w:t>
          </w:r>
        </w:p>
      </w:tc>
    </w:tr>
  </w:tbl>
  <w:p w14:paraId="492E10A8" w14:textId="77777777" w:rsidR="00D74A3A" w:rsidRDefault="00D74A3A" w:rsidP="00D74A3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258"/>
    <w:multiLevelType w:val="hybridMultilevel"/>
    <w:tmpl w:val="3C945FFC"/>
    <w:lvl w:ilvl="0" w:tplc="3DC642B8">
      <w:start w:val="1"/>
      <w:numFmt w:val="lowerLetter"/>
      <w:lvlText w:val="%1)"/>
      <w:lvlJc w:val="left"/>
      <w:pPr>
        <w:tabs>
          <w:tab w:val="num" w:pos="851"/>
        </w:tabs>
        <w:ind w:left="851" w:hanging="426"/>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56A6529"/>
    <w:multiLevelType w:val="hybridMultilevel"/>
    <w:tmpl w:val="0232A52A"/>
    <w:lvl w:ilvl="0" w:tplc="04050005">
      <w:start w:val="1"/>
      <w:numFmt w:val="bullet"/>
      <w:lvlText w:val=""/>
      <w:lvlJc w:val="left"/>
      <w:pPr>
        <w:ind w:left="1080" w:hanging="360"/>
      </w:pPr>
      <w:rPr>
        <w:rFonts w:ascii="Wingdings" w:hAnsi="Wingdings"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B252F5C"/>
    <w:multiLevelType w:val="hybridMultilevel"/>
    <w:tmpl w:val="3C945FFC"/>
    <w:lvl w:ilvl="0" w:tplc="3DC642B8">
      <w:start w:val="1"/>
      <w:numFmt w:val="lowerLetter"/>
      <w:lvlText w:val="%1)"/>
      <w:lvlJc w:val="left"/>
      <w:pPr>
        <w:tabs>
          <w:tab w:val="num" w:pos="851"/>
        </w:tabs>
        <w:ind w:left="851" w:hanging="426"/>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70D7A81"/>
    <w:multiLevelType w:val="multilevel"/>
    <w:tmpl w:val="A47257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EB0DB9"/>
    <w:multiLevelType w:val="hybridMultilevel"/>
    <w:tmpl w:val="1FCA04D4"/>
    <w:lvl w:ilvl="0" w:tplc="9EC42BE0">
      <w:start w:val="1"/>
      <w:numFmt w:val="lowerLetter"/>
      <w:lvlText w:val="%1)"/>
      <w:lvlJc w:val="left"/>
      <w:pPr>
        <w:tabs>
          <w:tab w:val="num" w:pos="851"/>
        </w:tabs>
        <w:ind w:left="851" w:hanging="426"/>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4144986"/>
    <w:multiLevelType w:val="multilevel"/>
    <w:tmpl w:val="320EACC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color w:val="auto"/>
      </w:rPr>
    </w:lvl>
    <w:lvl w:ilvl="2">
      <w:start w:val="1"/>
      <w:numFmt w:val="decimal"/>
      <w:lvlText w:val="%1.%2.%3"/>
      <w:lvlJc w:val="left"/>
      <w:pPr>
        <w:ind w:left="720" w:hanging="720"/>
      </w:pPr>
      <w:rPr>
        <w:rFonts w:hint="default"/>
      </w:rPr>
    </w:lvl>
    <w:lvl w:ilvl="3">
      <w:start w:val="1"/>
      <w:numFmt w:val="decimal"/>
      <w:lvlText w:val="%1.%2.%4"/>
      <w:lvlJc w:val="left"/>
      <w:pPr>
        <w:ind w:left="864" w:hanging="864"/>
      </w:pPr>
      <w:rPr>
        <w:rFonts w:hint="default"/>
      </w:rPr>
    </w:lvl>
    <w:lvl w:ilvl="4">
      <w:start w:val="1"/>
      <w:numFmt w:val="lowerLetter"/>
      <w:lvlText w:val="%5)"/>
      <w:lvlJc w:val="left"/>
      <w:pPr>
        <w:ind w:left="1008" w:hanging="1008"/>
      </w:pPr>
      <w:rPr>
        <w:rFonts w:hint="default"/>
        <w:b w:val="0"/>
        <w:i w:val="0"/>
        <w:sz w:val="16"/>
        <w:szCs w:val="16"/>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41D1424"/>
    <w:multiLevelType w:val="multilevel"/>
    <w:tmpl w:val="351605DA"/>
    <w:lvl w:ilvl="0">
      <w:start w:val="3"/>
      <w:numFmt w:val="decimal"/>
      <w:lvlText w:val="%1."/>
      <w:lvlJc w:val="left"/>
      <w:pPr>
        <w:tabs>
          <w:tab w:val="num" w:pos="360"/>
        </w:tabs>
        <w:ind w:left="360" w:hanging="360"/>
      </w:pPr>
      <w:rPr>
        <w:rFonts w:hint="default"/>
        <w:b/>
      </w:rPr>
    </w:lvl>
    <w:lvl w:ilvl="1">
      <w:start w:val="1"/>
      <w:numFmt w:val="decimal"/>
      <w:lvlText w:val="7.%2"/>
      <w:lvlJc w:val="left"/>
      <w:pPr>
        <w:tabs>
          <w:tab w:val="num" w:pos="425"/>
        </w:tabs>
        <w:ind w:left="425" w:hanging="425"/>
      </w:pPr>
      <w:rPr>
        <w:rFonts w:hint="default"/>
        <w:b w:val="0"/>
      </w:rPr>
    </w:lvl>
    <w:lvl w:ilvl="2">
      <w:start w:val="1"/>
      <w:numFmt w:val="lowerLetter"/>
      <w:lvlText w:val="%3)"/>
      <w:lvlJc w:val="left"/>
      <w:pPr>
        <w:tabs>
          <w:tab w:val="num" w:pos="992"/>
        </w:tabs>
        <w:ind w:left="992" w:hanging="567"/>
      </w:pPr>
      <w:rPr>
        <w:rFonts w:hint="default"/>
        <w:b w:val="0"/>
      </w:rPr>
    </w:lvl>
    <w:lvl w:ilvl="3">
      <w:start w:val="1"/>
      <w:numFmt w:val="decimal"/>
      <w:lvlText w:val="4.6.2.%4."/>
      <w:lvlJc w:val="left"/>
      <w:pPr>
        <w:tabs>
          <w:tab w:val="num" w:pos="1701"/>
        </w:tabs>
        <w:ind w:left="1701" w:hanging="709"/>
      </w:pPr>
      <w:rPr>
        <w:rFonts w:hint="default"/>
        <w:b w:val="0"/>
        <w:i w:val="0"/>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7" w15:restartNumberingAfterBreak="0">
    <w:nsid w:val="26024CF1"/>
    <w:multiLevelType w:val="multilevel"/>
    <w:tmpl w:val="A47257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51774E"/>
    <w:multiLevelType w:val="hybridMultilevel"/>
    <w:tmpl w:val="876E2966"/>
    <w:lvl w:ilvl="0" w:tplc="04050005">
      <w:start w:val="1"/>
      <w:numFmt w:val="bullet"/>
      <w:lvlText w:val=""/>
      <w:lvlJc w:val="left"/>
      <w:pPr>
        <w:ind w:left="927" w:hanging="360"/>
      </w:pPr>
      <w:rPr>
        <w:rFonts w:ascii="Wingdings" w:hAnsi="Wingdings"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9" w15:restartNumberingAfterBreak="0">
    <w:nsid w:val="286E4105"/>
    <w:multiLevelType w:val="multilevel"/>
    <w:tmpl w:val="1870C19A"/>
    <w:name w:val="NRHead"/>
    <w:lvl w:ilvl="0">
      <w:start w:val="1"/>
      <w:numFmt w:val="decimal"/>
      <w:lvlText w:val="%1"/>
      <w:lvlJc w:val="right"/>
      <w:pPr>
        <w:tabs>
          <w:tab w:val="num" w:pos="454"/>
        </w:tabs>
        <w:ind w:left="454" w:hanging="454"/>
      </w:pPr>
    </w:lvl>
    <w:lvl w:ilvl="1">
      <w:start w:val="1"/>
      <w:numFmt w:val="decimal"/>
      <w:lvlText w:val="%1.%2"/>
      <w:lvlJc w:val="right"/>
      <w:pPr>
        <w:tabs>
          <w:tab w:val="num" w:pos="454"/>
        </w:tabs>
        <w:ind w:left="454" w:hanging="454"/>
      </w:pPr>
    </w:lvl>
    <w:lvl w:ilvl="2">
      <w:start w:val="1"/>
      <w:numFmt w:val="decimal"/>
      <w:lvlText w:val="%1.%2.%3"/>
      <w:lvlJc w:val="right"/>
      <w:pPr>
        <w:tabs>
          <w:tab w:val="num" w:pos="341"/>
        </w:tabs>
        <w:ind w:left="341" w:hanging="454"/>
      </w:pPr>
      <w:rPr>
        <w:b w:val="0"/>
        <w:color w:val="000000"/>
      </w:rPr>
    </w:lvl>
    <w:lvl w:ilvl="3">
      <w:start w:val="1"/>
      <w:numFmt w:val="lowerLetter"/>
      <w:lvlText w:val="(%4)"/>
      <w:lvlJc w:val="left"/>
      <w:pPr>
        <w:tabs>
          <w:tab w:val="num" w:pos="1163"/>
        </w:tabs>
        <w:ind w:left="1163" w:hanging="426"/>
      </w:pPr>
    </w:lvl>
    <w:lvl w:ilvl="4">
      <w:start w:val="1"/>
      <w:numFmt w:val="lowerRoman"/>
      <w:lvlText w:val="(%5)"/>
      <w:lvlJc w:val="left"/>
      <w:pPr>
        <w:tabs>
          <w:tab w:val="num" w:pos="1730"/>
        </w:tabs>
        <w:ind w:left="1730" w:hanging="567"/>
      </w:pPr>
    </w:lvl>
    <w:lvl w:ilvl="5">
      <w:start w:val="1"/>
      <w:numFmt w:val="upperLetter"/>
      <w:lvlText w:val="(%6)"/>
      <w:lvlJc w:val="left"/>
      <w:pPr>
        <w:tabs>
          <w:tab w:val="num" w:pos="2296"/>
        </w:tabs>
        <w:ind w:left="2296" w:hanging="566"/>
      </w:pPr>
    </w:lvl>
    <w:lvl w:ilvl="6">
      <w:start w:val="1"/>
      <w:numFmt w:val="decimal"/>
      <w:lvlText w:val="%7)"/>
      <w:lvlJc w:val="left"/>
      <w:pPr>
        <w:tabs>
          <w:tab w:val="num" w:pos="2863"/>
        </w:tabs>
        <w:ind w:left="2863" w:hanging="567"/>
      </w:pPr>
    </w:lvl>
    <w:lvl w:ilvl="7">
      <w:start w:val="1"/>
      <w:numFmt w:val="lowerLetter"/>
      <w:lvlText w:val="%8)"/>
      <w:lvlJc w:val="left"/>
      <w:pPr>
        <w:tabs>
          <w:tab w:val="num" w:pos="3430"/>
        </w:tabs>
        <w:ind w:left="3430" w:hanging="567"/>
      </w:pPr>
    </w:lvl>
    <w:lvl w:ilvl="8">
      <w:start w:val="1"/>
      <w:numFmt w:val="lowerRoman"/>
      <w:lvlText w:val="%9)"/>
      <w:lvlJc w:val="left"/>
      <w:pPr>
        <w:tabs>
          <w:tab w:val="num" w:pos="3997"/>
        </w:tabs>
        <w:ind w:left="3997" w:hanging="567"/>
      </w:pPr>
    </w:lvl>
  </w:abstractNum>
  <w:abstractNum w:abstractNumId="10" w15:restartNumberingAfterBreak="0">
    <w:nsid w:val="28FE50DC"/>
    <w:multiLevelType w:val="multilevel"/>
    <w:tmpl w:val="CA56D0A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1432" w:hanging="864"/>
      </w:pPr>
      <w:rPr>
        <w:rFonts w:hint="default"/>
        <w:b w:val="0"/>
        <w:bCs w:val="0"/>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93F1B7D"/>
    <w:multiLevelType w:val="multilevel"/>
    <w:tmpl w:val="BE5AFD56"/>
    <w:name w:val="NRHead"/>
    <w:lvl w:ilvl="0">
      <w:start w:val="1"/>
      <w:numFmt w:val="decimal"/>
      <w:lvlText w:val="%1."/>
      <w:lvlJc w:val="left"/>
      <w:pPr>
        <w:tabs>
          <w:tab w:val="num" w:pos="360"/>
        </w:tabs>
        <w:ind w:left="360" w:hanging="360"/>
      </w:pPr>
      <w:rPr>
        <w:rFonts w:hint="default"/>
      </w:rPr>
    </w:lvl>
    <w:lvl w:ilvl="1">
      <w:start w:val="1"/>
      <w:numFmt w:val="decimal"/>
      <w:lvlText w:val="11.%2."/>
      <w:lvlJc w:val="left"/>
      <w:pPr>
        <w:tabs>
          <w:tab w:val="num" w:pos="792"/>
        </w:tabs>
        <w:ind w:left="792" w:hanging="45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B5C1A7D"/>
    <w:multiLevelType w:val="multilevel"/>
    <w:tmpl w:val="28220CCE"/>
    <w:lvl w:ilvl="0">
      <w:start w:val="2"/>
      <w:numFmt w:val="decimal"/>
      <w:lvlText w:val="%1"/>
      <w:lvlJc w:val="left"/>
      <w:pPr>
        <w:tabs>
          <w:tab w:val="num" w:pos="570"/>
        </w:tabs>
        <w:ind w:left="570" w:hanging="570"/>
      </w:pPr>
      <w:rPr>
        <w:rFonts w:hint="default"/>
        <w:u w:val="single"/>
      </w:rPr>
    </w:lvl>
    <w:lvl w:ilvl="1">
      <w:start w:val="16"/>
      <w:numFmt w:val="decimal"/>
      <w:lvlText w:val="%1.%2"/>
      <w:lvlJc w:val="left"/>
      <w:pPr>
        <w:tabs>
          <w:tab w:val="num" w:pos="570"/>
        </w:tabs>
        <w:ind w:left="570" w:hanging="570"/>
      </w:pPr>
      <w:rPr>
        <w:rFonts w:hint="default"/>
        <w:u w:val="single"/>
      </w:rPr>
    </w:lvl>
    <w:lvl w:ilvl="2">
      <w:start w:val="1"/>
      <w:numFmt w:val="lowerLetter"/>
      <w:lvlText w:val="%3)"/>
      <w:lvlJc w:val="left"/>
      <w:pPr>
        <w:tabs>
          <w:tab w:val="num" w:pos="0"/>
        </w:tabs>
        <w:ind w:left="1364" w:hanging="1080"/>
      </w:pPr>
      <w:rPr>
        <w:rFonts w:hint="default"/>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720"/>
        </w:tabs>
        <w:ind w:left="720" w:hanging="72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080"/>
        </w:tabs>
        <w:ind w:left="1080" w:hanging="108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3" w15:restartNumberingAfterBreak="0">
    <w:nsid w:val="2B6458C4"/>
    <w:multiLevelType w:val="multilevel"/>
    <w:tmpl w:val="4E6E28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lowerLetter"/>
      <w:lvlText w:val="%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6615D49"/>
    <w:multiLevelType w:val="hybridMultilevel"/>
    <w:tmpl w:val="0520FB26"/>
    <w:lvl w:ilvl="0" w:tplc="8FC0393C">
      <w:start w:val="1"/>
      <w:numFmt w:val="lowerLetter"/>
      <w:lvlText w:val="%1)"/>
      <w:lvlJc w:val="left"/>
      <w:pPr>
        <w:ind w:left="1429" w:hanging="360"/>
      </w:pPr>
      <w:rPr>
        <w:b w:val="0"/>
        <w:bCs w: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5" w15:restartNumberingAfterBreak="0">
    <w:nsid w:val="3E0C0BC7"/>
    <w:multiLevelType w:val="multilevel"/>
    <w:tmpl w:val="72104D3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864" w:hanging="864"/>
      </w:pPr>
      <w:rPr>
        <w:rFonts w:hint="default"/>
        <w:b w:val="0"/>
        <w:bCs/>
        <w:sz w:val="16"/>
        <w:szCs w:val="16"/>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3ED823ED"/>
    <w:multiLevelType w:val="multilevel"/>
    <w:tmpl w:val="E0EAFF8A"/>
    <w:lvl w:ilvl="0">
      <w:start w:val="3"/>
      <w:numFmt w:val="decimal"/>
      <w:lvlText w:val="%1."/>
      <w:lvlJc w:val="left"/>
      <w:pPr>
        <w:tabs>
          <w:tab w:val="num" w:pos="360"/>
        </w:tabs>
        <w:ind w:left="360" w:hanging="360"/>
      </w:pPr>
      <w:rPr>
        <w:rFonts w:hint="default"/>
        <w:b/>
      </w:rPr>
    </w:lvl>
    <w:lvl w:ilvl="1">
      <w:start w:val="1"/>
      <w:numFmt w:val="decimal"/>
      <w:lvlText w:val="13.%2"/>
      <w:lvlJc w:val="left"/>
      <w:pPr>
        <w:tabs>
          <w:tab w:val="num" w:pos="425"/>
        </w:tabs>
        <w:ind w:left="425" w:hanging="425"/>
      </w:pPr>
      <w:rPr>
        <w:rFonts w:hint="default"/>
        <w:b w:val="0"/>
      </w:rPr>
    </w:lvl>
    <w:lvl w:ilvl="2">
      <w:start w:val="1"/>
      <w:numFmt w:val="decimal"/>
      <w:lvlText w:val="7.18.%3."/>
      <w:lvlJc w:val="left"/>
      <w:pPr>
        <w:tabs>
          <w:tab w:val="num" w:pos="992"/>
        </w:tabs>
        <w:ind w:left="992" w:hanging="567"/>
      </w:pPr>
      <w:rPr>
        <w:rFonts w:hint="default"/>
        <w:b w:val="0"/>
      </w:rPr>
    </w:lvl>
    <w:lvl w:ilvl="3">
      <w:start w:val="1"/>
      <w:numFmt w:val="lowerLetter"/>
      <w:lvlText w:val="%4)"/>
      <w:lvlJc w:val="left"/>
      <w:pPr>
        <w:tabs>
          <w:tab w:val="num" w:pos="1701"/>
        </w:tabs>
        <w:ind w:left="1701" w:hanging="709"/>
      </w:pPr>
      <w:rPr>
        <w:rFonts w:hint="default"/>
        <w:b w:val="0"/>
        <w:i w:val="0"/>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17" w15:restartNumberingAfterBreak="0">
    <w:nsid w:val="41B752D2"/>
    <w:multiLevelType w:val="multilevel"/>
    <w:tmpl w:val="87229DA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6"/>
        <w:szCs w:val="16"/>
      </w:rPr>
    </w:lvl>
    <w:lvl w:ilvl="2">
      <w:start w:val="1"/>
      <w:numFmt w:val="decimal"/>
      <w:lvlText w:val="%1.%2.%3"/>
      <w:lvlJc w:val="left"/>
      <w:pPr>
        <w:ind w:left="720" w:hanging="720"/>
      </w:pPr>
      <w:rPr>
        <w:rFonts w:hint="default"/>
        <w:b w:val="0"/>
        <w:i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6"/>
        <w:szCs w:val="16"/>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480F3C12"/>
    <w:multiLevelType w:val="multilevel"/>
    <w:tmpl w:val="C740774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lowerLetter"/>
      <w:lvlText w:val="%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D6016F0"/>
    <w:multiLevelType w:val="hybridMultilevel"/>
    <w:tmpl w:val="71729C64"/>
    <w:lvl w:ilvl="0" w:tplc="FFFFFFFF">
      <w:start w:val="1"/>
      <w:numFmt w:val="lowerLetter"/>
      <w:lvlText w:val="%1)"/>
      <w:lvlJc w:val="left"/>
      <w:pPr>
        <w:tabs>
          <w:tab w:val="num" w:pos="2932"/>
        </w:tabs>
        <w:ind w:left="903" w:hanging="426"/>
      </w:pPr>
      <w:rPr>
        <w:rFonts w:hint="default"/>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DCE22CD"/>
    <w:multiLevelType w:val="hybridMultilevel"/>
    <w:tmpl w:val="8B90B512"/>
    <w:lvl w:ilvl="0" w:tplc="E8547386">
      <w:start w:val="1"/>
      <w:numFmt w:val="lowerLetter"/>
      <w:lvlText w:val="%1)"/>
      <w:lvlJc w:val="left"/>
      <w:pPr>
        <w:ind w:left="1145" w:hanging="360"/>
      </w:pPr>
      <w:rPr>
        <w:b w:val="0"/>
        <w:bCs w:val="0"/>
        <w:i w:val="0"/>
        <w:iCs/>
      </w:rPr>
    </w:lvl>
    <w:lvl w:ilvl="1" w:tplc="04050019">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1" w15:restartNumberingAfterBreak="0">
    <w:nsid w:val="51BB3A22"/>
    <w:multiLevelType w:val="hybridMultilevel"/>
    <w:tmpl w:val="76C24AEE"/>
    <w:lvl w:ilvl="0" w:tplc="04050017">
      <w:start w:val="1"/>
      <w:numFmt w:val="lowerLetter"/>
      <w:lvlText w:val="%1)"/>
      <w:lvlJc w:val="left"/>
      <w:pPr>
        <w:ind w:left="758" w:hanging="360"/>
      </w:pPr>
    </w:lvl>
    <w:lvl w:ilvl="1" w:tplc="04050019" w:tentative="1">
      <w:start w:val="1"/>
      <w:numFmt w:val="lowerLetter"/>
      <w:lvlText w:val="%2."/>
      <w:lvlJc w:val="left"/>
      <w:pPr>
        <w:ind w:left="1478" w:hanging="360"/>
      </w:pPr>
    </w:lvl>
    <w:lvl w:ilvl="2" w:tplc="0405001B" w:tentative="1">
      <w:start w:val="1"/>
      <w:numFmt w:val="lowerRoman"/>
      <w:lvlText w:val="%3."/>
      <w:lvlJc w:val="right"/>
      <w:pPr>
        <w:ind w:left="2198" w:hanging="180"/>
      </w:pPr>
    </w:lvl>
    <w:lvl w:ilvl="3" w:tplc="0405000F" w:tentative="1">
      <w:start w:val="1"/>
      <w:numFmt w:val="decimal"/>
      <w:lvlText w:val="%4."/>
      <w:lvlJc w:val="left"/>
      <w:pPr>
        <w:ind w:left="2918" w:hanging="360"/>
      </w:pPr>
    </w:lvl>
    <w:lvl w:ilvl="4" w:tplc="04050019" w:tentative="1">
      <w:start w:val="1"/>
      <w:numFmt w:val="lowerLetter"/>
      <w:lvlText w:val="%5."/>
      <w:lvlJc w:val="left"/>
      <w:pPr>
        <w:ind w:left="3638" w:hanging="360"/>
      </w:pPr>
    </w:lvl>
    <w:lvl w:ilvl="5" w:tplc="0405001B" w:tentative="1">
      <w:start w:val="1"/>
      <w:numFmt w:val="lowerRoman"/>
      <w:lvlText w:val="%6."/>
      <w:lvlJc w:val="right"/>
      <w:pPr>
        <w:ind w:left="4358" w:hanging="180"/>
      </w:pPr>
    </w:lvl>
    <w:lvl w:ilvl="6" w:tplc="0405000F" w:tentative="1">
      <w:start w:val="1"/>
      <w:numFmt w:val="decimal"/>
      <w:lvlText w:val="%7."/>
      <w:lvlJc w:val="left"/>
      <w:pPr>
        <w:ind w:left="5078" w:hanging="360"/>
      </w:pPr>
    </w:lvl>
    <w:lvl w:ilvl="7" w:tplc="04050019" w:tentative="1">
      <w:start w:val="1"/>
      <w:numFmt w:val="lowerLetter"/>
      <w:lvlText w:val="%8."/>
      <w:lvlJc w:val="left"/>
      <w:pPr>
        <w:ind w:left="5798" w:hanging="360"/>
      </w:pPr>
    </w:lvl>
    <w:lvl w:ilvl="8" w:tplc="0405001B" w:tentative="1">
      <w:start w:val="1"/>
      <w:numFmt w:val="lowerRoman"/>
      <w:lvlText w:val="%9."/>
      <w:lvlJc w:val="right"/>
      <w:pPr>
        <w:ind w:left="6518" w:hanging="180"/>
      </w:pPr>
    </w:lvl>
  </w:abstractNum>
  <w:abstractNum w:abstractNumId="22" w15:restartNumberingAfterBreak="0">
    <w:nsid w:val="52537D78"/>
    <w:multiLevelType w:val="multilevel"/>
    <w:tmpl w:val="7116D694"/>
    <w:lvl w:ilvl="0">
      <w:start w:val="1"/>
      <w:numFmt w:val="decimal"/>
      <w:pStyle w:val="Nadpis11"/>
      <w:lvlText w:val="%1."/>
      <w:lvlJc w:val="left"/>
      <w:pPr>
        <w:tabs>
          <w:tab w:val="num" w:pos="425"/>
        </w:tabs>
        <w:ind w:left="425" w:hanging="425"/>
      </w:pPr>
      <w:rPr>
        <w:rFonts w:ascii="Arial" w:hAnsi="Arial" w:hint="default"/>
        <w:b/>
        <w:bCs/>
        <w:i w:val="0"/>
        <w:sz w:val="18"/>
        <w:szCs w:val="18"/>
      </w:rPr>
    </w:lvl>
    <w:lvl w:ilvl="1">
      <w:start w:val="1"/>
      <w:numFmt w:val="decimal"/>
      <w:pStyle w:val="Nadpis12"/>
      <w:lvlText w:val="%1.%2"/>
      <w:lvlJc w:val="left"/>
      <w:pPr>
        <w:tabs>
          <w:tab w:val="num" w:pos="709"/>
        </w:tabs>
        <w:ind w:left="709" w:hanging="425"/>
      </w:pPr>
      <w:rPr>
        <w:rFonts w:ascii="Arial" w:hAnsi="Arial" w:hint="default"/>
        <w:b w:val="0"/>
        <w:bCs/>
        <w:i w:val="0"/>
        <w:sz w:val="18"/>
        <w:szCs w:val="18"/>
      </w:rPr>
    </w:lvl>
    <w:lvl w:ilvl="2">
      <w:start w:val="1"/>
      <w:numFmt w:val="decimal"/>
      <w:lvlText w:val="3.%3"/>
      <w:lvlJc w:val="left"/>
      <w:pPr>
        <w:tabs>
          <w:tab w:val="num" w:pos="1144"/>
        </w:tabs>
        <w:ind w:left="1144" w:hanging="720"/>
      </w:pPr>
      <w:rPr>
        <w:rFonts w:hint="default"/>
      </w:rPr>
    </w:lvl>
    <w:lvl w:ilvl="3">
      <w:start w:val="1"/>
      <w:numFmt w:val="decimal"/>
      <w:lvlText w:val="9.%2.%3.%4"/>
      <w:lvlJc w:val="left"/>
      <w:pPr>
        <w:tabs>
          <w:tab w:val="num" w:pos="1356"/>
        </w:tabs>
        <w:ind w:left="1356" w:hanging="720"/>
      </w:pPr>
      <w:rPr>
        <w:rFonts w:hint="default"/>
      </w:rPr>
    </w:lvl>
    <w:lvl w:ilvl="4">
      <w:start w:val="1"/>
      <w:numFmt w:val="decimal"/>
      <w:lvlText w:val="%1.%2.%3.%4.%5"/>
      <w:lvlJc w:val="left"/>
      <w:pPr>
        <w:tabs>
          <w:tab w:val="num" w:pos="1568"/>
        </w:tabs>
        <w:ind w:left="1568" w:hanging="720"/>
      </w:pPr>
      <w:rPr>
        <w:rFonts w:hint="default"/>
      </w:rPr>
    </w:lvl>
    <w:lvl w:ilvl="5">
      <w:start w:val="1"/>
      <w:numFmt w:val="decimal"/>
      <w:lvlText w:val="%1.%2.%3.%4.%5.%6"/>
      <w:lvlJc w:val="left"/>
      <w:pPr>
        <w:tabs>
          <w:tab w:val="num" w:pos="2140"/>
        </w:tabs>
        <w:ind w:left="2140" w:hanging="1080"/>
      </w:pPr>
      <w:rPr>
        <w:rFonts w:hint="default"/>
      </w:rPr>
    </w:lvl>
    <w:lvl w:ilvl="6">
      <w:start w:val="1"/>
      <w:numFmt w:val="decimal"/>
      <w:lvlText w:val="%1.%2.%3.%4.%5.%6.%7"/>
      <w:lvlJc w:val="left"/>
      <w:pPr>
        <w:tabs>
          <w:tab w:val="num" w:pos="2352"/>
        </w:tabs>
        <w:ind w:left="2352" w:hanging="1080"/>
      </w:pPr>
      <w:rPr>
        <w:rFonts w:hint="default"/>
      </w:rPr>
    </w:lvl>
    <w:lvl w:ilvl="7">
      <w:start w:val="1"/>
      <w:numFmt w:val="decimal"/>
      <w:lvlText w:val="%1.%2.%3.%4.%5.%6.%7.%8"/>
      <w:lvlJc w:val="left"/>
      <w:pPr>
        <w:tabs>
          <w:tab w:val="num" w:pos="2924"/>
        </w:tabs>
        <w:ind w:left="2924" w:hanging="1440"/>
      </w:pPr>
      <w:rPr>
        <w:rFonts w:hint="default"/>
      </w:rPr>
    </w:lvl>
    <w:lvl w:ilvl="8">
      <w:start w:val="1"/>
      <w:numFmt w:val="decimal"/>
      <w:lvlText w:val="%1.%2.%3.%4.%5.%6.%7.%8.%9"/>
      <w:lvlJc w:val="left"/>
      <w:pPr>
        <w:tabs>
          <w:tab w:val="num" w:pos="3136"/>
        </w:tabs>
        <w:ind w:left="3136" w:hanging="1440"/>
      </w:pPr>
      <w:rPr>
        <w:rFonts w:hint="default"/>
      </w:rPr>
    </w:lvl>
  </w:abstractNum>
  <w:abstractNum w:abstractNumId="23" w15:restartNumberingAfterBreak="0">
    <w:nsid w:val="528D34E2"/>
    <w:multiLevelType w:val="hybridMultilevel"/>
    <w:tmpl w:val="CAD0454A"/>
    <w:lvl w:ilvl="0" w:tplc="02E451DC">
      <w:start w:val="1"/>
      <w:numFmt w:val="lowerLetter"/>
      <w:lvlText w:val="%1)"/>
      <w:lvlJc w:val="left"/>
      <w:pPr>
        <w:tabs>
          <w:tab w:val="num" w:pos="785"/>
        </w:tabs>
        <w:ind w:left="785" w:hanging="360"/>
      </w:pPr>
      <w:rPr>
        <w:rFonts w:hint="default"/>
      </w:rPr>
    </w:lvl>
    <w:lvl w:ilvl="1" w:tplc="04050019" w:tentative="1">
      <w:start w:val="1"/>
      <w:numFmt w:val="lowerLetter"/>
      <w:lvlText w:val="%2."/>
      <w:lvlJc w:val="left"/>
      <w:pPr>
        <w:tabs>
          <w:tab w:val="num" w:pos="1505"/>
        </w:tabs>
        <w:ind w:left="1505" w:hanging="360"/>
      </w:pPr>
    </w:lvl>
    <w:lvl w:ilvl="2" w:tplc="0405001B" w:tentative="1">
      <w:start w:val="1"/>
      <w:numFmt w:val="lowerRoman"/>
      <w:lvlText w:val="%3."/>
      <w:lvlJc w:val="right"/>
      <w:pPr>
        <w:tabs>
          <w:tab w:val="num" w:pos="2225"/>
        </w:tabs>
        <w:ind w:left="2225" w:hanging="180"/>
      </w:pPr>
    </w:lvl>
    <w:lvl w:ilvl="3" w:tplc="0405000F" w:tentative="1">
      <w:start w:val="1"/>
      <w:numFmt w:val="decimal"/>
      <w:lvlText w:val="%4."/>
      <w:lvlJc w:val="left"/>
      <w:pPr>
        <w:tabs>
          <w:tab w:val="num" w:pos="2945"/>
        </w:tabs>
        <w:ind w:left="2945" w:hanging="360"/>
      </w:pPr>
    </w:lvl>
    <w:lvl w:ilvl="4" w:tplc="04050019" w:tentative="1">
      <w:start w:val="1"/>
      <w:numFmt w:val="lowerLetter"/>
      <w:lvlText w:val="%5."/>
      <w:lvlJc w:val="left"/>
      <w:pPr>
        <w:tabs>
          <w:tab w:val="num" w:pos="3665"/>
        </w:tabs>
        <w:ind w:left="3665" w:hanging="360"/>
      </w:pPr>
    </w:lvl>
    <w:lvl w:ilvl="5" w:tplc="0405001B" w:tentative="1">
      <w:start w:val="1"/>
      <w:numFmt w:val="lowerRoman"/>
      <w:lvlText w:val="%6."/>
      <w:lvlJc w:val="right"/>
      <w:pPr>
        <w:tabs>
          <w:tab w:val="num" w:pos="4385"/>
        </w:tabs>
        <w:ind w:left="4385" w:hanging="180"/>
      </w:pPr>
    </w:lvl>
    <w:lvl w:ilvl="6" w:tplc="0405000F" w:tentative="1">
      <w:start w:val="1"/>
      <w:numFmt w:val="decimal"/>
      <w:lvlText w:val="%7."/>
      <w:lvlJc w:val="left"/>
      <w:pPr>
        <w:tabs>
          <w:tab w:val="num" w:pos="5105"/>
        </w:tabs>
        <w:ind w:left="5105" w:hanging="360"/>
      </w:pPr>
    </w:lvl>
    <w:lvl w:ilvl="7" w:tplc="04050019" w:tentative="1">
      <w:start w:val="1"/>
      <w:numFmt w:val="lowerLetter"/>
      <w:lvlText w:val="%8."/>
      <w:lvlJc w:val="left"/>
      <w:pPr>
        <w:tabs>
          <w:tab w:val="num" w:pos="5825"/>
        </w:tabs>
        <w:ind w:left="5825" w:hanging="360"/>
      </w:pPr>
    </w:lvl>
    <w:lvl w:ilvl="8" w:tplc="0405001B" w:tentative="1">
      <w:start w:val="1"/>
      <w:numFmt w:val="lowerRoman"/>
      <w:lvlText w:val="%9."/>
      <w:lvlJc w:val="right"/>
      <w:pPr>
        <w:tabs>
          <w:tab w:val="num" w:pos="6545"/>
        </w:tabs>
        <w:ind w:left="6545" w:hanging="180"/>
      </w:pPr>
    </w:lvl>
  </w:abstractNum>
  <w:abstractNum w:abstractNumId="24" w15:restartNumberingAfterBreak="0">
    <w:nsid w:val="544F199C"/>
    <w:multiLevelType w:val="hybridMultilevel"/>
    <w:tmpl w:val="F634CDF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77B5076"/>
    <w:multiLevelType w:val="hybridMultilevel"/>
    <w:tmpl w:val="28500B9C"/>
    <w:lvl w:ilvl="0" w:tplc="FFFFFFFF">
      <w:start w:val="1"/>
      <w:numFmt w:val="decimal"/>
      <w:lvlText w:val="%1."/>
      <w:lvlJc w:val="left"/>
      <w:pPr>
        <w:tabs>
          <w:tab w:val="num" w:pos="1287"/>
        </w:tabs>
        <w:ind w:left="1287" w:hanging="360"/>
      </w:pPr>
    </w:lvl>
    <w:lvl w:ilvl="1" w:tplc="FFFFFFFF">
      <w:start w:val="1"/>
      <w:numFmt w:val="bullet"/>
      <w:pStyle w:val="StylArial8bernZarovnatdoblokudkovnNejmn1"/>
      <w:lvlText w:val=""/>
      <w:lvlJc w:val="left"/>
      <w:pPr>
        <w:tabs>
          <w:tab w:val="num" w:pos="2214"/>
        </w:tabs>
        <w:ind w:left="2214" w:hanging="567"/>
      </w:pPr>
      <w:rPr>
        <w:rFonts w:ascii="Wingdings" w:hAnsi="Wingdings" w:hint="default"/>
      </w:rPr>
    </w:lvl>
    <w:lvl w:ilvl="2" w:tplc="FFFFFFFF">
      <w:start w:val="1"/>
      <w:numFmt w:val="lowerRoman"/>
      <w:lvlText w:val="%3."/>
      <w:lvlJc w:val="right"/>
      <w:pPr>
        <w:tabs>
          <w:tab w:val="num" w:pos="2732"/>
        </w:tabs>
        <w:ind w:left="2732"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26" w15:restartNumberingAfterBreak="0">
    <w:nsid w:val="5D782185"/>
    <w:multiLevelType w:val="multilevel"/>
    <w:tmpl w:val="D64EEF4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864" w:hanging="864"/>
      </w:pPr>
      <w:rPr>
        <w:rFonts w:hint="default"/>
        <w:b w:val="0"/>
        <w:bCs w:val="0"/>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FD0686D"/>
    <w:multiLevelType w:val="hybridMultilevel"/>
    <w:tmpl w:val="76C24AEE"/>
    <w:lvl w:ilvl="0" w:tplc="04050017">
      <w:start w:val="1"/>
      <w:numFmt w:val="lowerLetter"/>
      <w:lvlText w:val="%1)"/>
      <w:lvlJc w:val="left"/>
      <w:pPr>
        <w:ind w:left="758" w:hanging="360"/>
      </w:pPr>
    </w:lvl>
    <w:lvl w:ilvl="1" w:tplc="04050019" w:tentative="1">
      <w:start w:val="1"/>
      <w:numFmt w:val="lowerLetter"/>
      <w:lvlText w:val="%2."/>
      <w:lvlJc w:val="left"/>
      <w:pPr>
        <w:ind w:left="1478" w:hanging="360"/>
      </w:pPr>
    </w:lvl>
    <w:lvl w:ilvl="2" w:tplc="0405001B" w:tentative="1">
      <w:start w:val="1"/>
      <w:numFmt w:val="lowerRoman"/>
      <w:lvlText w:val="%3."/>
      <w:lvlJc w:val="right"/>
      <w:pPr>
        <w:ind w:left="2198" w:hanging="180"/>
      </w:pPr>
    </w:lvl>
    <w:lvl w:ilvl="3" w:tplc="0405000F" w:tentative="1">
      <w:start w:val="1"/>
      <w:numFmt w:val="decimal"/>
      <w:lvlText w:val="%4."/>
      <w:lvlJc w:val="left"/>
      <w:pPr>
        <w:ind w:left="2918" w:hanging="360"/>
      </w:pPr>
    </w:lvl>
    <w:lvl w:ilvl="4" w:tplc="04050019" w:tentative="1">
      <w:start w:val="1"/>
      <w:numFmt w:val="lowerLetter"/>
      <w:lvlText w:val="%5."/>
      <w:lvlJc w:val="left"/>
      <w:pPr>
        <w:ind w:left="3638" w:hanging="360"/>
      </w:pPr>
    </w:lvl>
    <w:lvl w:ilvl="5" w:tplc="0405001B" w:tentative="1">
      <w:start w:val="1"/>
      <w:numFmt w:val="lowerRoman"/>
      <w:lvlText w:val="%6."/>
      <w:lvlJc w:val="right"/>
      <w:pPr>
        <w:ind w:left="4358" w:hanging="180"/>
      </w:pPr>
    </w:lvl>
    <w:lvl w:ilvl="6" w:tplc="0405000F" w:tentative="1">
      <w:start w:val="1"/>
      <w:numFmt w:val="decimal"/>
      <w:lvlText w:val="%7."/>
      <w:lvlJc w:val="left"/>
      <w:pPr>
        <w:ind w:left="5078" w:hanging="360"/>
      </w:pPr>
    </w:lvl>
    <w:lvl w:ilvl="7" w:tplc="04050019" w:tentative="1">
      <w:start w:val="1"/>
      <w:numFmt w:val="lowerLetter"/>
      <w:lvlText w:val="%8."/>
      <w:lvlJc w:val="left"/>
      <w:pPr>
        <w:ind w:left="5798" w:hanging="360"/>
      </w:pPr>
    </w:lvl>
    <w:lvl w:ilvl="8" w:tplc="0405001B" w:tentative="1">
      <w:start w:val="1"/>
      <w:numFmt w:val="lowerRoman"/>
      <w:lvlText w:val="%9."/>
      <w:lvlJc w:val="right"/>
      <w:pPr>
        <w:ind w:left="6518" w:hanging="180"/>
      </w:pPr>
    </w:lvl>
  </w:abstractNum>
  <w:abstractNum w:abstractNumId="28" w15:restartNumberingAfterBreak="0">
    <w:nsid w:val="60916CFF"/>
    <w:multiLevelType w:val="hybridMultilevel"/>
    <w:tmpl w:val="AB6CC032"/>
    <w:lvl w:ilvl="0" w:tplc="C1BA9F8A">
      <w:start w:val="1"/>
      <w:numFmt w:val="lowerLetter"/>
      <w:lvlText w:val="%1)"/>
      <w:lvlJc w:val="left"/>
      <w:pPr>
        <w:ind w:left="1145" w:hanging="360"/>
      </w:pPr>
      <w:rPr>
        <w:b w:val="0"/>
        <w:bCs w:val="0"/>
        <w:i w:val="0"/>
        <w:iCs/>
      </w:r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9" w15:restartNumberingAfterBreak="0">
    <w:nsid w:val="6386694E"/>
    <w:multiLevelType w:val="hybridMultilevel"/>
    <w:tmpl w:val="31E0BA5C"/>
    <w:lvl w:ilvl="0" w:tplc="04050005">
      <w:start w:val="1"/>
      <w:numFmt w:val="bullet"/>
      <w:lvlText w:val=""/>
      <w:lvlJc w:val="left"/>
      <w:pPr>
        <w:ind w:left="607" w:hanging="360"/>
      </w:pPr>
      <w:rPr>
        <w:rFonts w:ascii="Wingdings" w:hAnsi="Wingdings" w:hint="default"/>
      </w:rPr>
    </w:lvl>
    <w:lvl w:ilvl="1" w:tplc="FFFFFFFF" w:tentative="1">
      <w:start w:val="1"/>
      <w:numFmt w:val="bullet"/>
      <w:lvlText w:val="o"/>
      <w:lvlJc w:val="left"/>
      <w:pPr>
        <w:ind w:left="1327" w:hanging="360"/>
      </w:pPr>
      <w:rPr>
        <w:rFonts w:ascii="Courier New" w:hAnsi="Courier New" w:cs="Courier New" w:hint="default"/>
      </w:rPr>
    </w:lvl>
    <w:lvl w:ilvl="2" w:tplc="FFFFFFFF" w:tentative="1">
      <w:start w:val="1"/>
      <w:numFmt w:val="bullet"/>
      <w:lvlText w:val=""/>
      <w:lvlJc w:val="left"/>
      <w:pPr>
        <w:ind w:left="2047" w:hanging="360"/>
      </w:pPr>
      <w:rPr>
        <w:rFonts w:ascii="Wingdings" w:hAnsi="Wingdings" w:hint="default"/>
      </w:rPr>
    </w:lvl>
    <w:lvl w:ilvl="3" w:tplc="FFFFFFFF" w:tentative="1">
      <w:start w:val="1"/>
      <w:numFmt w:val="bullet"/>
      <w:lvlText w:val=""/>
      <w:lvlJc w:val="left"/>
      <w:pPr>
        <w:ind w:left="2767" w:hanging="360"/>
      </w:pPr>
      <w:rPr>
        <w:rFonts w:ascii="Symbol" w:hAnsi="Symbol" w:hint="default"/>
      </w:rPr>
    </w:lvl>
    <w:lvl w:ilvl="4" w:tplc="FFFFFFFF" w:tentative="1">
      <w:start w:val="1"/>
      <w:numFmt w:val="bullet"/>
      <w:lvlText w:val="o"/>
      <w:lvlJc w:val="left"/>
      <w:pPr>
        <w:ind w:left="3487" w:hanging="360"/>
      </w:pPr>
      <w:rPr>
        <w:rFonts w:ascii="Courier New" w:hAnsi="Courier New" w:cs="Courier New" w:hint="default"/>
      </w:rPr>
    </w:lvl>
    <w:lvl w:ilvl="5" w:tplc="FFFFFFFF" w:tentative="1">
      <w:start w:val="1"/>
      <w:numFmt w:val="bullet"/>
      <w:lvlText w:val=""/>
      <w:lvlJc w:val="left"/>
      <w:pPr>
        <w:ind w:left="4207" w:hanging="360"/>
      </w:pPr>
      <w:rPr>
        <w:rFonts w:ascii="Wingdings" w:hAnsi="Wingdings" w:hint="default"/>
      </w:rPr>
    </w:lvl>
    <w:lvl w:ilvl="6" w:tplc="FFFFFFFF" w:tentative="1">
      <w:start w:val="1"/>
      <w:numFmt w:val="bullet"/>
      <w:lvlText w:val=""/>
      <w:lvlJc w:val="left"/>
      <w:pPr>
        <w:ind w:left="4927" w:hanging="360"/>
      </w:pPr>
      <w:rPr>
        <w:rFonts w:ascii="Symbol" w:hAnsi="Symbol" w:hint="default"/>
      </w:rPr>
    </w:lvl>
    <w:lvl w:ilvl="7" w:tplc="FFFFFFFF" w:tentative="1">
      <w:start w:val="1"/>
      <w:numFmt w:val="bullet"/>
      <w:lvlText w:val="o"/>
      <w:lvlJc w:val="left"/>
      <w:pPr>
        <w:ind w:left="5647" w:hanging="360"/>
      </w:pPr>
      <w:rPr>
        <w:rFonts w:ascii="Courier New" w:hAnsi="Courier New" w:cs="Courier New" w:hint="default"/>
      </w:rPr>
    </w:lvl>
    <w:lvl w:ilvl="8" w:tplc="FFFFFFFF" w:tentative="1">
      <w:start w:val="1"/>
      <w:numFmt w:val="bullet"/>
      <w:lvlText w:val=""/>
      <w:lvlJc w:val="left"/>
      <w:pPr>
        <w:ind w:left="6367" w:hanging="360"/>
      </w:pPr>
      <w:rPr>
        <w:rFonts w:ascii="Wingdings" w:hAnsi="Wingdings" w:hint="default"/>
      </w:rPr>
    </w:lvl>
  </w:abstractNum>
  <w:abstractNum w:abstractNumId="30" w15:restartNumberingAfterBreak="0">
    <w:nsid w:val="64C36216"/>
    <w:multiLevelType w:val="hybridMultilevel"/>
    <w:tmpl w:val="5552A308"/>
    <w:lvl w:ilvl="0" w:tplc="9EC42BE0">
      <w:start w:val="1"/>
      <w:numFmt w:val="decimal"/>
      <w:lvlText w:val="%1."/>
      <w:lvlJc w:val="left"/>
      <w:pPr>
        <w:tabs>
          <w:tab w:val="num" w:pos="928"/>
        </w:tabs>
        <w:ind w:left="928" w:hanging="360"/>
      </w:pPr>
    </w:lvl>
    <w:lvl w:ilvl="1" w:tplc="04050019">
      <w:start w:val="1"/>
      <w:numFmt w:val="lowerLetter"/>
      <w:lvlText w:val="%2."/>
      <w:lvlJc w:val="left"/>
      <w:pPr>
        <w:tabs>
          <w:tab w:val="num" w:pos="1081"/>
        </w:tabs>
        <w:ind w:left="1081" w:hanging="360"/>
      </w:pPr>
    </w:lvl>
    <w:lvl w:ilvl="2" w:tplc="0405001B">
      <w:start w:val="1"/>
      <w:numFmt w:val="lowerRoman"/>
      <w:lvlText w:val="%3."/>
      <w:lvlJc w:val="right"/>
      <w:pPr>
        <w:tabs>
          <w:tab w:val="num" w:pos="1801"/>
        </w:tabs>
        <w:ind w:left="1801" w:hanging="180"/>
      </w:pPr>
    </w:lvl>
    <w:lvl w:ilvl="3" w:tplc="0405000F" w:tentative="1">
      <w:start w:val="1"/>
      <w:numFmt w:val="decimal"/>
      <w:lvlText w:val="%4."/>
      <w:lvlJc w:val="left"/>
      <w:pPr>
        <w:tabs>
          <w:tab w:val="num" w:pos="2521"/>
        </w:tabs>
        <w:ind w:left="2521" w:hanging="360"/>
      </w:pPr>
    </w:lvl>
    <w:lvl w:ilvl="4" w:tplc="04050019">
      <w:start w:val="1"/>
      <w:numFmt w:val="lowerLetter"/>
      <w:lvlText w:val="%5."/>
      <w:lvlJc w:val="left"/>
      <w:pPr>
        <w:tabs>
          <w:tab w:val="num" w:pos="3241"/>
        </w:tabs>
        <w:ind w:left="3241" w:hanging="360"/>
      </w:pPr>
    </w:lvl>
    <w:lvl w:ilvl="5" w:tplc="0405001B" w:tentative="1">
      <w:start w:val="1"/>
      <w:numFmt w:val="lowerRoman"/>
      <w:lvlText w:val="%6."/>
      <w:lvlJc w:val="right"/>
      <w:pPr>
        <w:tabs>
          <w:tab w:val="num" w:pos="3961"/>
        </w:tabs>
        <w:ind w:left="3961" w:hanging="180"/>
      </w:pPr>
    </w:lvl>
    <w:lvl w:ilvl="6" w:tplc="0405000F" w:tentative="1">
      <w:start w:val="1"/>
      <w:numFmt w:val="decimal"/>
      <w:lvlText w:val="%7."/>
      <w:lvlJc w:val="left"/>
      <w:pPr>
        <w:tabs>
          <w:tab w:val="num" w:pos="4681"/>
        </w:tabs>
        <w:ind w:left="4681" w:hanging="360"/>
      </w:pPr>
    </w:lvl>
    <w:lvl w:ilvl="7" w:tplc="04050019" w:tentative="1">
      <w:start w:val="1"/>
      <w:numFmt w:val="lowerLetter"/>
      <w:lvlText w:val="%8."/>
      <w:lvlJc w:val="left"/>
      <w:pPr>
        <w:tabs>
          <w:tab w:val="num" w:pos="5401"/>
        </w:tabs>
        <w:ind w:left="5401" w:hanging="360"/>
      </w:pPr>
    </w:lvl>
    <w:lvl w:ilvl="8" w:tplc="0405001B" w:tentative="1">
      <w:start w:val="1"/>
      <w:numFmt w:val="lowerRoman"/>
      <w:lvlText w:val="%9."/>
      <w:lvlJc w:val="right"/>
      <w:pPr>
        <w:tabs>
          <w:tab w:val="num" w:pos="6121"/>
        </w:tabs>
        <w:ind w:left="6121" w:hanging="180"/>
      </w:pPr>
    </w:lvl>
  </w:abstractNum>
  <w:abstractNum w:abstractNumId="31" w15:restartNumberingAfterBreak="0">
    <w:nsid w:val="67CE1235"/>
    <w:multiLevelType w:val="multilevel"/>
    <w:tmpl w:val="6186B1F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lowerLetter"/>
      <w:lvlText w:val="%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69065712"/>
    <w:multiLevelType w:val="hybridMultilevel"/>
    <w:tmpl w:val="0BF61A1E"/>
    <w:lvl w:ilvl="0" w:tplc="603C5342">
      <w:start w:val="1"/>
      <w:numFmt w:val="decimal"/>
      <w:lvlText w:val="%1."/>
      <w:lvlJc w:val="left"/>
      <w:pPr>
        <w:ind w:left="644" w:hanging="360"/>
      </w:pPr>
      <w:rPr>
        <w:b w:val="0"/>
        <w:bCs/>
      </w:rPr>
    </w:lvl>
    <w:lvl w:ilvl="1" w:tplc="A65A495C" w:tentative="1">
      <w:start w:val="1"/>
      <w:numFmt w:val="lowerLetter"/>
      <w:lvlText w:val="%2."/>
      <w:lvlJc w:val="left"/>
      <w:pPr>
        <w:ind w:left="1865" w:hanging="360"/>
      </w:pPr>
    </w:lvl>
    <w:lvl w:ilvl="2" w:tplc="B9E8A1DE" w:tentative="1">
      <w:start w:val="1"/>
      <w:numFmt w:val="lowerRoman"/>
      <w:lvlText w:val="%3."/>
      <w:lvlJc w:val="right"/>
      <w:pPr>
        <w:ind w:left="2585" w:hanging="180"/>
      </w:pPr>
    </w:lvl>
    <w:lvl w:ilvl="3" w:tplc="6F883BAA" w:tentative="1">
      <w:start w:val="1"/>
      <w:numFmt w:val="decimal"/>
      <w:lvlText w:val="%4."/>
      <w:lvlJc w:val="left"/>
      <w:pPr>
        <w:ind w:left="3305" w:hanging="360"/>
      </w:pPr>
    </w:lvl>
    <w:lvl w:ilvl="4" w:tplc="5E4C1994" w:tentative="1">
      <w:start w:val="1"/>
      <w:numFmt w:val="lowerLetter"/>
      <w:lvlText w:val="%5."/>
      <w:lvlJc w:val="left"/>
      <w:pPr>
        <w:ind w:left="4025" w:hanging="360"/>
      </w:pPr>
    </w:lvl>
    <w:lvl w:ilvl="5" w:tplc="8CC04482" w:tentative="1">
      <w:start w:val="1"/>
      <w:numFmt w:val="lowerRoman"/>
      <w:lvlText w:val="%6."/>
      <w:lvlJc w:val="right"/>
      <w:pPr>
        <w:ind w:left="4745" w:hanging="180"/>
      </w:pPr>
    </w:lvl>
    <w:lvl w:ilvl="6" w:tplc="B2D87FDE" w:tentative="1">
      <w:start w:val="1"/>
      <w:numFmt w:val="decimal"/>
      <w:lvlText w:val="%7."/>
      <w:lvlJc w:val="left"/>
      <w:pPr>
        <w:ind w:left="5465" w:hanging="360"/>
      </w:pPr>
    </w:lvl>
    <w:lvl w:ilvl="7" w:tplc="EFB48AB0" w:tentative="1">
      <w:start w:val="1"/>
      <w:numFmt w:val="lowerLetter"/>
      <w:lvlText w:val="%8."/>
      <w:lvlJc w:val="left"/>
      <w:pPr>
        <w:ind w:left="6185" w:hanging="360"/>
      </w:pPr>
    </w:lvl>
    <w:lvl w:ilvl="8" w:tplc="F9DE6160" w:tentative="1">
      <w:start w:val="1"/>
      <w:numFmt w:val="lowerRoman"/>
      <w:lvlText w:val="%9."/>
      <w:lvlJc w:val="right"/>
      <w:pPr>
        <w:ind w:left="6905" w:hanging="180"/>
      </w:pPr>
    </w:lvl>
  </w:abstractNum>
  <w:abstractNum w:abstractNumId="33" w15:restartNumberingAfterBreak="0">
    <w:nsid w:val="6CE25E6F"/>
    <w:multiLevelType w:val="hybridMultilevel"/>
    <w:tmpl w:val="1FCA04D4"/>
    <w:lvl w:ilvl="0" w:tplc="3DC642B8">
      <w:start w:val="1"/>
      <w:numFmt w:val="lowerLetter"/>
      <w:lvlText w:val="%1)"/>
      <w:lvlJc w:val="left"/>
      <w:pPr>
        <w:tabs>
          <w:tab w:val="num" w:pos="851"/>
        </w:tabs>
        <w:ind w:left="851" w:hanging="426"/>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795E4BF5"/>
    <w:multiLevelType w:val="multilevel"/>
    <w:tmpl w:val="18304A82"/>
    <w:lvl w:ilvl="0">
      <w:start w:val="1"/>
      <w:numFmt w:val="decimal"/>
      <w:pStyle w:val="Nadpis1"/>
      <w:lvlText w:val="%1."/>
      <w:lvlJc w:val="left"/>
      <w:pPr>
        <w:tabs>
          <w:tab w:val="num" w:pos="425"/>
        </w:tabs>
        <w:ind w:left="425" w:hanging="425"/>
      </w:pPr>
      <w:rPr>
        <w:rFonts w:ascii="Arial" w:hAnsi="Arial" w:hint="default"/>
        <w:b/>
        <w:i w:val="0"/>
        <w:color w:val="auto"/>
        <w:sz w:val="18"/>
        <w:szCs w:val="18"/>
      </w:rPr>
    </w:lvl>
    <w:lvl w:ilvl="1">
      <w:start w:val="1"/>
      <w:numFmt w:val="decimal"/>
      <w:pStyle w:val="Nadpis2"/>
      <w:lvlText w:val="%1.%2"/>
      <w:lvlJc w:val="left"/>
      <w:pPr>
        <w:tabs>
          <w:tab w:val="num" w:pos="567"/>
        </w:tabs>
        <w:ind w:left="567" w:hanging="425"/>
      </w:pPr>
      <w:rPr>
        <w:rFonts w:ascii="Arial" w:hAnsi="Arial" w:hint="default"/>
        <w:b w:val="0"/>
        <w:i w:val="0"/>
        <w:color w:val="auto"/>
        <w:sz w:val="18"/>
        <w:szCs w:val="18"/>
      </w:rPr>
    </w:lvl>
    <w:lvl w:ilvl="2">
      <w:start w:val="1"/>
      <w:numFmt w:val="decimal"/>
      <w:pStyle w:val="Nadpis3"/>
      <w:lvlText w:val="%1.%2.%3"/>
      <w:lvlJc w:val="left"/>
      <w:pPr>
        <w:tabs>
          <w:tab w:val="num" w:pos="992"/>
        </w:tabs>
        <w:ind w:left="992" w:hanging="567"/>
      </w:pPr>
      <w:rPr>
        <w:rFonts w:ascii="Arial" w:hAnsi="Arial" w:hint="default"/>
        <w:b w:val="0"/>
        <w:i w:val="0"/>
        <w:color w:val="auto"/>
        <w:sz w:val="18"/>
        <w:szCs w:val="18"/>
        <w:u w:val="none"/>
      </w:rPr>
    </w:lvl>
    <w:lvl w:ilvl="3">
      <w:start w:val="1"/>
      <w:numFmt w:val="lowerLetter"/>
      <w:pStyle w:val="Nadpis4"/>
      <w:lvlText w:val="%4)"/>
      <w:lvlJc w:val="left"/>
      <w:pPr>
        <w:tabs>
          <w:tab w:val="num" w:pos="851"/>
        </w:tabs>
        <w:ind w:left="851" w:hanging="426"/>
      </w:pPr>
      <w:rPr>
        <w:rFonts w:ascii="Arial" w:hAnsi="Arial" w:hint="default"/>
        <w:b w:val="0"/>
        <w:i w:val="0"/>
        <w:color w:val="auto"/>
        <w:sz w:val="18"/>
        <w:szCs w:val="18"/>
        <w:u w:val="none"/>
      </w:rPr>
    </w:lvl>
    <w:lvl w:ilvl="4">
      <w:start w:val="1"/>
      <w:numFmt w:val="decimal"/>
      <w:pStyle w:val="Nadpis5"/>
      <w:lvlText w:val="%1.%2.%3.%5"/>
      <w:lvlJc w:val="left"/>
      <w:pPr>
        <w:tabs>
          <w:tab w:val="num" w:pos="1701"/>
        </w:tabs>
        <w:ind w:left="1701" w:hanging="709"/>
      </w:pPr>
      <w:rPr>
        <w:rFonts w:hint="default"/>
      </w:rPr>
    </w:lvl>
    <w:lvl w:ilvl="5">
      <w:start w:val="1"/>
      <w:numFmt w:val="decimal"/>
      <w:lvlText w:val="%1.%2.%3.%4.%5.%6"/>
      <w:lvlJc w:val="left"/>
      <w:pPr>
        <w:tabs>
          <w:tab w:val="num" w:pos="1577"/>
        </w:tabs>
        <w:ind w:left="1577" w:hanging="1152"/>
      </w:pPr>
      <w:rPr>
        <w:rFonts w:hint="default"/>
      </w:rPr>
    </w:lvl>
    <w:lvl w:ilvl="6">
      <w:start w:val="1"/>
      <w:numFmt w:val="decimal"/>
      <w:lvlText w:val="%1.%2.%3.%4.%5.%6.%7"/>
      <w:lvlJc w:val="left"/>
      <w:pPr>
        <w:tabs>
          <w:tab w:val="num" w:pos="1721"/>
        </w:tabs>
        <w:ind w:left="1721" w:hanging="1296"/>
      </w:pPr>
      <w:rPr>
        <w:rFonts w:hint="default"/>
      </w:rPr>
    </w:lvl>
    <w:lvl w:ilvl="7">
      <w:start w:val="1"/>
      <w:numFmt w:val="decimal"/>
      <w:lvlText w:val="%1.%2.%3.%4.%5.%6.%7.%8"/>
      <w:lvlJc w:val="left"/>
      <w:pPr>
        <w:tabs>
          <w:tab w:val="num" w:pos="1865"/>
        </w:tabs>
        <w:ind w:left="1865" w:hanging="1440"/>
      </w:pPr>
      <w:rPr>
        <w:rFonts w:hint="default"/>
      </w:rPr>
    </w:lvl>
    <w:lvl w:ilvl="8">
      <w:start w:val="1"/>
      <w:numFmt w:val="decimal"/>
      <w:lvlText w:val="%1.%2.%3.%4.%5.%6.%7.%8.%9"/>
      <w:lvlJc w:val="left"/>
      <w:pPr>
        <w:tabs>
          <w:tab w:val="num" w:pos="2009"/>
        </w:tabs>
        <w:ind w:left="2009" w:hanging="1584"/>
      </w:pPr>
      <w:rPr>
        <w:rFonts w:hint="default"/>
      </w:rPr>
    </w:lvl>
  </w:abstractNum>
  <w:abstractNum w:abstractNumId="35" w15:restartNumberingAfterBreak="0">
    <w:nsid w:val="7C727FC0"/>
    <w:multiLevelType w:val="hybridMultilevel"/>
    <w:tmpl w:val="8B2A3A94"/>
    <w:lvl w:ilvl="0" w:tplc="08B41CDE">
      <w:start w:val="1"/>
      <w:numFmt w:val="lowerRoman"/>
      <w:lvlText w:val="%1)"/>
      <w:lvlJc w:val="left"/>
      <w:pPr>
        <w:tabs>
          <w:tab w:val="num" w:pos="851"/>
        </w:tabs>
        <w:ind w:left="851" w:hanging="426"/>
      </w:pPr>
      <w:rPr>
        <w:rFonts w:hint="default"/>
        <w:b w:val="0"/>
        <w:i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7FEC4F62"/>
    <w:multiLevelType w:val="hybridMultilevel"/>
    <w:tmpl w:val="A16ACAC2"/>
    <w:lvl w:ilvl="0" w:tplc="04050005">
      <w:start w:val="1"/>
      <w:numFmt w:val="bullet"/>
      <w:lvlText w:val=""/>
      <w:lvlJc w:val="left"/>
      <w:pPr>
        <w:ind w:left="786" w:hanging="360"/>
      </w:pPr>
      <w:rPr>
        <w:rFonts w:ascii="Wingdings" w:hAnsi="Wingdings"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num w:numId="1" w16cid:durableId="14231354">
    <w:abstractNumId w:val="25"/>
  </w:num>
  <w:num w:numId="2" w16cid:durableId="511266061">
    <w:abstractNumId w:val="30"/>
  </w:num>
  <w:num w:numId="3" w16cid:durableId="975599083">
    <w:abstractNumId w:val="33"/>
  </w:num>
  <w:num w:numId="4" w16cid:durableId="119231449">
    <w:abstractNumId w:val="23"/>
  </w:num>
  <w:num w:numId="5" w16cid:durableId="2115786258">
    <w:abstractNumId w:val="2"/>
  </w:num>
  <w:num w:numId="6" w16cid:durableId="1229536229">
    <w:abstractNumId w:val="34"/>
  </w:num>
  <w:num w:numId="7" w16cid:durableId="54933019">
    <w:abstractNumId w:val="32"/>
  </w:num>
  <w:num w:numId="8" w16cid:durableId="1679575362">
    <w:abstractNumId w:val="7"/>
  </w:num>
  <w:num w:numId="9" w16cid:durableId="832650176">
    <w:abstractNumId w:val="1"/>
  </w:num>
  <w:num w:numId="10" w16cid:durableId="2088182973">
    <w:abstractNumId w:val="3"/>
  </w:num>
  <w:num w:numId="11" w16cid:durableId="438793162">
    <w:abstractNumId w:val="22"/>
  </w:num>
  <w:num w:numId="12" w16cid:durableId="1887181107">
    <w:abstractNumId w:val="12"/>
  </w:num>
  <w:num w:numId="13" w16cid:durableId="1712220063">
    <w:abstractNumId w:val="17"/>
  </w:num>
  <w:num w:numId="14" w16cid:durableId="50010112">
    <w:abstractNumId w:val="16"/>
  </w:num>
  <w:num w:numId="15" w16cid:durableId="1811049421">
    <w:abstractNumId w:val="14"/>
  </w:num>
  <w:num w:numId="16" w16cid:durableId="1891645071">
    <w:abstractNumId w:val="28"/>
  </w:num>
  <w:num w:numId="17" w16cid:durableId="1496646450">
    <w:abstractNumId w:val="5"/>
  </w:num>
  <w:num w:numId="18" w16cid:durableId="1047148509">
    <w:abstractNumId w:val="24"/>
  </w:num>
  <w:num w:numId="19" w16cid:durableId="1210528402">
    <w:abstractNumId w:val="18"/>
  </w:num>
  <w:num w:numId="20" w16cid:durableId="1419597513">
    <w:abstractNumId w:val="13"/>
  </w:num>
  <w:num w:numId="21" w16cid:durableId="634413235">
    <w:abstractNumId w:val="31"/>
  </w:num>
  <w:num w:numId="22" w16cid:durableId="117603743">
    <w:abstractNumId w:val="26"/>
  </w:num>
  <w:num w:numId="23" w16cid:durableId="190806589">
    <w:abstractNumId w:val="10"/>
  </w:num>
  <w:num w:numId="24" w16cid:durableId="1074552979">
    <w:abstractNumId w:val="15"/>
  </w:num>
  <w:num w:numId="25" w16cid:durableId="995301983">
    <w:abstractNumId w:val="19"/>
  </w:num>
  <w:num w:numId="26" w16cid:durableId="1893611248">
    <w:abstractNumId w:val="4"/>
  </w:num>
  <w:num w:numId="27" w16cid:durableId="1618562980">
    <w:abstractNumId w:val="0"/>
  </w:num>
  <w:num w:numId="28" w16cid:durableId="2117095404">
    <w:abstractNumId w:val="35"/>
  </w:num>
  <w:num w:numId="29" w16cid:durableId="1279752559">
    <w:abstractNumId w:val="8"/>
  </w:num>
  <w:num w:numId="30" w16cid:durableId="20726510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45061320">
    <w:abstractNumId w:val="27"/>
  </w:num>
  <w:num w:numId="32" w16cid:durableId="920069742">
    <w:abstractNumId w:val="20"/>
  </w:num>
  <w:num w:numId="33" w16cid:durableId="1985888850">
    <w:abstractNumId w:val="6"/>
  </w:num>
  <w:num w:numId="34" w16cid:durableId="386876217">
    <w:abstractNumId w:val="21"/>
  </w:num>
  <w:num w:numId="35" w16cid:durableId="570386245">
    <w:abstractNumId w:val="36"/>
  </w:num>
  <w:num w:numId="36" w16cid:durableId="2105029424">
    <w:abstractNumId w:val="29"/>
  </w:num>
  <w:num w:numId="37" w16cid:durableId="1787196083">
    <w:abstractNumId w:val="34"/>
  </w:num>
  <w:num w:numId="38" w16cid:durableId="2118284693">
    <w:abstractNumId w:val="3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B21"/>
    <w:rsid w:val="00001212"/>
    <w:rsid w:val="00003DB5"/>
    <w:rsid w:val="00014573"/>
    <w:rsid w:val="00017145"/>
    <w:rsid w:val="00032B51"/>
    <w:rsid w:val="00036EC1"/>
    <w:rsid w:val="000443D5"/>
    <w:rsid w:val="00046463"/>
    <w:rsid w:val="00047657"/>
    <w:rsid w:val="00051311"/>
    <w:rsid w:val="000517C6"/>
    <w:rsid w:val="0005484E"/>
    <w:rsid w:val="00055078"/>
    <w:rsid w:val="00056CD6"/>
    <w:rsid w:val="00074C62"/>
    <w:rsid w:val="00081CCF"/>
    <w:rsid w:val="000960E3"/>
    <w:rsid w:val="000A024A"/>
    <w:rsid w:val="000A17F2"/>
    <w:rsid w:val="000A3BAA"/>
    <w:rsid w:val="000C3179"/>
    <w:rsid w:val="000C5898"/>
    <w:rsid w:val="000D21B5"/>
    <w:rsid w:val="000E3865"/>
    <w:rsid w:val="00107137"/>
    <w:rsid w:val="001204BF"/>
    <w:rsid w:val="00132078"/>
    <w:rsid w:val="0014063F"/>
    <w:rsid w:val="00140DAC"/>
    <w:rsid w:val="0014467F"/>
    <w:rsid w:val="00162BE2"/>
    <w:rsid w:val="00163338"/>
    <w:rsid w:val="00173E89"/>
    <w:rsid w:val="00174F69"/>
    <w:rsid w:val="00176EC4"/>
    <w:rsid w:val="00180768"/>
    <w:rsid w:val="0018186F"/>
    <w:rsid w:val="001A1528"/>
    <w:rsid w:val="001A17C7"/>
    <w:rsid w:val="001B149D"/>
    <w:rsid w:val="001B29E5"/>
    <w:rsid w:val="001B3DD2"/>
    <w:rsid w:val="001C0BC0"/>
    <w:rsid w:val="001C2271"/>
    <w:rsid w:val="001C7089"/>
    <w:rsid w:val="001D1A9E"/>
    <w:rsid w:val="001D2FE0"/>
    <w:rsid w:val="001D5062"/>
    <w:rsid w:val="001F1813"/>
    <w:rsid w:val="00211769"/>
    <w:rsid w:val="0021470A"/>
    <w:rsid w:val="00215F3B"/>
    <w:rsid w:val="00216904"/>
    <w:rsid w:val="00220D61"/>
    <w:rsid w:val="0024190D"/>
    <w:rsid w:val="002552EA"/>
    <w:rsid w:val="00280274"/>
    <w:rsid w:val="00281C06"/>
    <w:rsid w:val="00293689"/>
    <w:rsid w:val="00293748"/>
    <w:rsid w:val="00297DAE"/>
    <w:rsid w:val="002A6253"/>
    <w:rsid w:val="002B2E7E"/>
    <w:rsid w:val="002B551E"/>
    <w:rsid w:val="002B735D"/>
    <w:rsid w:val="002D3264"/>
    <w:rsid w:val="002E7C7B"/>
    <w:rsid w:val="002F4C0C"/>
    <w:rsid w:val="00301974"/>
    <w:rsid w:val="00303F56"/>
    <w:rsid w:val="0030452A"/>
    <w:rsid w:val="0030548B"/>
    <w:rsid w:val="00305795"/>
    <w:rsid w:val="00305D81"/>
    <w:rsid w:val="0031018E"/>
    <w:rsid w:val="00327070"/>
    <w:rsid w:val="003278E5"/>
    <w:rsid w:val="0033154D"/>
    <w:rsid w:val="0034064C"/>
    <w:rsid w:val="003513CD"/>
    <w:rsid w:val="00351B6D"/>
    <w:rsid w:val="00355375"/>
    <w:rsid w:val="0035732D"/>
    <w:rsid w:val="00363F37"/>
    <w:rsid w:val="00366F90"/>
    <w:rsid w:val="00384258"/>
    <w:rsid w:val="00391F24"/>
    <w:rsid w:val="003971C1"/>
    <w:rsid w:val="003A656B"/>
    <w:rsid w:val="003A791E"/>
    <w:rsid w:val="003B3723"/>
    <w:rsid w:val="003B3900"/>
    <w:rsid w:val="003B3B59"/>
    <w:rsid w:val="003C0E83"/>
    <w:rsid w:val="003C12A9"/>
    <w:rsid w:val="003C1B42"/>
    <w:rsid w:val="003C6E0D"/>
    <w:rsid w:val="003D12C1"/>
    <w:rsid w:val="003E3A8E"/>
    <w:rsid w:val="003F262B"/>
    <w:rsid w:val="003F51B7"/>
    <w:rsid w:val="003F5C46"/>
    <w:rsid w:val="00402244"/>
    <w:rsid w:val="00406246"/>
    <w:rsid w:val="00410ECA"/>
    <w:rsid w:val="00411273"/>
    <w:rsid w:val="0041281C"/>
    <w:rsid w:val="00427C89"/>
    <w:rsid w:val="00436B72"/>
    <w:rsid w:val="00437F7A"/>
    <w:rsid w:val="004418D6"/>
    <w:rsid w:val="0044398D"/>
    <w:rsid w:val="00447C4B"/>
    <w:rsid w:val="0045688B"/>
    <w:rsid w:val="00457915"/>
    <w:rsid w:val="00460359"/>
    <w:rsid w:val="00460985"/>
    <w:rsid w:val="00461D2B"/>
    <w:rsid w:val="00463291"/>
    <w:rsid w:val="004656D6"/>
    <w:rsid w:val="00474AD2"/>
    <w:rsid w:val="00485484"/>
    <w:rsid w:val="00486ACC"/>
    <w:rsid w:val="00493619"/>
    <w:rsid w:val="004A2217"/>
    <w:rsid w:val="004A7A97"/>
    <w:rsid w:val="004B169C"/>
    <w:rsid w:val="004B614A"/>
    <w:rsid w:val="004D00EE"/>
    <w:rsid w:val="004D30A6"/>
    <w:rsid w:val="004D435E"/>
    <w:rsid w:val="004E02CD"/>
    <w:rsid w:val="004F2262"/>
    <w:rsid w:val="004F674F"/>
    <w:rsid w:val="004F741A"/>
    <w:rsid w:val="005104A1"/>
    <w:rsid w:val="005109C7"/>
    <w:rsid w:val="00511C3E"/>
    <w:rsid w:val="005126A5"/>
    <w:rsid w:val="00512BDA"/>
    <w:rsid w:val="00523E14"/>
    <w:rsid w:val="00524077"/>
    <w:rsid w:val="00531A1E"/>
    <w:rsid w:val="00565500"/>
    <w:rsid w:val="00575B69"/>
    <w:rsid w:val="00587470"/>
    <w:rsid w:val="00597C5D"/>
    <w:rsid w:val="005A5E6B"/>
    <w:rsid w:val="005A6920"/>
    <w:rsid w:val="005B0BE1"/>
    <w:rsid w:val="005B2704"/>
    <w:rsid w:val="005B4C8A"/>
    <w:rsid w:val="005C5428"/>
    <w:rsid w:val="005D3B3D"/>
    <w:rsid w:val="005D584A"/>
    <w:rsid w:val="005D7AE9"/>
    <w:rsid w:val="005F1358"/>
    <w:rsid w:val="005F5A69"/>
    <w:rsid w:val="005F5CDA"/>
    <w:rsid w:val="005F6AA4"/>
    <w:rsid w:val="005F6E12"/>
    <w:rsid w:val="005F7F66"/>
    <w:rsid w:val="00607147"/>
    <w:rsid w:val="00616C13"/>
    <w:rsid w:val="006219AF"/>
    <w:rsid w:val="00623BA4"/>
    <w:rsid w:val="00625260"/>
    <w:rsid w:val="00627CF7"/>
    <w:rsid w:val="006301B4"/>
    <w:rsid w:val="006312AF"/>
    <w:rsid w:val="0063332A"/>
    <w:rsid w:val="006360E2"/>
    <w:rsid w:val="00637BED"/>
    <w:rsid w:val="00647121"/>
    <w:rsid w:val="00660921"/>
    <w:rsid w:val="00660AD9"/>
    <w:rsid w:val="00661A60"/>
    <w:rsid w:val="006664A7"/>
    <w:rsid w:val="00671F50"/>
    <w:rsid w:val="0067239C"/>
    <w:rsid w:val="00674E84"/>
    <w:rsid w:val="006773D3"/>
    <w:rsid w:val="006A2008"/>
    <w:rsid w:val="006A215F"/>
    <w:rsid w:val="006B2655"/>
    <w:rsid w:val="006B2A58"/>
    <w:rsid w:val="006B346B"/>
    <w:rsid w:val="006B580E"/>
    <w:rsid w:val="006C0A89"/>
    <w:rsid w:val="006D303C"/>
    <w:rsid w:val="006D6C7C"/>
    <w:rsid w:val="006D7B0A"/>
    <w:rsid w:val="00701786"/>
    <w:rsid w:val="007120D1"/>
    <w:rsid w:val="00715B19"/>
    <w:rsid w:val="007168B0"/>
    <w:rsid w:val="00727C53"/>
    <w:rsid w:val="00732E0F"/>
    <w:rsid w:val="00735EAA"/>
    <w:rsid w:val="007372A2"/>
    <w:rsid w:val="007416C3"/>
    <w:rsid w:val="00753697"/>
    <w:rsid w:val="007667E5"/>
    <w:rsid w:val="00780361"/>
    <w:rsid w:val="007A1356"/>
    <w:rsid w:val="007A50FF"/>
    <w:rsid w:val="007B34EE"/>
    <w:rsid w:val="007D1746"/>
    <w:rsid w:val="007D181E"/>
    <w:rsid w:val="007D4B11"/>
    <w:rsid w:val="007E54FB"/>
    <w:rsid w:val="007F1EE5"/>
    <w:rsid w:val="007F37C3"/>
    <w:rsid w:val="007F676B"/>
    <w:rsid w:val="007F756E"/>
    <w:rsid w:val="007F76EB"/>
    <w:rsid w:val="0080340F"/>
    <w:rsid w:val="00803751"/>
    <w:rsid w:val="008039AF"/>
    <w:rsid w:val="00812109"/>
    <w:rsid w:val="0081282F"/>
    <w:rsid w:val="00820946"/>
    <w:rsid w:val="00830108"/>
    <w:rsid w:val="00832EBE"/>
    <w:rsid w:val="008344FB"/>
    <w:rsid w:val="00834E17"/>
    <w:rsid w:val="0084619D"/>
    <w:rsid w:val="00847DCE"/>
    <w:rsid w:val="00852D12"/>
    <w:rsid w:val="008545A5"/>
    <w:rsid w:val="00857BEF"/>
    <w:rsid w:val="00864035"/>
    <w:rsid w:val="00867930"/>
    <w:rsid w:val="008717DD"/>
    <w:rsid w:val="00880927"/>
    <w:rsid w:val="00886333"/>
    <w:rsid w:val="00893BBA"/>
    <w:rsid w:val="008973B0"/>
    <w:rsid w:val="008C0BCD"/>
    <w:rsid w:val="008C7F2A"/>
    <w:rsid w:val="008E124A"/>
    <w:rsid w:val="008E4646"/>
    <w:rsid w:val="008E51B5"/>
    <w:rsid w:val="008F3925"/>
    <w:rsid w:val="008F4B01"/>
    <w:rsid w:val="00913985"/>
    <w:rsid w:val="00916BB1"/>
    <w:rsid w:val="009214E5"/>
    <w:rsid w:val="0092226A"/>
    <w:rsid w:val="0093315A"/>
    <w:rsid w:val="009420B8"/>
    <w:rsid w:val="009447E0"/>
    <w:rsid w:val="00952DA1"/>
    <w:rsid w:val="00953697"/>
    <w:rsid w:val="00963DF4"/>
    <w:rsid w:val="00967F09"/>
    <w:rsid w:val="009703DC"/>
    <w:rsid w:val="00975E75"/>
    <w:rsid w:val="00976233"/>
    <w:rsid w:val="009838E8"/>
    <w:rsid w:val="0098607A"/>
    <w:rsid w:val="0098635C"/>
    <w:rsid w:val="00992E09"/>
    <w:rsid w:val="009A0563"/>
    <w:rsid w:val="009B4B68"/>
    <w:rsid w:val="009C2AA1"/>
    <w:rsid w:val="009C6A5F"/>
    <w:rsid w:val="009D0D8F"/>
    <w:rsid w:val="009D30B2"/>
    <w:rsid w:val="009D4053"/>
    <w:rsid w:val="009D5582"/>
    <w:rsid w:val="009D7E0B"/>
    <w:rsid w:val="009E3498"/>
    <w:rsid w:val="009F705A"/>
    <w:rsid w:val="009F7F15"/>
    <w:rsid w:val="00A0118E"/>
    <w:rsid w:val="00A03C54"/>
    <w:rsid w:val="00A051F7"/>
    <w:rsid w:val="00A21048"/>
    <w:rsid w:val="00A256F0"/>
    <w:rsid w:val="00A25AF2"/>
    <w:rsid w:val="00A25E3E"/>
    <w:rsid w:val="00A27EB7"/>
    <w:rsid w:val="00A33CC7"/>
    <w:rsid w:val="00A34266"/>
    <w:rsid w:val="00A352CF"/>
    <w:rsid w:val="00A42A3E"/>
    <w:rsid w:val="00A42DF0"/>
    <w:rsid w:val="00A435CB"/>
    <w:rsid w:val="00A46BF2"/>
    <w:rsid w:val="00A545F8"/>
    <w:rsid w:val="00A6446D"/>
    <w:rsid w:val="00A66D34"/>
    <w:rsid w:val="00A84A8F"/>
    <w:rsid w:val="00AA4641"/>
    <w:rsid w:val="00AB1F31"/>
    <w:rsid w:val="00AB296E"/>
    <w:rsid w:val="00AD5442"/>
    <w:rsid w:val="00AE1104"/>
    <w:rsid w:val="00AF5510"/>
    <w:rsid w:val="00AF6873"/>
    <w:rsid w:val="00AF71B2"/>
    <w:rsid w:val="00B01D36"/>
    <w:rsid w:val="00B03FD4"/>
    <w:rsid w:val="00B04D45"/>
    <w:rsid w:val="00B06029"/>
    <w:rsid w:val="00B06DF0"/>
    <w:rsid w:val="00B07F4B"/>
    <w:rsid w:val="00B125F2"/>
    <w:rsid w:val="00B1274F"/>
    <w:rsid w:val="00B12F5E"/>
    <w:rsid w:val="00B14066"/>
    <w:rsid w:val="00B14995"/>
    <w:rsid w:val="00B1566E"/>
    <w:rsid w:val="00B204AB"/>
    <w:rsid w:val="00B32B21"/>
    <w:rsid w:val="00B421CE"/>
    <w:rsid w:val="00B42E65"/>
    <w:rsid w:val="00B42F46"/>
    <w:rsid w:val="00B45A48"/>
    <w:rsid w:val="00B51D38"/>
    <w:rsid w:val="00B53A71"/>
    <w:rsid w:val="00B56F4D"/>
    <w:rsid w:val="00B6765C"/>
    <w:rsid w:val="00B74AFC"/>
    <w:rsid w:val="00B7552C"/>
    <w:rsid w:val="00B810B3"/>
    <w:rsid w:val="00B91271"/>
    <w:rsid w:val="00B92378"/>
    <w:rsid w:val="00B940CB"/>
    <w:rsid w:val="00BA07C9"/>
    <w:rsid w:val="00BA13F2"/>
    <w:rsid w:val="00BA4684"/>
    <w:rsid w:val="00BA6121"/>
    <w:rsid w:val="00BB1B51"/>
    <w:rsid w:val="00BB3B4E"/>
    <w:rsid w:val="00BC0906"/>
    <w:rsid w:val="00BD2B91"/>
    <w:rsid w:val="00BD4A7E"/>
    <w:rsid w:val="00BE38B9"/>
    <w:rsid w:val="00BE6852"/>
    <w:rsid w:val="00BF5CDB"/>
    <w:rsid w:val="00BF7FB0"/>
    <w:rsid w:val="00C049DF"/>
    <w:rsid w:val="00C05886"/>
    <w:rsid w:val="00C131CD"/>
    <w:rsid w:val="00C1629D"/>
    <w:rsid w:val="00C179BF"/>
    <w:rsid w:val="00C20D88"/>
    <w:rsid w:val="00C237F0"/>
    <w:rsid w:val="00C25FC8"/>
    <w:rsid w:val="00C27A16"/>
    <w:rsid w:val="00C40DC5"/>
    <w:rsid w:val="00C42FA9"/>
    <w:rsid w:val="00C475D2"/>
    <w:rsid w:val="00C5007F"/>
    <w:rsid w:val="00C50AC5"/>
    <w:rsid w:val="00C52D9E"/>
    <w:rsid w:val="00C60791"/>
    <w:rsid w:val="00C620BF"/>
    <w:rsid w:val="00C73421"/>
    <w:rsid w:val="00C75346"/>
    <w:rsid w:val="00C75F6A"/>
    <w:rsid w:val="00C833D4"/>
    <w:rsid w:val="00C87707"/>
    <w:rsid w:val="00C90383"/>
    <w:rsid w:val="00C93FFA"/>
    <w:rsid w:val="00CC6090"/>
    <w:rsid w:val="00CC684D"/>
    <w:rsid w:val="00CD3F0F"/>
    <w:rsid w:val="00CF7774"/>
    <w:rsid w:val="00D037EE"/>
    <w:rsid w:val="00D03A9A"/>
    <w:rsid w:val="00D0669D"/>
    <w:rsid w:val="00D06B93"/>
    <w:rsid w:val="00D07EEB"/>
    <w:rsid w:val="00D175F1"/>
    <w:rsid w:val="00D2556E"/>
    <w:rsid w:val="00D317D8"/>
    <w:rsid w:val="00D31A86"/>
    <w:rsid w:val="00D34CDF"/>
    <w:rsid w:val="00D428E9"/>
    <w:rsid w:val="00D46571"/>
    <w:rsid w:val="00D52F10"/>
    <w:rsid w:val="00D705B0"/>
    <w:rsid w:val="00D71178"/>
    <w:rsid w:val="00D74A3A"/>
    <w:rsid w:val="00D75150"/>
    <w:rsid w:val="00D766CF"/>
    <w:rsid w:val="00D8382D"/>
    <w:rsid w:val="00D84096"/>
    <w:rsid w:val="00D93B71"/>
    <w:rsid w:val="00DA09DB"/>
    <w:rsid w:val="00DB16CC"/>
    <w:rsid w:val="00DB37D3"/>
    <w:rsid w:val="00DB3DDD"/>
    <w:rsid w:val="00DB607E"/>
    <w:rsid w:val="00DC2002"/>
    <w:rsid w:val="00DC7F86"/>
    <w:rsid w:val="00DE3FF6"/>
    <w:rsid w:val="00DE41C8"/>
    <w:rsid w:val="00DE4365"/>
    <w:rsid w:val="00DF431E"/>
    <w:rsid w:val="00E02C60"/>
    <w:rsid w:val="00E10C31"/>
    <w:rsid w:val="00E21407"/>
    <w:rsid w:val="00E222A3"/>
    <w:rsid w:val="00E22936"/>
    <w:rsid w:val="00E265F0"/>
    <w:rsid w:val="00E33776"/>
    <w:rsid w:val="00E34BDD"/>
    <w:rsid w:val="00E3620C"/>
    <w:rsid w:val="00E37C0C"/>
    <w:rsid w:val="00E41CB1"/>
    <w:rsid w:val="00E54767"/>
    <w:rsid w:val="00E55A87"/>
    <w:rsid w:val="00E63AE9"/>
    <w:rsid w:val="00E6496E"/>
    <w:rsid w:val="00E6764E"/>
    <w:rsid w:val="00E71D9F"/>
    <w:rsid w:val="00E8411A"/>
    <w:rsid w:val="00E90BDD"/>
    <w:rsid w:val="00E940B8"/>
    <w:rsid w:val="00EB5121"/>
    <w:rsid w:val="00EB5AFA"/>
    <w:rsid w:val="00EB5C88"/>
    <w:rsid w:val="00ED1F9B"/>
    <w:rsid w:val="00ED423A"/>
    <w:rsid w:val="00EF6E91"/>
    <w:rsid w:val="00F14F41"/>
    <w:rsid w:val="00F243A1"/>
    <w:rsid w:val="00F262F0"/>
    <w:rsid w:val="00F365E5"/>
    <w:rsid w:val="00F407D1"/>
    <w:rsid w:val="00F43D6E"/>
    <w:rsid w:val="00F464FC"/>
    <w:rsid w:val="00F47E07"/>
    <w:rsid w:val="00F53C15"/>
    <w:rsid w:val="00F74220"/>
    <w:rsid w:val="00F81B38"/>
    <w:rsid w:val="00F92C5F"/>
    <w:rsid w:val="00FA1983"/>
    <w:rsid w:val="00FA3ADE"/>
    <w:rsid w:val="00FB06BF"/>
    <w:rsid w:val="00FB3150"/>
    <w:rsid w:val="00FC2307"/>
    <w:rsid w:val="00FC266D"/>
    <w:rsid w:val="00FC5E42"/>
    <w:rsid w:val="00FE0A14"/>
    <w:rsid w:val="00FF0EB5"/>
    <w:rsid w:val="00FF2243"/>
    <w:rsid w:val="00FF298F"/>
    <w:rsid w:val="00FF4724"/>
    <w:rsid w:val="00FF4B49"/>
    <w:rsid w:val="00FF7F6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43DFA9DA"/>
  <w15:chartTrackingRefBased/>
  <w15:docId w15:val="{C2F43D3B-243F-4235-8EAB-661969BE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42A3E"/>
    <w:pPr>
      <w:overflowPunct w:val="0"/>
      <w:autoSpaceDE w:val="0"/>
      <w:autoSpaceDN w:val="0"/>
      <w:adjustRightInd w:val="0"/>
      <w:jc w:val="both"/>
      <w:textAlignment w:val="baseline"/>
    </w:pPr>
    <w:rPr>
      <w:rFonts w:ascii="Arial" w:hAnsi="Arial"/>
      <w:sz w:val="18"/>
    </w:rPr>
  </w:style>
  <w:style w:type="paragraph" w:styleId="Nadpis1">
    <w:name w:val="heading 1"/>
    <w:aliases w:val=" Char"/>
    <w:basedOn w:val="Normln"/>
    <w:next w:val="Normln"/>
    <w:link w:val="Nadpis1Char"/>
    <w:qFormat/>
    <w:rsid w:val="000E3865"/>
    <w:pPr>
      <w:numPr>
        <w:numId w:val="6"/>
      </w:numPr>
      <w:spacing w:before="120" w:after="120"/>
      <w:outlineLvl w:val="0"/>
    </w:pPr>
    <w:rPr>
      <w:b/>
      <w:szCs w:val="18"/>
      <w:lang w:val="x-none" w:eastAsia="x-none"/>
    </w:rPr>
  </w:style>
  <w:style w:type="paragraph" w:styleId="Nadpis2">
    <w:name w:val="heading 2"/>
    <w:aliases w:val="Nadpis 2 Char3,Nadpis 2 Char1 Char,Nadpis 2 Char Char Char,Nadpis 2 Char Char1,Nadpis 2 Char2 Char,Nadpis 2 Char Char1 Char Char,Nadpis 2 Char Char2 Char,Nadpis 2 Char1,Nadpis 2 Char Char,Nadpis 2 Char2,Nadpis 2 Char Char1 Char"/>
    <w:basedOn w:val="Normln"/>
    <w:next w:val="Normln"/>
    <w:link w:val="Nadpis2Char"/>
    <w:qFormat/>
    <w:rsid w:val="000E3865"/>
    <w:pPr>
      <w:numPr>
        <w:ilvl w:val="1"/>
        <w:numId w:val="6"/>
      </w:numPr>
      <w:tabs>
        <w:tab w:val="clear" w:pos="567"/>
        <w:tab w:val="num" w:pos="425"/>
      </w:tabs>
      <w:spacing w:after="120"/>
      <w:ind w:left="425"/>
      <w:outlineLvl w:val="1"/>
    </w:pPr>
    <w:rPr>
      <w:lang w:val="x-none" w:eastAsia="x-none"/>
    </w:rPr>
  </w:style>
  <w:style w:type="paragraph" w:styleId="Nadpis3">
    <w:name w:val="heading 3"/>
    <w:basedOn w:val="Normln"/>
    <w:next w:val="Normln"/>
    <w:link w:val="Nadpis3Char"/>
    <w:qFormat/>
    <w:rsid w:val="000E3865"/>
    <w:pPr>
      <w:numPr>
        <w:ilvl w:val="2"/>
        <w:numId w:val="6"/>
      </w:numPr>
      <w:spacing w:after="120"/>
      <w:outlineLvl w:val="2"/>
    </w:pPr>
    <w:rPr>
      <w:szCs w:val="18"/>
    </w:rPr>
  </w:style>
  <w:style w:type="paragraph" w:styleId="Nadpis4">
    <w:name w:val="heading 4"/>
    <w:basedOn w:val="Normln"/>
    <w:next w:val="Normln"/>
    <w:qFormat/>
    <w:rsid w:val="000E3865"/>
    <w:pPr>
      <w:numPr>
        <w:ilvl w:val="3"/>
        <w:numId w:val="6"/>
      </w:numPr>
      <w:spacing w:after="120"/>
      <w:outlineLvl w:val="3"/>
    </w:pPr>
    <w:rPr>
      <w:bCs/>
      <w:szCs w:val="28"/>
    </w:rPr>
  </w:style>
  <w:style w:type="paragraph" w:styleId="Nadpis5">
    <w:name w:val="heading 5"/>
    <w:basedOn w:val="Normln"/>
    <w:next w:val="Normln"/>
    <w:link w:val="Nadpis5Char"/>
    <w:qFormat/>
    <w:rsid w:val="000E3865"/>
    <w:pPr>
      <w:numPr>
        <w:ilvl w:val="4"/>
        <w:numId w:val="6"/>
      </w:numPr>
      <w:spacing w:after="120"/>
      <w:outlineLvl w:val="4"/>
    </w:pPr>
    <w:rPr>
      <w:bCs/>
      <w:szCs w:val="18"/>
    </w:rPr>
  </w:style>
  <w:style w:type="paragraph" w:styleId="Nadpis6">
    <w:name w:val="heading 6"/>
    <w:basedOn w:val="Normln"/>
    <w:next w:val="Normln"/>
    <w:qFormat/>
    <w:rsid w:val="00A42A3E"/>
    <w:pPr>
      <w:spacing w:before="240" w:after="60"/>
      <w:outlineLvl w:val="5"/>
    </w:pPr>
    <w:rPr>
      <w:rFonts w:ascii="Times New Roman" w:hAnsi="Times New Roman"/>
      <w:b/>
      <w:bCs/>
      <w:sz w:val="22"/>
      <w:szCs w:val="22"/>
    </w:rPr>
  </w:style>
  <w:style w:type="paragraph" w:styleId="Nadpis7">
    <w:name w:val="heading 7"/>
    <w:basedOn w:val="Normln"/>
    <w:next w:val="Normln"/>
    <w:qFormat/>
    <w:rsid w:val="00A42A3E"/>
    <w:pPr>
      <w:spacing w:before="240" w:after="60"/>
      <w:outlineLvl w:val="6"/>
    </w:pPr>
    <w:rPr>
      <w:rFonts w:ascii="Times New Roman" w:hAnsi="Times New Roman"/>
      <w:sz w:val="24"/>
      <w:szCs w:val="24"/>
    </w:rPr>
  </w:style>
  <w:style w:type="paragraph" w:styleId="Nadpis8">
    <w:name w:val="heading 8"/>
    <w:basedOn w:val="Normln"/>
    <w:next w:val="Normln"/>
    <w:qFormat/>
    <w:rsid w:val="00A42A3E"/>
    <w:pPr>
      <w:spacing w:before="240" w:after="60"/>
      <w:outlineLvl w:val="7"/>
    </w:pPr>
    <w:rPr>
      <w:rFonts w:ascii="Times New Roman" w:hAnsi="Times New Roman"/>
      <w:i/>
      <w:iCs/>
      <w:sz w:val="24"/>
      <w:szCs w:val="24"/>
    </w:rPr>
  </w:style>
  <w:style w:type="paragraph" w:styleId="Nadpis9">
    <w:name w:val="heading 9"/>
    <w:basedOn w:val="Normln"/>
    <w:next w:val="Normln"/>
    <w:qFormat/>
    <w:rsid w:val="00A42A3E"/>
    <w:pPr>
      <w:spacing w:before="240" w:after="60"/>
      <w:outlineLvl w:val="8"/>
    </w:pPr>
    <w:rPr>
      <w:rFonts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 Char Char"/>
    <w:link w:val="Nadpis1"/>
    <w:rsid w:val="000E3865"/>
    <w:rPr>
      <w:rFonts w:ascii="Arial" w:hAnsi="Arial"/>
      <w:b/>
      <w:sz w:val="18"/>
      <w:szCs w:val="18"/>
      <w:lang w:val="x-none" w:eastAsia="x-none"/>
    </w:rPr>
  </w:style>
  <w:style w:type="character" w:customStyle="1" w:styleId="Nadpis2Char">
    <w:name w:val="Nadpis 2 Char"/>
    <w:aliases w:val="Nadpis 2 Char3 Char,Nadpis 2 Char1 Char Char,Nadpis 2 Char Char Char Char,Nadpis 2 Char Char1 Char1,Nadpis 2 Char2 Char Char,Nadpis 2 Char Char1 Char Char Char,Nadpis 2 Char Char2 Char Char,Nadpis 2 Char1 Char1,Nadpis 2 Char Char Char1"/>
    <w:link w:val="Nadpis2"/>
    <w:rsid w:val="000E3865"/>
    <w:rPr>
      <w:rFonts w:ascii="Arial" w:hAnsi="Arial"/>
      <w:sz w:val="18"/>
      <w:lang w:val="x-none" w:eastAsia="x-none"/>
    </w:rPr>
  </w:style>
  <w:style w:type="character" w:customStyle="1" w:styleId="Nadpis3Char">
    <w:name w:val="Nadpis 3 Char"/>
    <w:link w:val="Nadpis3"/>
    <w:rsid w:val="008E51B5"/>
    <w:rPr>
      <w:rFonts w:ascii="Arial" w:hAnsi="Arial"/>
      <w:sz w:val="18"/>
      <w:szCs w:val="18"/>
    </w:rPr>
  </w:style>
  <w:style w:type="character" w:customStyle="1" w:styleId="Nadpis5Char">
    <w:name w:val="Nadpis 5 Char"/>
    <w:link w:val="Nadpis5"/>
    <w:rsid w:val="008E51B5"/>
    <w:rPr>
      <w:rFonts w:ascii="Arial" w:hAnsi="Arial"/>
      <w:bCs/>
      <w:sz w:val="18"/>
      <w:szCs w:val="18"/>
    </w:rPr>
  </w:style>
  <w:style w:type="paragraph" w:styleId="Normlnodsazen">
    <w:name w:val="Normal Indent"/>
    <w:basedOn w:val="Normln"/>
    <w:pPr>
      <w:ind w:left="708"/>
    </w:pPr>
  </w:style>
  <w:style w:type="paragraph" w:styleId="Zhlav">
    <w:name w:val="header"/>
    <w:aliases w:val=" Char Char1, Char Char1 Char Char,Char Char1,Char Char1 Char Char"/>
    <w:basedOn w:val="Normln"/>
    <w:link w:val="ZhlavChar"/>
    <w:rsid w:val="003A656B"/>
    <w:rPr>
      <w:sz w:val="16"/>
    </w:rPr>
  </w:style>
  <w:style w:type="character" w:customStyle="1" w:styleId="ZhlavChar">
    <w:name w:val="Záhlaví Char"/>
    <w:aliases w:val=" Char Char1 Char, Char Char1 Char Char Char,Char Char1 Char,Char Char1 Char Char Char"/>
    <w:link w:val="Zhlav"/>
    <w:rsid w:val="00616C13"/>
    <w:rPr>
      <w:rFonts w:ascii="Arial" w:hAnsi="Arial"/>
      <w:sz w:val="16"/>
    </w:rPr>
  </w:style>
  <w:style w:type="paragraph" w:styleId="Zpat">
    <w:name w:val="footer"/>
    <w:basedOn w:val="Normln"/>
    <w:rsid w:val="003A656B"/>
    <w:rPr>
      <w:sz w:val="16"/>
    </w:rPr>
  </w:style>
  <w:style w:type="character" w:styleId="slostrnky">
    <w:name w:val="page number"/>
    <w:rsid w:val="003A656B"/>
    <w:rPr>
      <w:rFonts w:ascii="Arial" w:hAnsi="Arial"/>
      <w:sz w:val="16"/>
    </w:rPr>
  </w:style>
  <w:style w:type="paragraph" w:customStyle="1" w:styleId="kbDocumentnameextrenal">
    <w:name w:val="kb_Document_name_extrenal"/>
    <w:basedOn w:val="Normln"/>
    <w:pPr>
      <w:shd w:val="pct37" w:color="auto" w:fill="auto"/>
      <w:tabs>
        <w:tab w:val="right" w:pos="6167"/>
      </w:tabs>
      <w:spacing w:before="560"/>
    </w:pPr>
    <w:rPr>
      <w:b/>
      <w:color w:val="FFFFFF"/>
      <w:sz w:val="27"/>
    </w:rPr>
  </w:style>
  <w:style w:type="paragraph" w:customStyle="1" w:styleId="kbFixedtext">
    <w:name w:val="kb_Fixed_text"/>
    <w:basedOn w:val="Normln"/>
    <w:pPr>
      <w:spacing w:before="40"/>
    </w:pPr>
    <w:rPr>
      <w:sz w:val="16"/>
    </w:rPr>
  </w:style>
  <w:style w:type="paragraph" w:customStyle="1" w:styleId="kbRegistration">
    <w:name w:val="kb_Registration"/>
    <w:basedOn w:val="Normln"/>
    <w:pPr>
      <w:spacing w:before="40"/>
    </w:pPr>
    <w:rPr>
      <w:caps/>
      <w:sz w:val="8"/>
    </w:rPr>
  </w:style>
  <w:style w:type="paragraph" w:customStyle="1" w:styleId="Registration">
    <w:name w:val="Registration"/>
    <w:basedOn w:val="Normln"/>
    <w:pPr>
      <w:spacing w:before="40"/>
    </w:pPr>
    <w:rPr>
      <w:caps/>
      <w:sz w:val="8"/>
    </w:rPr>
  </w:style>
  <w:style w:type="paragraph" w:styleId="Textbubliny">
    <w:name w:val="Balloon Text"/>
    <w:basedOn w:val="Normln"/>
    <w:semiHidden/>
    <w:rPr>
      <w:rFonts w:ascii="Tahoma" w:hAnsi="Tahoma" w:cs="Tahoma"/>
      <w:sz w:val="16"/>
      <w:szCs w:val="16"/>
    </w:rPr>
  </w:style>
  <w:style w:type="character" w:styleId="Odkaznakoment">
    <w:name w:val="annotation reference"/>
    <w:uiPriority w:val="99"/>
    <w:semiHidden/>
    <w:rPr>
      <w:sz w:val="16"/>
      <w:szCs w:val="16"/>
    </w:rPr>
  </w:style>
  <w:style w:type="paragraph" w:styleId="Textkomente">
    <w:name w:val="annotation text"/>
    <w:basedOn w:val="Normln"/>
    <w:link w:val="TextkomenteChar"/>
    <w:uiPriority w:val="99"/>
    <w:semiHidden/>
  </w:style>
  <w:style w:type="character" w:customStyle="1" w:styleId="TextkomenteChar">
    <w:name w:val="Text komentáře Char"/>
    <w:link w:val="Textkomente"/>
    <w:uiPriority w:val="99"/>
    <w:semiHidden/>
    <w:rsid w:val="00616C13"/>
    <w:rPr>
      <w:rFonts w:ascii="Arial" w:hAnsi="Arial"/>
      <w:sz w:val="18"/>
    </w:rPr>
  </w:style>
  <w:style w:type="paragraph" w:styleId="Pedmtkomente">
    <w:name w:val="annotation subject"/>
    <w:basedOn w:val="Textkomente"/>
    <w:next w:val="Textkomente"/>
    <w:semiHidden/>
    <w:rPr>
      <w:b/>
      <w:bCs/>
    </w:rPr>
  </w:style>
  <w:style w:type="character" w:styleId="Znakapoznpodarou">
    <w:name w:val="footnote reference"/>
    <w:semiHidden/>
    <w:rPr>
      <w:vertAlign w:val="superscript"/>
    </w:rPr>
  </w:style>
  <w:style w:type="paragraph" w:styleId="Textpoznpodarou">
    <w:name w:val="footnote text"/>
    <w:basedOn w:val="Normln"/>
    <w:link w:val="TextpoznpodarouChar"/>
    <w:semiHidden/>
  </w:style>
  <w:style w:type="character" w:customStyle="1" w:styleId="TextpoznpodarouChar">
    <w:name w:val="Text pozn. pod čarou Char"/>
    <w:link w:val="Textpoznpodarou"/>
    <w:semiHidden/>
    <w:rsid w:val="005126A5"/>
    <w:rPr>
      <w:rFonts w:ascii="Arial" w:hAnsi="Arial"/>
      <w:sz w:val="18"/>
    </w:rPr>
  </w:style>
  <w:style w:type="table" w:styleId="Mkatabulky">
    <w:name w:val="Table Grid"/>
    <w:basedOn w:val="Normlntabulka"/>
    <w:pPr>
      <w:widowControl w:val="0"/>
      <w:overflowPunct w:val="0"/>
      <w:autoSpaceDE w:val="0"/>
      <w:autoSpaceDN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zvrendokumentu">
    <w:name w:val="Rozvržení dokumentu"/>
    <w:basedOn w:val="Normln"/>
    <w:semiHidden/>
    <w:pPr>
      <w:shd w:val="clear" w:color="auto" w:fill="000080"/>
    </w:pPr>
    <w:rPr>
      <w:rFonts w:ascii="Tahoma" w:hAnsi="Tahoma" w:cs="Tahoma"/>
    </w:rPr>
  </w:style>
  <w:style w:type="table" w:customStyle="1" w:styleId="Mkatabulky1">
    <w:name w:val="Mřížka tabulky1"/>
    <w:basedOn w:val="Normlntabulka"/>
    <w:next w:val="Mkatabulky"/>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Arial8bernZarovnatdoblokudkovnNejmn1">
    <w:name w:val="Styl Arial 8 b. Černá Zarovnat do bloku Řádkování:  Nejméně 1 ..."/>
    <w:basedOn w:val="Normln"/>
    <w:pPr>
      <w:numPr>
        <w:ilvl w:val="1"/>
        <w:numId w:val="1"/>
      </w:numPr>
    </w:pPr>
  </w:style>
  <w:style w:type="character" w:styleId="Hypertextovodkaz">
    <w:name w:val="Hyperlink"/>
    <w:uiPriority w:val="99"/>
    <w:rPr>
      <w:color w:val="0000FF"/>
      <w:u w:val="single"/>
    </w:rPr>
  </w:style>
  <w:style w:type="character" w:customStyle="1" w:styleId="NADPISPRILOHY">
    <w:name w:val="NADPIS PRILOHY"/>
    <w:rsid w:val="00C475D2"/>
    <w:rPr>
      <w:rFonts w:ascii="Arial" w:hAnsi="Arial" w:cs="Arial"/>
      <w:b/>
      <w:caps/>
      <w:sz w:val="18"/>
      <w:szCs w:val="18"/>
      <w:u w:val="none"/>
      <w:lang w:val="cs-CZ"/>
    </w:rPr>
  </w:style>
  <w:style w:type="character" w:customStyle="1" w:styleId="ARIEL9">
    <w:name w:val="ARIEL9"/>
    <w:rsid w:val="00B810B3"/>
    <w:rPr>
      <w:rFonts w:ascii="Arial" w:hAnsi="Arial" w:cs="Arial"/>
      <w:sz w:val="18"/>
      <w:szCs w:val="18"/>
    </w:rPr>
  </w:style>
  <w:style w:type="paragraph" w:styleId="Odstavecseseznamem">
    <w:name w:val="List Paragraph"/>
    <w:basedOn w:val="Normln"/>
    <w:uiPriority w:val="34"/>
    <w:qFormat/>
    <w:rsid w:val="00587470"/>
    <w:pPr>
      <w:ind w:left="720"/>
      <w:contextualSpacing/>
    </w:pPr>
    <w:rPr>
      <w:rFonts w:cs="Arial"/>
      <w:snapToGrid w:val="0"/>
      <w:sz w:val="14"/>
      <w:szCs w:val="14"/>
      <w:lang w:eastAsia="en-US"/>
    </w:rPr>
  </w:style>
  <w:style w:type="paragraph" w:customStyle="1" w:styleId="LNEK-TUCNE-PLOHA1Char">
    <w:name w:val="ČLÁNEK - TUCNE - PŘÍLOHA 1 Char"/>
    <w:basedOn w:val="Nadpis1"/>
    <w:link w:val="LNEK-TUCNE-PLOHA1CharChar1"/>
    <w:rsid w:val="00587470"/>
    <w:pPr>
      <w:keepNext/>
      <w:keepLines/>
      <w:numPr>
        <w:numId w:val="0"/>
      </w:numPr>
      <w:spacing w:before="240"/>
    </w:pPr>
    <w:rPr>
      <w:i/>
      <w:szCs w:val="20"/>
    </w:rPr>
  </w:style>
  <w:style w:type="character" w:customStyle="1" w:styleId="LNEK-TUCNE-PLOHA1CharChar1">
    <w:name w:val="ČLÁNEK - TUCNE - PŘÍLOHA 1 Char Char1"/>
    <w:link w:val="LNEK-TUCNE-PLOHA1Char"/>
    <w:rsid w:val="00587470"/>
    <w:rPr>
      <w:rFonts w:ascii="Arial" w:hAnsi="Arial"/>
      <w:b/>
      <w:i/>
      <w:sz w:val="18"/>
      <w:lang w:val="x-none" w:eastAsia="x-none"/>
    </w:rPr>
  </w:style>
  <w:style w:type="paragraph" w:styleId="Zkladntextodsazen">
    <w:name w:val="Body Text Indent"/>
    <w:basedOn w:val="Normln"/>
    <w:link w:val="ZkladntextodsazenChar"/>
    <w:rsid w:val="00616C13"/>
    <w:pPr>
      <w:spacing w:after="120"/>
      <w:ind w:left="284"/>
    </w:pPr>
    <w:rPr>
      <w:rFonts w:cs="Arial"/>
      <w:i/>
      <w:snapToGrid w:val="0"/>
      <w:color w:val="808080"/>
      <w:sz w:val="14"/>
      <w:szCs w:val="14"/>
      <w:lang w:val="en-GB" w:eastAsia="en-US"/>
    </w:rPr>
  </w:style>
  <w:style w:type="character" w:customStyle="1" w:styleId="ZkladntextodsazenChar">
    <w:name w:val="Základní text odsazený Char"/>
    <w:link w:val="Zkladntextodsazen"/>
    <w:rsid w:val="00616C13"/>
    <w:rPr>
      <w:rFonts w:ascii="Arial" w:hAnsi="Arial" w:cs="Arial"/>
      <w:i/>
      <w:snapToGrid w:val="0"/>
      <w:color w:val="808080"/>
      <w:sz w:val="14"/>
      <w:szCs w:val="14"/>
      <w:lang w:val="en-GB" w:eastAsia="en-US"/>
    </w:rPr>
  </w:style>
  <w:style w:type="paragraph" w:customStyle="1" w:styleId="StandardnpsmoodstavceChar">
    <w:name w:val="Standardní písmo odstavce Char"/>
    <w:basedOn w:val="Normln"/>
    <w:rsid w:val="00616C13"/>
    <w:pPr>
      <w:widowControl w:val="0"/>
      <w:overflowPunct/>
      <w:autoSpaceDE/>
      <w:autoSpaceDN/>
      <w:spacing w:after="120" w:line="240" w:lineRule="exact"/>
    </w:pPr>
    <w:rPr>
      <w:szCs w:val="18"/>
      <w:lang w:eastAsia="en-US"/>
    </w:rPr>
  </w:style>
  <w:style w:type="character" w:customStyle="1" w:styleId="DeltaViewInsertion">
    <w:name w:val="DeltaView Insertion"/>
    <w:rsid w:val="00616C13"/>
    <w:rPr>
      <w:color w:val="0000FF"/>
      <w:spacing w:val="0"/>
      <w:u w:val="double"/>
    </w:rPr>
  </w:style>
  <w:style w:type="paragraph" w:customStyle="1" w:styleId="Nadpis11">
    <w:name w:val="Nadpis_1_1"/>
    <w:basedOn w:val="Nadpis1"/>
    <w:rsid w:val="00616C13"/>
    <w:pPr>
      <w:numPr>
        <w:numId w:val="11"/>
      </w:numPr>
    </w:pPr>
    <w:rPr>
      <w:rFonts w:cs="Arial"/>
      <w:bCs/>
      <w:snapToGrid w:val="0"/>
      <w:szCs w:val="16"/>
      <w:lang w:val="cs-CZ" w:eastAsia="en-US"/>
    </w:rPr>
  </w:style>
  <w:style w:type="paragraph" w:customStyle="1" w:styleId="Nadpis12">
    <w:name w:val="Nadpis_1_2"/>
    <w:basedOn w:val="Nadpis2"/>
    <w:rsid w:val="00616C13"/>
    <w:pPr>
      <w:numPr>
        <w:numId w:val="11"/>
      </w:numPr>
    </w:pPr>
    <w:rPr>
      <w:rFonts w:cs="Arial"/>
      <w:snapToGrid w:val="0"/>
      <w:szCs w:val="14"/>
      <w:lang w:val="cs-CZ" w:eastAsia="en-US"/>
    </w:rPr>
  </w:style>
  <w:style w:type="paragraph" w:styleId="Normlnweb">
    <w:name w:val="Normal (Web)"/>
    <w:basedOn w:val="Normln"/>
    <w:uiPriority w:val="99"/>
    <w:semiHidden/>
    <w:unhideWhenUsed/>
    <w:rsid w:val="00616C13"/>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styleId="Revize">
    <w:name w:val="Revision"/>
    <w:hidden/>
    <w:uiPriority w:val="99"/>
    <w:semiHidden/>
    <w:rsid w:val="00616C13"/>
    <w:rPr>
      <w:rFonts w:ascii="Arial" w:hAnsi="Arial" w:cs="Arial"/>
      <w:snapToGrid w:val="0"/>
      <w:sz w:val="14"/>
      <w:szCs w:val="14"/>
      <w:lang w:eastAsia="en-US"/>
    </w:rPr>
  </w:style>
  <w:style w:type="paragraph" w:customStyle="1" w:styleId="Default">
    <w:name w:val="Default"/>
    <w:rsid w:val="00616C13"/>
    <w:pPr>
      <w:autoSpaceDE w:val="0"/>
      <w:autoSpaceDN w:val="0"/>
      <w:adjustRightInd w:val="0"/>
    </w:pPr>
    <w:rPr>
      <w:rFonts w:ascii="Arial" w:hAnsi="Arial" w:cs="Arial"/>
      <w:color w:val="000000"/>
      <w:sz w:val="24"/>
      <w:szCs w:val="24"/>
    </w:rPr>
  </w:style>
  <w:style w:type="paragraph" w:customStyle="1" w:styleId="StylNADPISPRILOHYTun">
    <w:name w:val="Styl NADPIS PRILOHY + Tučné"/>
    <w:basedOn w:val="Normln"/>
    <w:rsid w:val="00A352CF"/>
    <w:pPr>
      <w:spacing w:after="80"/>
      <w:jc w:val="center"/>
    </w:pPr>
    <w:rPr>
      <w:rFonts w:eastAsia="SimSun" w:cs="Arial"/>
      <w:b/>
      <w:bCs/>
      <w:i/>
      <w:iCs/>
      <w:caps/>
      <w:szCs w:val="18"/>
    </w:rPr>
  </w:style>
  <w:style w:type="character" w:customStyle="1" w:styleId="ARIAL9B">
    <w:name w:val="ARIAL9B"/>
    <w:rsid w:val="00A352CF"/>
    <w:rPr>
      <w:rFonts w:ascii="Arial" w:eastAsia="SimSun" w:hAnsi="Arial" w:cs="Arial"/>
      <w:sz w:val="18"/>
      <w:szCs w:val="18"/>
      <w:u w:val="none"/>
      <w:lang w:val="cs-CZ" w:eastAsia="en-US"/>
    </w:rPr>
  </w:style>
  <w:style w:type="paragraph" w:customStyle="1" w:styleId="Styl5">
    <w:name w:val="Styl5"/>
    <w:basedOn w:val="Normln"/>
    <w:rsid w:val="00A352CF"/>
    <w:pPr>
      <w:keepNext/>
      <w:overflowPunct/>
      <w:autoSpaceDE/>
      <w:autoSpaceDN/>
      <w:adjustRightInd/>
      <w:spacing w:after="80"/>
      <w:textAlignment w:val="auto"/>
    </w:pPr>
    <w:rPr>
      <w:rFonts w:eastAsia="SimSun" w:cs="Arial"/>
      <w:sz w:val="20"/>
      <w:lang w:eastAsia="zh-CN"/>
    </w:rPr>
  </w:style>
  <w:style w:type="paragraph" w:customStyle="1" w:styleId="Body1">
    <w:name w:val="Body1"/>
    <w:basedOn w:val="Normln"/>
    <w:rsid w:val="00A352CF"/>
    <w:pPr>
      <w:overflowPunct/>
      <w:autoSpaceDE/>
      <w:autoSpaceDN/>
      <w:adjustRightInd/>
      <w:spacing w:after="240"/>
      <w:ind w:left="567"/>
      <w:textAlignment w:val="auto"/>
    </w:pPr>
    <w:rPr>
      <w:rFonts w:eastAsia="SimSun" w:cs="Arial"/>
      <w:sz w:val="20"/>
      <w:lang w:eastAsia="zh-CN"/>
    </w:rPr>
  </w:style>
  <w:style w:type="character" w:customStyle="1" w:styleId="StylTun">
    <w:name w:val="Styl Tučné"/>
    <w:rsid w:val="00A352CF"/>
    <w:rPr>
      <w:rFonts w:ascii="Arial" w:eastAsia="SimSun" w:hAnsi="Arial" w:cs="Arial"/>
      <w:b/>
      <w:bCs/>
      <w:sz w:val="18"/>
      <w:szCs w:val="18"/>
      <w:lang w:val="cs-CZ" w:eastAsia="en-US"/>
    </w:rPr>
  </w:style>
  <w:style w:type="paragraph" w:styleId="Zkladntext">
    <w:name w:val="Body Text"/>
    <w:basedOn w:val="Normln"/>
    <w:link w:val="ZkladntextChar"/>
    <w:uiPriority w:val="99"/>
    <w:semiHidden/>
    <w:unhideWhenUsed/>
    <w:rsid w:val="00913985"/>
    <w:pPr>
      <w:spacing w:before="120" w:after="120"/>
      <w:ind w:left="567"/>
    </w:pPr>
    <w:rPr>
      <w:rFonts w:cs="Arial"/>
      <w:snapToGrid w:val="0"/>
      <w:sz w:val="16"/>
      <w:szCs w:val="14"/>
      <w:lang w:eastAsia="en-US"/>
    </w:rPr>
  </w:style>
  <w:style w:type="character" w:customStyle="1" w:styleId="ZkladntextChar">
    <w:name w:val="Základní text Char"/>
    <w:link w:val="Zkladntext"/>
    <w:uiPriority w:val="99"/>
    <w:semiHidden/>
    <w:rsid w:val="00913985"/>
    <w:rPr>
      <w:rFonts w:ascii="Arial" w:hAnsi="Arial" w:cs="Arial"/>
      <w:snapToGrid w:val="0"/>
      <w:sz w:val="16"/>
      <w:szCs w:val="14"/>
      <w:lang w:eastAsia="en-US"/>
    </w:rPr>
  </w:style>
  <w:style w:type="paragraph" w:styleId="Bezmezer">
    <w:name w:val="No Spacing"/>
    <w:uiPriority w:val="1"/>
    <w:qFormat/>
    <w:rsid w:val="00913985"/>
    <w:pPr>
      <w:overflowPunct w:val="0"/>
      <w:autoSpaceDE w:val="0"/>
      <w:autoSpaceDN w:val="0"/>
      <w:adjustRightInd w:val="0"/>
      <w:jc w:val="both"/>
      <w:textAlignment w:val="baseline"/>
    </w:pPr>
    <w:rPr>
      <w:rFonts w:ascii="Arial" w:hAnsi="Arial" w:cs="Arial"/>
      <w:snapToGrid w:val="0"/>
      <w:sz w:val="14"/>
      <w:szCs w:val="14"/>
      <w:lang w:eastAsia="en-US"/>
    </w:rPr>
  </w:style>
  <w:style w:type="character" w:customStyle="1" w:styleId="tlid-translation">
    <w:name w:val="tlid-translation"/>
    <w:rsid w:val="00913985"/>
  </w:style>
  <w:style w:type="character" w:customStyle="1" w:styleId="CharChar2">
    <w:name w:val="Char Char2"/>
    <w:semiHidden/>
    <w:rsid w:val="00E02C60"/>
    <w:rPr>
      <w:rFonts w:ascii="Arial" w:hAnsi="Arial" w:cs="Arial"/>
      <w:snapToGrid w:val="0"/>
      <w:lang w:val="cs-CZ" w:eastAsia="en-US" w:bidi="ar-SA"/>
    </w:rPr>
  </w:style>
  <w:style w:type="character" w:styleId="Nevyeenzmnka">
    <w:name w:val="Unresolved Mention"/>
    <w:uiPriority w:val="99"/>
    <w:semiHidden/>
    <w:unhideWhenUsed/>
    <w:rsid w:val="00E02C60"/>
    <w:rPr>
      <w:color w:val="605E5C"/>
      <w:shd w:val="clear" w:color="auto" w:fill="E1DFDD"/>
    </w:rPr>
  </w:style>
  <w:style w:type="character" w:styleId="Sledovanodkaz">
    <w:name w:val="FollowedHyperlink"/>
    <w:uiPriority w:val="99"/>
    <w:semiHidden/>
    <w:unhideWhenUsed/>
    <w:rsid w:val="00E02C6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5519">
      <w:bodyDiv w:val="1"/>
      <w:marLeft w:val="0"/>
      <w:marRight w:val="0"/>
      <w:marTop w:val="0"/>
      <w:marBottom w:val="0"/>
      <w:divBdr>
        <w:top w:val="none" w:sz="0" w:space="0" w:color="auto"/>
        <w:left w:val="none" w:sz="0" w:space="0" w:color="auto"/>
        <w:bottom w:val="none" w:sz="0" w:space="0" w:color="auto"/>
        <w:right w:val="none" w:sz="0" w:space="0" w:color="auto"/>
      </w:divBdr>
      <w:divsChild>
        <w:div w:id="1228111164">
          <w:marLeft w:val="0"/>
          <w:marRight w:val="0"/>
          <w:marTop w:val="0"/>
          <w:marBottom w:val="0"/>
          <w:divBdr>
            <w:top w:val="none" w:sz="0" w:space="0" w:color="auto"/>
            <w:left w:val="none" w:sz="0" w:space="0" w:color="auto"/>
            <w:bottom w:val="none" w:sz="0" w:space="0" w:color="auto"/>
            <w:right w:val="none" w:sz="0" w:space="0" w:color="auto"/>
          </w:divBdr>
        </w:div>
      </w:divsChild>
    </w:div>
    <w:div w:id="189539533">
      <w:bodyDiv w:val="1"/>
      <w:marLeft w:val="0"/>
      <w:marRight w:val="0"/>
      <w:marTop w:val="0"/>
      <w:marBottom w:val="0"/>
      <w:divBdr>
        <w:top w:val="none" w:sz="0" w:space="0" w:color="auto"/>
        <w:left w:val="none" w:sz="0" w:space="0" w:color="auto"/>
        <w:bottom w:val="none" w:sz="0" w:space="0" w:color="auto"/>
        <w:right w:val="none" w:sz="0" w:space="0" w:color="auto"/>
      </w:divBdr>
      <w:divsChild>
        <w:div w:id="1114518595">
          <w:marLeft w:val="0"/>
          <w:marRight w:val="0"/>
          <w:marTop w:val="0"/>
          <w:marBottom w:val="0"/>
          <w:divBdr>
            <w:top w:val="none" w:sz="0" w:space="0" w:color="auto"/>
            <w:left w:val="none" w:sz="0" w:space="0" w:color="auto"/>
            <w:bottom w:val="none" w:sz="0" w:space="0" w:color="auto"/>
            <w:right w:val="none" w:sz="0" w:space="0" w:color="auto"/>
          </w:divBdr>
        </w:div>
      </w:divsChild>
    </w:div>
    <w:div w:id="444274371">
      <w:bodyDiv w:val="1"/>
      <w:marLeft w:val="0"/>
      <w:marRight w:val="0"/>
      <w:marTop w:val="0"/>
      <w:marBottom w:val="0"/>
      <w:divBdr>
        <w:top w:val="none" w:sz="0" w:space="0" w:color="auto"/>
        <w:left w:val="none" w:sz="0" w:space="0" w:color="auto"/>
        <w:bottom w:val="none" w:sz="0" w:space="0" w:color="auto"/>
        <w:right w:val="none" w:sz="0" w:space="0" w:color="auto"/>
      </w:divBdr>
    </w:div>
    <w:div w:id="763721477">
      <w:bodyDiv w:val="1"/>
      <w:marLeft w:val="0"/>
      <w:marRight w:val="0"/>
      <w:marTop w:val="0"/>
      <w:marBottom w:val="0"/>
      <w:divBdr>
        <w:top w:val="none" w:sz="0" w:space="0" w:color="auto"/>
        <w:left w:val="none" w:sz="0" w:space="0" w:color="auto"/>
        <w:bottom w:val="none" w:sz="0" w:space="0" w:color="auto"/>
        <w:right w:val="none" w:sz="0" w:space="0" w:color="auto"/>
      </w:divBdr>
    </w:div>
    <w:div w:id="866216669">
      <w:bodyDiv w:val="1"/>
      <w:marLeft w:val="0"/>
      <w:marRight w:val="0"/>
      <w:marTop w:val="0"/>
      <w:marBottom w:val="0"/>
      <w:divBdr>
        <w:top w:val="none" w:sz="0" w:space="0" w:color="auto"/>
        <w:left w:val="none" w:sz="0" w:space="0" w:color="auto"/>
        <w:bottom w:val="none" w:sz="0" w:space="0" w:color="auto"/>
        <w:right w:val="none" w:sz="0" w:space="0" w:color="auto"/>
      </w:divBdr>
    </w:div>
    <w:div w:id="1308436637">
      <w:bodyDiv w:val="1"/>
      <w:marLeft w:val="0"/>
      <w:marRight w:val="0"/>
      <w:marTop w:val="0"/>
      <w:marBottom w:val="0"/>
      <w:divBdr>
        <w:top w:val="none" w:sz="0" w:space="0" w:color="auto"/>
        <w:left w:val="none" w:sz="0" w:space="0" w:color="auto"/>
        <w:bottom w:val="none" w:sz="0" w:space="0" w:color="auto"/>
        <w:right w:val="none" w:sz="0" w:space="0" w:color="auto"/>
      </w:divBdr>
    </w:div>
    <w:div w:id="1367288394">
      <w:bodyDiv w:val="1"/>
      <w:marLeft w:val="0"/>
      <w:marRight w:val="0"/>
      <w:marTop w:val="0"/>
      <w:marBottom w:val="0"/>
      <w:divBdr>
        <w:top w:val="none" w:sz="0" w:space="0" w:color="auto"/>
        <w:left w:val="none" w:sz="0" w:space="0" w:color="auto"/>
        <w:bottom w:val="none" w:sz="0" w:space="0" w:color="auto"/>
        <w:right w:val="none" w:sz="0" w:space="0" w:color="auto"/>
      </w:divBdr>
    </w:div>
    <w:div w:id="151823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y@isibrno.cz" TargetMode="Externa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http://www.kb.cz/mifid2"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yperlink" Target="https://ec.europa.eu/consumers/odr/main/index.cfm?event=main.home.chooseLanguag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TC_cenne_papiry@kb.cz" TargetMode="External"/><Relationship Id="rId25" Type="http://schemas.openxmlformats.org/officeDocument/2006/relationships/hyperlink" Target="https://www.kb.cz/cs/o-bance/regulace-investicniho-bankovnictvi/informace-k-csdr" TargetMode="External"/><Relationship Id="rId33" Type="http://schemas.openxmlformats.org/officeDocument/2006/relationships/hyperlink" Target="http://www.finarbitr.cz"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trading.kb.cz/online_portfolio/podminky_pouzivani.pdf" TargetMode="External"/><Relationship Id="rId32" Type="http://schemas.openxmlformats.org/officeDocument/2006/relationships/hyperlink" Target="http://www.cnb.cz" TargetMode="Externa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yperlink" Target="http://www.kb.cz" TargetMode="Externa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yperlink" Target="https://www.kb.cz/cs/podpora/vztahy-se-zakazniky/reseni-stiznosti-a-reklamaci"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yperlink" Target="http://www.kb.cz/mifid2" TargetMode="External"/><Relationship Id="rId30" Type="http://schemas.openxmlformats.org/officeDocument/2006/relationships/footer" Target="footer8.xml"/><Relationship Id="rId35" Type="http://schemas.openxmlformats.org/officeDocument/2006/relationships/hyperlink" Target="http://www.gfo.c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template\G_SMLOUVA.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7320F0-1157-46BE-B66C-760028AFA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G_SMLOUVA</Template>
  <TotalTime>25</TotalTime>
  <Pages>39</Pages>
  <Words>27615</Words>
  <Characters>162929</Characters>
  <Application>Microsoft Office Word</Application>
  <DocSecurity>0</DocSecurity>
  <Lines>1357</Lines>
  <Paragraphs>380</Paragraphs>
  <ScaleCrop>false</ScaleCrop>
  <HeadingPairs>
    <vt:vector size="2" baseType="variant">
      <vt:variant>
        <vt:lpstr>Název</vt:lpstr>
      </vt:variant>
      <vt:variant>
        <vt:i4>1</vt:i4>
      </vt:variant>
    </vt:vector>
  </HeadingPairs>
  <TitlesOfParts>
    <vt:vector size="1" baseType="lpstr">
      <vt:lpstr>Smlouva o obstarání koupě nebo prodeje investičních nástrojů</vt:lpstr>
    </vt:vector>
  </TitlesOfParts>
  <Company>Komerční banka, a. s.</Company>
  <LinksUpToDate>false</LinksUpToDate>
  <CharactersWithSpaces>190164</CharactersWithSpaces>
  <SharedDoc>false</SharedDoc>
  <HLinks>
    <vt:vector size="66" baseType="variant">
      <vt:variant>
        <vt:i4>7274594</vt:i4>
      </vt:variant>
      <vt:variant>
        <vt:i4>219</vt:i4>
      </vt:variant>
      <vt:variant>
        <vt:i4>0</vt:i4>
      </vt:variant>
      <vt:variant>
        <vt:i4>5</vt:i4>
      </vt:variant>
      <vt:variant>
        <vt:lpwstr>http://www.gfo.cz/</vt:lpwstr>
      </vt:variant>
      <vt:variant>
        <vt:lpwstr/>
      </vt:variant>
      <vt:variant>
        <vt:i4>720914</vt:i4>
      </vt:variant>
      <vt:variant>
        <vt:i4>216</vt:i4>
      </vt:variant>
      <vt:variant>
        <vt:i4>0</vt:i4>
      </vt:variant>
      <vt:variant>
        <vt:i4>5</vt:i4>
      </vt:variant>
      <vt:variant>
        <vt:lpwstr>https://ec.europa.eu/consumers/odr/main/index.cfm?event=main.home.chooseLanguage</vt:lpwstr>
      </vt:variant>
      <vt:variant>
        <vt:lpwstr/>
      </vt:variant>
      <vt:variant>
        <vt:i4>393242</vt:i4>
      </vt:variant>
      <vt:variant>
        <vt:i4>213</vt:i4>
      </vt:variant>
      <vt:variant>
        <vt:i4>0</vt:i4>
      </vt:variant>
      <vt:variant>
        <vt:i4>5</vt:i4>
      </vt:variant>
      <vt:variant>
        <vt:lpwstr>http://www.finarbitr.cz/</vt:lpwstr>
      </vt:variant>
      <vt:variant>
        <vt:lpwstr/>
      </vt:variant>
      <vt:variant>
        <vt:i4>6684778</vt:i4>
      </vt:variant>
      <vt:variant>
        <vt:i4>210</vt:i4>
      </vt:variant>
      <vt:variant>
        <vt:i4>0</vt:i4>
      </vt:variant>
      <vt:variant>
        <vt:i4>5</vt:i4>
      </vt:variant>
      <vt:variant>
        <vt:lpwstr>http://www.cnb.cz/</vt:lpwstr>
      </vt:variant>
      <vt:variant>
        <vt:lpwstr/>
      </vt:variant>
      <vt:variant>
        <vt:i4>393240</vt:i4>
      </vt:variant>
      <vt:variant>
        <vt:i4>207</vt:i4>
      </vt:variant>
      <vt:variant>
        <vt:i4>0</vt:i4>
      </vt:variant>
      <vt:variant>
        <vt:i4>5</vt:i4>
      </vt:variant>
      <vt:variant>
        <vt:lpwstr>https://www.kb.cz/cs/podpora/vztahy-se-zakazniky/reseni-stiznosti-a-reklamaci</vt:lpwstr>
      </vt:variant>
      <vt:variant>
        <vt:lpwstr/>
      </vt:variant>
      <vt:variant>
        <vt:i4>1310801</vt:i4>
      </vt:variant>
      <vt:variant>
        <vt:i4>174</vt:i4>
      </vt:variant>
      <vt:variant>
        <vt:i4>0</vt:i4>
      </vt:variant>
      <vt:variant>
        <vt:i4>5</vt:i4>
      </vt:variant>
      <vt:variant>
        <vt:lpwstr>http://www.kb.cz/</vt:lpwstr>
      </vt:variant>
      <vt:variant>
        <vt:lpwstr/>
      </vt:variant>
      <vt:variant>
        <vt:i4>8061054</vt:i4>
      </vt:variant>
      <vt:variant>
        <vt:i4>135</vt:i4>
      </vt:variant>
      <vt:variant>
        <vt:i4>0</vt:i4>
      </vt:variant>
      <vt:variant>
        <vt:i4>5</vt:i4>
      </vt:variant>
      <vt:variant>
        <vt:lpwstr>http://www.kb.cz/mifid2</vt:lpwstr>
      </vt:variant>
      <vt:variant>
        <vt:lpwstr/>
      </vt:variant>
      <vt:variant>
        <vt:i4>8061054</vt:i4>
      </vt:variant>
      <vt:variant>
        <vt:i4>87</vt:i4>
      </vt:variant>
      <vt:variant>
        <vt:i4>0</vt:i4>
      </vt:variant>
      <vt:variant>
        <vt:i4>5</vt:i4>
      </vt:variant>
      <vt:variant>
        <vt:lpwstr>http://www.kb.cz/mifid2</vt:lpwstr>
      </vt:variant>
      <vt:variant>
        <vt:lpwstr/>
      </vt:variant>
      <vt:variant>
        <vt:i4>458772</vt:i4>
      </vt:variant>
      <vt:variant>
        <vt:i4>84</vt:i4>
      </vt:variant>
      <vt:variant>
        <vt:i4>0</vt:i4>
      </vt:variant>
      <vt:variant>
        <vt:i4>5</vt:i4>
      </vt:variant>
      <vt:variant>
        <vt:lpwstr>https://www.kb.cz/cs/o-bance/regulace-investicniho-bankovnictvi/informace-k-csdr</vt:lpwstr>
      </vt:variant>
      <vt:variant>
        <vt:lpwstr/>
      </vt:variant>
      <vt:variant>
        <vt:i4>6815866</vt:i4>
      </vt:variant>
      <vt:variant>
        <vt:i4>81</vt:i4>
      </vt:variant>
      <vt:variant>
        <vt:i4>0</vt:i4>
      </vt:variant>
      <vt:variant>
        <vt:i4>5</vt:i4>
      </vt:variant>
      <vt:variant>
        <vt:lpwstr>http://trading.kb.cz/online_portfolio/podminky_pouzivani.pdf</vt:lpwstr>
      </vt:variant>
      <vt:variant>
        <vt:lpwstr/>
      </vt:variant>
      <vt:variant>
        <vt:i4>5439602</vt:i4>
      </vt:variant>
      <vt:variant>
        <vt:i4>54</vt:i4>
      </vt:variant>
      <vt:variant>
        <vt:i4>0</vt:i4>
      </vt:variant>
      <vt:variant>
        <vt:i4>5</vt:i4>
      </vt:variant>
      <vt:variant>
        <vt:lpwstr>mailto:TC_cenne_papiry@kb.cz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obstarání koupě nebo prodeje investičních nástrojů</dc:title>
  <dc:subject/>
  <dc:creator>Dolakova Veronika</dc:creator>
  <cp:keywords/>
  <dc:description/>
  <cp:lastModifiedBy>Dolakova Veronika</cp:lastModifiedBy>
  <cp:revision>8</cp:revision>
  <cp:lastPrinted>2026-03-10T13:38:00Z</cp:lastPrinted>
  <dcterms:created xsi:type="dcterms:W3CDTF">2026-03-10T13:11:00Z</dcterms:created>
  <dcterms:modified xsi:type="dcterms:W3CDTF">2026-03-23T13:45:00Z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76d9757-80ae-4c87-b4d7-9ffa7a0710d0_Enabled">
    <vt:lpwstr>true</vt:lpwstr>
  </property>
  <property fmtid="{D5CDD505-2E9C-101B-9397-08002B2CF9AE}" pid="3" name="MSIP_Label_076d9757-80ae-4c87-b4d7-9ffa7a0710d0_SetDate">
    <vt:lpwstr>2026-03-23T13:45:38Z</vt:lpwstr>
  </property>
  <property fmtid="{D5CDD505-2E9C-101B-9397-08002B2CF9AE}" pid="4" name="MSIP_Label_076d9757-80ae-4c87-b4d7-9ffa7a0710d0_Method">
    <vt:lpwstr>Standard</vt:lpwstr>
  </property>
  <property fmtid="{D5CDD505-2E9C-101B-9397-08002B2CF9AE}" pid="5" name="MSIP_Label_076d9757-80ae-4c87-b4d7-9ffa7a0710d0_Name">
    <vt:lpwstr>076d9757-80ae-4c87-b4d7-9ffa7a0710d0</vt:lpwstr>
  </property>
  <property fmtid="{D5CDD505-2E9C-101B-9397-08002B2CF9AE}" pid="6" name="MSIP_Label_076d9757-80ae-4c87-b4d7-9ffa7a0710d0_SiteId">
    <vt:lpwstr>c79e7c80-cff5-4503-b468-3702cea89272</vt:lpwstr>
  </property>
  <property fmtid="{D5CDD505-2E9C-101B-9397-08002B2CF9AE}" pid="7" name="MSIP_Label_076d9757-80ae-4c87-b4d7-9ffa7a0710d0_ActionId">
    <vt:lpwstr>8a4cd330-a31e-482e-b5b4-a0e96ae41938</vt:lpwstr>
  </property>
  <property fmtid="{D5CDD505-2E9C-101B-9397-08002B2CF9AE}" pid="8" name="MSIP_Label_076d9757-80ae-4c87-b4d7-9ffa7a0710d0_ContentBits">
    <vt:lpwstr>0</vt:lpwstr>
  </property>
  <property fmtid="{D5CDD505-2E9C-101B-9397-08002B2CF9AE}" pid="9" name="Kod_Duvernosti">
    <vt:lpwstr>KB_C1_INTERNAL_992521</vt:lpwstr>
  </property>
</Properties>
</file>