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40"/>
      </w:tblGrid>
      <w:tr w:rsidR="00663E4F" w:rsidRPr="009A733C" w14:paraId="004DDFC7" w14:textId="77777777" w:rsidTr="00200EB4">
        <w:tc>
          <w:tcPr>
            <w:tcW w:w="9640" w:type="dxa"/>
            <w:noWrap/>
            <w:tcMar>
              <w:left w:w="170" w:type="dxa"/>
              <w:right w:w="170" w:type="dxa"/>
            </w:tcMar>
          </w:tcPr>
          <w:p w14:paraId="5232C21E" w14:textId="5A7E2D6C" w:rsidR="001834A2" w:rsidRPr="00EA376D" w:rsidRDefault="00663E4F" w:rsidP="009E5D39">
            <w:pPr>
              <w:tabs>
                <w:tab w:val="num" w:pos="425"/>
                <w:tab w:val="left" w:pos="5695"/>
              </w:tabs>
              <w:spacing w:before="40" w:after="40"/>
              <w:rPr>
                <w:color w:val="808080"/>
              </w:rPr>
            </w:pPr>
            <w:r w:rsidRPr="00CA0D14">
              <w:rPr>
                <w:b/>
                <w:szCs w:val="18"/>
              </w:rPr>
              <w:t xml:space="preserve">Příloha č. </w:t>
            </w:r>
            <w:r w:rsidR="009E5D39">
              <w:rPr>
                <w:b/>
                <w:color w:val="000000"/>
                <w:szCs w:val="18"/>
              </w:rPr>
              <w:t>5</w:t>
            </w:r>
            <w:r w:rsidRPr="00CA0D14">
              <w:rPr>
                <w:b/>
                <w:szCs w:val="18"/>
              </w:rPr>
              <w:t xml:space="preserve"> k Rámcové smlouvě</w:t>
            </w:r>
            <w:r w:rsidRPr="00CA0D14">
              <w:rPr>
                <w:b/>
                <w:szCs w:val="18"/>
              </w:rPr>
              <w:tab/>
            </w:r>
          </w:p>
        </w:tc>
      </w:tr>
      <w:tr w:rsidR="00663E4F" w:rsidRPr="009A733C" w14:paraId="6763853E" w14:textId="77777777" w:rsidTr="00200E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FitText/>
          </w:tcPr>
          <w:p w14:paraId="468E97D4" w14:textId="77777777" w:rsidR="00663E4F" w:rsidRPr="009A733C" w:rsidRDefault="00663E4F" w:rsidP="00393B71">
            <w:pPr>
              <w:jc w:val="right"/>
              <w:rPr>
                <w:sz w:val="10"/>
              </w:rPr>
            </w:pPr>
          </w:p>
        </w:tc>
      </w:tr>
      <w:tr w:rsidR="00663E4F" w:rsidRPr="009A733C" w14:paraId="2141AF60" w14:textId="77777777" w:rsidTr="00200EB4">
        <w:tblPrEx>
          <w:shd w:val="clear" w:color="auto" w:fill="EF6D63"/>
          <w:tblLook w:val="0680" w:firstRow="0" w:lastRow="0" w:firstColumn="1" w:lastColumn="0" w:noHBand="1" w:noVBand="1"/>
        </w:tblPrEx>
        <w:tc>
          <w:tcPr>
            <w:tcW w:w="9640" w:type="dxa"/>
            <w:shd w:val="clear" w:color="auto" w:fill="ED6B61"/>
            <w:vAlign w:val="center"/>
          </w:tcPr>
          <w:p w14:paraId="6FFB92F5" w14:textId="59E05F94" w:rsidR="00663E4F" w:rsidRPr="00A04FE6" w:rsidRDefault="00995BF1" w:rsidP="00995BF1">
            <w:pPr>
              <w:spacing w:before="40" w:after="40"/>
              <w:jc w:val="left"/>
              <w:rPr>
                <w:b/>
                <w:sz w:val="22"/>
                <w:szCs w:val="22"/>
              </w:rPr>
            </w:pPr>
            <w:r w:rsidRPr="00A04FE6">
              <w:rPr>
                <w:b/>
                <w:color w:val="FFFFFF"/>
                <w:sz w:val="22"/>
                <w:szCs w:val="22"/>
              </w:rPr>
              <w:t xml:space="preserve">Kontaktní údaje a další definice pro krátkodobé úvěry na finančním trhu </w:t>
            </w:r>
          </w:p>
        </w:tc>
      </w:tr>
      <w:tr w:rsidR="00663E4F" w:rsidRPr="009A733C" w14:paraId="2830CE62" w14:textId="77777777" w:rsidTr="00200E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6FF1BEC7" w14:textId="77777777" w:rsidR="00663E4F" w:rsidRPr="009A733C" w:rsidRDefault="00663E4F" w:rsidP="00393B71">
            <w:pPr>
              <w:keepNext/>
              <w:keepLines/>
              <w:jc w:val="right"/>
              <w:rPr>
                <w:sz w:val="10"/>
              </w:rPr>
            </w:pPr>
          </w:p>
        </w:tc>
      </w:tr>
      <w:tr w:rsidR="00200EB4" w:rsidRPr="009A733C" w14:paraId="6FB362DB" w14:textId="77777777" w:rsidTr="00200EB4">
        <w:tc>
          <w:tcPr>
            <w:tcW w:w="9640" w:type="dxa"/>
            <w:noWrap/>
            <w:tcMar>
              <w:left w:w="170" w:type="dxa"/>
              <w:right w:w="170" w:type="dxa"/>
            </w:tcMar>
            <w:vAlign w:val="center"/>
          </w:tcPr>
          <w:p w14:paraId="4EA37459" w14:textId="1046E194" w:rsidR="00200EB4" w:rsidRPr="00A94AED" w:rsidRDefault="00C5093D" w:rsidP="009E5D39">
            <w:pPr>
              <w:spacing w:before="120" w:after="40"/>
              <w:rPr>
                <w:i/>
                <w:color w:val="808080"/>
                <w:szCs w:val="18"/>
              </w:rPr>
            </w:pPr>
            <w:r w:rsidRPr="00E67FEA">
              <w:rPr>
                <w:szCs w:val="18"/>
              </w:rPr>
              <w:t xml:space="preserve">Podle Rámcové smlouvy o poskytování finančních služeb </w:t>
            </w:r>
            <w:proofErr w:type="spellStart"/>
            <w:r w:rsidRPr="00E67FEA">
              <w:rPr>
                <w:szCs w:val="18"/>
              </w:rPr>
              <w:t>reg</w:t>
            </w:r>
            <w:proofErr w:type="spellEnd"/>
            <w:r w:rsidRPr="00E67FEA">
              <w:rPr>
                <w:szCs w:val="18"/>
              </w:rPr>
              <w:t>. č.</w:t>
            </w:r>
            <w:r>
              <w:rPr>
                <w:szCs w:val="18"/>
              </w:rPr>
              <w:t xml:space="preserve"> </w:t>
            </w:r>
            <w:r w:rsidR="009E5D39" w:rsidRPr="009E5D39">
              <w:rPr>
                <w:rFonts w:cs="Arial"/>
                <w:bCs/>
                <w:szCs w:val="18"/>
              </w:rPr>
              <w:t>9900080680000</w:t>
            </w:r>
            <w:r w:rsidR="00C8366F" w:rsidRPr="009E5D39">
              <w:rPr>
                <w:bCs/>
              </w:rPr>
              <w:t xml:space="preserve"> </w:t>
            </w:r>
            <w:r w:rsidRPr="00E67FEA">
              <w:rPr>
                <w:szCs w:val="18"/>
              </w:rPr>
              <w:t>(dále jen „</w:t>
            </w:r>
            <w:r w:rsidRPr="00E67FEA">
              <w:rPr>
                <w:b/>
                <w:szCs w:val="18"/>
              </w:rPr>
              <w:t>Rámcová smlouva</w:t>
            </w:r>
            <w:r w:rsidRPr="00E67FEA">
              <w:rPr>
                <w:szCs w:val="18"/>
              </w:rPr>
              <w:t>“)</w:t>
            </w:r>
          </w:p>
        </w:tc>
      </w:tr>
      <w:tr w:rsidR="00995BF1" w:rsidRPr="009A733C" w14:paraId="05833225" w14:textId="77777777" w:rsidTr="00995BF1">
        <w:trPr>
          <w:trHeight w:hRule="exact" w:val="369"/>
        </w:trPr>
        <w:tc>
          <w:tcPr>
            <w:tcW w:w="9640" w:type="dxa"/>
            <w:shd w:val="clear" w:color="auto" w:fill="ED6B61"/>
            <w:noWrap/>
            <w:tcMar>
              <w:left w:w="170" w:type="dxa"/>
              <w:right w:w="170" w:type="dxa"/>
            </w:tcMar>
            <w:vAlign w:val="center"/>
          </w:tcPr>
          <w:p w14:paraId="4FE4544F" w14:textId="78729607" w:rsidR="00995BF1" w:rsidRPr="00A04FE6" w:rsidRDefault="00995BF1" w:rsidP="00995BF1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A04FE6">
              <w:rPr>
                <w:b/>
                <w:color w:val="FFFFFF"/>
                <w:sz w:val="22"/>
                <w:szCs w:val="22"/>
              </w:rPr>
              <w:t xml:space="preserve">Kontaktní údaje Banky </w:t>
            </w:r>
          </w:p>
        </w:tc>
      </w:tr>
    </w:tbl>
    <w:p w14:paraId="152767F2" w14:textId="77777777" w:rsidR="006E71A0" w:rsidRDefault="006E71A0"/>
    <w:tbl>
      <w:tblPr>
        <w:tblW w:w="9652" w:type="dxa"/>
        <w:tblInd w:w="170" w:type="dxa"/>
        <w:shd w:val="clear" w:color="auto" w:fill="C8C8C8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52"/>
      </w:tblGrid>
      <w:tr w:rsidR="009C736D" w:rsidRPr="00E32466" w14:paraId="056C93C3" w14:textId="77777777" w:rsidTr="000D47E4">
        <w:trPr>
          <w:cantSplit/>
        </w:trPr>
        <w:tc>
          <w:tcPr>
            <w:tcW w:w="9652" w:type="dxa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5CBACD8D" w14:textId="72368B49" w:rsidR="00D926CB" w:rsidRPr="00D926CB" w:rsidRDefault="009C736D" w:rsidP="009E5D39">
            <w:pPr>
              <w:spacing w:before="40" w:after="40"/>
              <w:rPr>
                <w:i/>
                <w:color w:val="808080"/>
              </w:rPr>
            </w:pPr>
            <w:r w:rsidRPr="009C736D">
              <w:rPr>
                <w:rFonts w:cs="Arial"/>
                <w:szCs w:val="18"/>
              </w:rPr>
              <w:t>Telefon</w:t>
            </w:r>
            <w:r>
              <w:rPr>
                <w:rFonts w:cs="Arial"/>
                <w:szCs w:val="18"/>
              </w:rPr>
              <w:t>:</w:t>
            </w:r>
            <w:r w:rsidR="00D926CB">
              <w:rPr>
                <w:i/>
                <w:color w:val="808080"/>
                <w:szCs w:val="18"/>
                <w:lang w:val="en-GB"/>
              </w:rPr>
              <w:t xml:space="preserve"> </w:t>
            </w:r>
            <w:r w:rsidR="009E5D39" w:rsidRPr="00115A76">
              <w:rPr>
                <w:szCs w:val="18"/>
                <w:lang w:val="en-GB"/>
              </w:rPr>
              <w:t>+420 955 520 304</w:t>
            </w:r>
          </w:p>
        </w:tc>
      </w:tr>
      <w:tr w:rsidR="006E71A0" w:rsidRPr="00E32466" w14:paraId="2E555CD9" w14:textId="77777777" w:rsidTr="005C7CF9">
        <w:trPr>
          <w:cantSplit/>
        </w:trPr>
        <w:tc>
          <w:tcPr>
            <w:tcW w:w="9652" w:type="dxa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316D44C8" w14:textId="77777777" w:rsidR="006E71A0" w:rsidRDefault="006E71A0" w:rsidP="005C7CF9">
            <w:pPr>
              <w:spacing w:before="40" w:after="40"/>
              <w:rPr>
                <w:b/>
                <w:szCs w:val="18"/>
              </w:rPr>
            </w:pPr>
            <w:r>
              <w:rPr>
                <w:rFonts w:cs="Arial"/>
                <w:szCs w:val="18"/>
              </w:rPr>
              <w:t>Telefonní linky odboru Prodej (7900) pro uzavírání krátkodobých Úvěrů na finančním trhu dle Rámcové smlouvy:</w:t>
            </w:r>
          </w:p>
          <w:p w14:paraId="084085B0" w14:textId="77777777" w:rsidR="006E71A0" w:rsidRPr="006E71A0" w:rsidRDefault="006E71A0" w:rsidP="00C279A4">
            <w:pPr>
              <w:spacing w:before="40" w:after="360"/>
              <w:ind w:hanging="2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+420 222 008 200 – 492</w:t>
            </w:r>
          </w:p>
        </w:tc>
      </w:tr>
      <w:tr w:rsidR="006E71A0" w:rsidRPr="00E32466" w14:paraId="643CF6F7" w14:textId="77777777" w:rsidTr="005C7CF9">
        <w:trPr>
          <w:cantSplit/>
        </w:trPr>
        <w:tc>
          <w:tcPr>
            <w:tcW w:w="9652" w:type="dxa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1BD7B53E" w14:textId="77777777" w:rsidR="006E71A0" w:rsidRDefault="006E71A0" w:rsidP="005C7CF9">
            <w:pPr>
              <w:spacing w:before="40" w:after="40"/>
            </w:pPr>
            <w:r>
              <w:t>Informační linka odboru Prodej (7900):</w:t>
            </w:r>
          </w:p>
          <w:p w14:paraId="628D5D30" w14:textId="77777777" w:rsidR="006E71A0" w:rsidRDefault="006E71A0" w:rsidP="00C279A4">
            <w:pPr>
              <w:spacing w:before="40" w:after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+420 222 008 800</w:t>
            </w:r>
          </w:p>
        </w:tc>
      </w:tr>
      <w:tr w:rsidR="006E71A0" w:rsidRPr="00E32466" w14:paraId="40ABB182" w14:textId="77777777" w:rsidTr="005C7CF9">
        <w:trPr>
          <w:cantSplit/>
        </w:trPr>
        <w:tc>
          <w:tcPr>
            <w:tcW w:w="9652" w:type="dxa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11DB5D97" w14:textId="77777777" w:rsidR="006E71A0" w:rsidRDefault="006E71A0" w:rsidP="005C7CF9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en-US"/>
              </w:rPr>
              <w:t xml:space="preserve">Internetová adresa, na které jsou umístěny obecné </w:t>
            </w:r>
            <w:r>
              <w:rPr>
                <w:rFonts w:cs="Arial"/>
                <w:szCs w:val="18"/>
              </w:rPr>
              <w:t>kontakty a další informace:</w:t>
            </w:r>
          </w:p>
          <w:p w14:paraId="12BEE6DF" w14:textId="77777777" w:rsidR="006E71A0" w:rsidRPr="006E71A0" w:rsidRDefault="00884282" w:rsidP="005C7CF9">
            <w:pPr>
              <w:spacing w:before="40" w:after="40"/>
              <w:rPr>
                <w:rFonts w:cs="Arial"/>
                <w:szCs w:val="18"/>
              </w:rPr>
            </w:pPr>
            <w:hyperlink r:id="rId7" w:history="1">
              <w:r w:rsidR="006E71A0" w:rsidRPr="006E71A0">
                <w:rPr>
                  <w:rStyle w:val="Hypertextovodkaz"/>
                  <w:rFonts w:cs="Arial"/>
                  <w:color w:val="auto"/>
                  <w:szCs w:val="18"/>
                </w:rPr>
                <w:t>www.kb.cz</w:t>
              </w:r>
            </w:hyperlink>
          </w:p>
        </w:tc>
      </w:tr>
      <w:tr w:rsidR="006E71A0" w:rsidRPr="00E32466" w14:paraId="411AC979" w14:textId="77777777" w:rsidTr="005C7CF9">
        <w:trPr>
          <w:cantSplit/>
        </w:trPr>
        <w:tc>
          <w:tcPr>
            <w:tcW w:w="9652" w:type="dxa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15C5A06C" w14:textId="77777777" w:rsidR="006E71A0" w:rsidRDefault="006E71A0" w:rsidP="005C7CF9">
            <w:pPr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Internetová adresa, prostřednictvím které Banka provádí potvrzování smluv o krátkodobém Úvěru na finančním trhu prostřednictvím E-kurýru:</w:t>
            </w:r>
          </w:p>
          <w:p w14:paraId="1C493FA1" w14:textId="77777777" w:rsidR="006E71A0" w:rsidRPr="006E71A0" w:rsidRDefault="00884282" w:rsidP="005C7CF9">
            <w:pPr>
              <w:spacing w:before="40" w:after="40"/>
              <w:rPr>
                <w:rFonts w:cs="Arial"/>
                <w:szCs w:val="18"/>
              </w:rPr>
            </w:pPr>
            <w:hyperlink r:id="rId8" w:history="1">
              <w:r w:rsidR="006E71A0" w:rsidRPr="006E71A0">
                <w:rPr>
                  <w:rStyle w:val="Hypertextovodkaz"/>
                  <w:rFonts w:cs="Arial"/>
                  <w:color w:val="auto"/>
                  <w:szCs w:val="18"/>
                </w:rPr>
                <w:t>https://www.mojebanka.cz/SecureComm/</w:t>
              </w:r>
            </w:hyperlink>
          </w:p>
        </w:tc>
      </w:tr>
    </w:tbl>
    <w:p w14:paraId="3BAFF376" w14:textId="77777777" w:rsidR="003426B7" w:rsidRPr="00913AF6" w:rsidRDefault="003426B7">
      <w:pPr>
        <w:rPr>
          <w:sz w:val="14"/>
          <w:szCs w:val="14"/>
        </w:rPr>
      </w:pPr>
    </w:p>
    <w:tbl>
      <w:tblPr>
        <w:tblW w:w="9640" w:type="dxa"/>
        <w:tblInd w:w="170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9640"/>
      </w:tblGrid>
      <w:tr w:rsidR="00AF50B2" w:rsidRPr="009A733C" w14:paraId="0ADA2883" w14:textId="77777777" w:rsidTr="00200EB4">
        <w:trPr>
          <w:trHeight w:val="369"/>
        </w:trPr>
        <w:tc>
          <w:tcPr>
            <w:tcW w:w="9640" w:type="dxa"/>
            <w:shd w:val="clear" w:color="auto" w:fill="ED6B61"/>
            <w:vAlign w:val="center"/>
          </w:tcPr>
          <w:p w14:paraId="681BBACD" w14:textId="5EF2813A" w:rsidR="00AF50B2" w:rsidRPr="00A04FE6" w:rsidRDefault="00995BF1" w:rsidP="00995BF1">
            <w:pPr>
              <w:keepNext/>
              <w:keepLines/>
              <w:spacing w:before="40" w:after="40"/>
              <w:rPr>
                <w:bCs/>
                <w:color w:val="FFFFFF"/>
                <w:sz w:val="22"/>
                <w:szCs w:val="22"/>
              </w:rPr>
            </w:pPr>
            <w:r w:rsidRPr="00A04FE6">
              <w:rPr>
                <w:b/>
                <w:color w:val="FFFFFF"/>
                <w:sz w:val="22"/>
                <w:szCs w:val="22"/>
              </w:rPr>
              <w:t>Kontaktní údaje Klienta</w:t>
            </w:r>
            <w:r w:rsidR="00202129" w:rsidRPr="00A04FE6">
              <w:rPr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</w:tbl>
    <w:p w14:paraId="6E50DB7D" w14:textId="77777777" w:rsidR="00AF50B2" w:rsidRPr="00AF50B2" w:rsidRDefault="00AF50B2">
      <w:pPr>
        <w:rPr>
          <w:sz w:val="14"/>
          <w:szCs w:val="14"/>
        </w:rPr>
      </w:pPr>
    </w:p>
    <w:tbl>
      <w:tblPr>
        <w:tblW w:w="9652" w:type="dxa"/>
        <w:tblInd w:w="170" w:type="dxa"/>
        <w:shd w:val="clear" w:color="auto" w:fill="C8C8C8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410"/>
        <w:gridCol w:w="6242"/>
      </w:tblGrid>
      <w:tr w:rsidR="005C7CF9" w:rsidRPr="00E32466" w14:paraId="5EFF5FB8" w14:textId="77777777" w:rsidTr="00B64A91">
        <w:trPr>
          <w:cantSplit/>
        </w:trPr>
        <w:tc>
          <w:tcPr>
            <w:tcW w:w="3410" w:type="dxa"/>
            <w:tcBorders>
              <w:right w:val="single" w:sz="4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5F6FFC97" w14:textId="39AC070B" w:rsidR="005C7CF9" w:rsidRPr="005C7CF9" w:rsidRDefault="005C7CF9" w:rsidP="009E5D39">
            <w:p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  <w:rPr>
                <w:rFonts w:eastAsia="MS Mincho"/>
                <w:b/>
                <w:szCs w:val="18"/>
                <w:lang w:eastAsia="en-US"/>
              </w:rPr>
            </w:pPr>
            <w:r>
              <w:rPr>
                <w:rFonts w:eastAsia="MS Mincho"/>
                <w:b/>
                <w:szCs w:val="18"/>
                <w:lang w:eastAsia="en-US"/>
              </w:rPr>
              <w:t>Kontaktní adresa</w:t>
            </w:r>
          </w:p>
        </w:tc>
        <w:tc>
          <w:tcPr>
            <w:tcW w:w="6242" w:type="dxa"/>
            <w:tcBorders>
              <w:left w:val="single" w:sz="4" w:space="0" w:color="C8C8C8"/>
            </w:tcBorders>
            <w:shd w:val="clear" w:color="auto" w:fill="auto"/>
          </w:tcPr>
          <w:p w14:paraId="663A208B" w14:textId="42EA3DA3" w:rsidR="005C7CF9" w:rsidRPr="003138B1" w:rsidRDefault="009E5D39" w:rsidP="009177B5">
            <w:pPr>
              <w:spacing w:before="40" w:after="40"/>
              <w:rPr>
                <w:szCs w:val="18"/>
                <w:lang w:val="en-GB"/>
              </w:rPr>
            </w:pPr>
            <w:r>
              <w:t>Pisárecká 555/1a, Pisárky, 603 00 Brno</w:t>
            </w:r>
          </w:p>
        </w:tc>
      </w:tr>
      <w:tr w:rsidR="005C7CF9" w:rsidRPr="00E32466" w14:paraId="6ECB0A83" w14:textId="77777777" w:rsidTr="00B64A91">
        <w:trPr>
          <w:cantSplit/>
        </w:trPr>
        <w:tc>
          <w:tcPr>
            <w:tcW w:w="3410" w:type="dxa"/>
            <w:tcBorders>
              <w:right w:val="single" w:sz="4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79188307" w14:textId="17970598" w:rsidR="005C7CF9" w:rsidRDefault="005C7CF9" w:rsidP="009E5D39">
            <w:p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  <w:rPr>
                <w:szCs w:val="18"/>
              </w:rPr>
            </w:pPr>
            <w:r w:rsidRPr="005C7CF9">
              <w:rPr>
                <w:rFonts w:eastAsia="MS Mincho"/>
                <w:b/>
                <w:szCs w:val="18"/>
                <w:lang w:eastAsia="en-US"/>
              </w:rPr>
              <w:t>Telefon</w:t>
            </w:r>
          </w:p>
        </w:tc>
        <w:tc>
          <w:tcPr>
            <w:tcW w:w="6242" w:type="dxa"/>
            <w:tcBorders>
              <w:left w:val="single" w:sz="4" w:space="0" w:color="C8C8C8"/>
            </w:tcBorders>
            <w:shd w:val="clear" w:color="auto" w:fill="auto"/>
          </w:tcPr>
          <w:p w14:paraId="3C67A252" w14:textId="51FA1352" w:rsidR="005C7CF9" w:rsidRPr="003138B1" w:rsidRDefault="00266A51" w:rsidP="00266A51">
            <w:pPr>
              <w:spacing w:before="40" w:after="40"/>
              <w:rPr>
                <w:szCs w:val="18"/>
                <w:lang w:val="en-GB"/>
              </w:rPr>
            </w:pPr>
            <w:r>
              <w:rPr>
                <w:color w:val="000000"/>
                <w:szCs w:val="18"/>
                <w:lang w:val="en-US"/>
              </w:rPr>
              <w:t>XXX</w:t>
            </w:r>
            <w:r w:rsidR="00F5375A">
              <w:rPr>
                <w:color w:val="000000"/>
                <w:szCs w:val="18"/>
                <w:lang w:val="en-US"/>
              </w:rPr>
              <w:t xml:space="preserve">; </w:t>
            </w:r>
            <w:r>
              <w:rPr>
                <w:color w:val="000000"/>
                <w:szCs w:val="18"/>
                <w:lang w:val="en-US"/>
              </w:rPr>
              <w:t>XXX</w:t>
            </w:r>
            <w:bookmarkStart w:id="0" w:name="_GoBack"/>
            <w:bookmarkEnd w:id="0"/>
          </w:p>
        </w:tc>
      </w:tr>
      <w:tr w:rsidR="005C7CF9" w:rsidRPr="00E32466" w14:paraId="2D598D43" w14:textId="77777777" w:rsidTr="00B64A91">
        <w:trPr>
          <w:cantSplit/>
        </w:trPr>
        <w:tc>
          <w:tcPr>
            <w:tcW w:w="3410" w:type="dxa"/>
            <w:tcBorders>
              <w:right w:val="single" w:sz="4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27E3B2A1" w14:textId="17BE4E78" w:rsidR="005C7CF9" w:rsidRPr="005C7CF9" w:rsidRDefault="005C7CF9" w:rsidP="009E5D39">
            <w:p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  <w:rPr>
                <w:rFonts w:eastAsia="MS Mincho"/>
                <w:b/>
                <w:szCs w:val="18"/>
                <w:lang w:eastAsia="en-US"/>
              </w:rPr>
            </w:pPr>
            <w:r>
              <w:rPr>
                <w:rFonts w:eastAsia="MS Mincho"/>
                <w:b/>
                <w:szCs w:val="18"/>
                <w:lang w:eastAsia="en-US"/>
              </w:rPr>
              <w:t>Kontaktní e-mailová adresa</w:t>
            </w:r>
          </w:p>
        </w:tc>
        <w:tc>
          <w:tcPr>
            <w:tcW w:w="6242" w:type="dxa"/>
            <w:tcBorders>
              <w:left w:val="single" w:sz="4" w:space="0" w:color="C8C8C8"/>
            </w:tcBorders>
            <w:shd w:val="clear" w:color="auto" w:fill="auto"/>
          </w:tcPr>
          <w:p w14:paraId="65489A6F" w14:textId="733D7E95" w:rsidR="005C7CF9" w:rsidRPr="009B20C8" w:rsidRDefault="00266A51" w:rsidP="00266A51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XXX</w:t>
            </w:r>
            <w:r w:rsidR="009B20C8" w:rsidRPr="009B20C8">
              <w:rPr>
                <w:szCs w:val="18"/>
              </w:rPr>
              <w:t xml:space="preserve">; </w:t>
            </w:r>
            <w:r>
              <w:rPr>
                <w:szCs w:val="18"/>
              </w:rPr>
              <w:t>XXX</w:t>
            </w:r>
          </w:p>
        </w:tc>
      </w:tr>
      <w:tr w:rsidR="005C7CF9" w:rsidRPr="00E32466" w14:paraId="2AA7471F" w14:textId="77777777" w:rsidTr="00B64A91">
        <w:trPr>
          <w:cantSplit/>
        </w:trPr>
        <w:tc>
          <w:tcPr>
            <w:tcW w:w="3410" w:type="dxa"/>
            <w:tcBorders>
              <w:right w:val="single" w:sz="4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14:paraId="3EDCB67A" w14:textId="7AD5188C" w:rsidR="005C7CF9" w:rsidRPr="006E71A0" w:rsidRDefault="005C7CF9" w:rsidP="009E5D39">
            <w:pPr>
              <w:overflowPunct/>
              <w:autoSpaceDE/>
              <w:autoSpaceDN/>
              <w:adjustRightInd/>
              <w:spacing w:before="40" w:after="40"/>
              <w:jc w:val="right"/>
              <w:textAlignment w:val="auto"/>
              <w:rPr>
                <w:rFonts w:cs="Arial"/>
                <w:szCs w:val="18"/>
              </w:rPr>
            </w:pPr>
            <w:r w:rsidRPr="005C7CF9">
              <w:rPr>
                <w:rFonts w:eastAsia="MS Mincho"/>
                <w:b/>
                <w:szCs w:val="18"/>
                <w:lang w:eastAsia="en-US"/>
              </w:rPr>
              <w:t>Běžný účet Klienta</w:t>
            </w:r>
          </w:p>
        </w:tc>
        <w:tc>
          <w:tcPr>
            <w:tcW w:w="6242" w:type="dxa"/>
            <w:tcBorders>
              <w:left w:val="single" w:sz="4" w:space="0" w:color="C8C8C8"/>
            </w:tcBorders>
            <w:shd w:val="clear" w:color="auto" w:fill="auto"/>
          </w:tcPr>
          <w:p w14:paraId="34513692" w14:textId="7B4C5FA3" w:rsidR="005C7CF9" w:rsidRPr="003138B1" w:rsidRDefault="009E5D39" w:rsidP="009177B5">
            <w:pPr>
              <w:spacing w:before="40" w:after="40"/>
              <w:rPr>
                <w:rFonts w:cs="Arial"/>
                <w:szCs w:val="18"/>
              </w:rPr>
            </w:pPr>
            <w:r w:rsidRPr="0063716E">
              <w:rPr>
                <w:szCs w:val="18"/>
                <w:lang w:val="en-GB"/>
              </w:rPr>
              <w:t>5501621</w:t>
            </w:r>
            <w:r>
              <w:rPr>
                <w:szCs w:val="18"/>
                <w:lang w:val="en-GB"/>
              </w:rPr>
              <w:t>/0100</w:t>
            </w:r>
          </w:p>
        </w:tc>
      </w:tr>
    </w:tbl>
    <w:p w14:paraId="6E60400F" w14:textId="77777777" w:rsidR="005C7CF9" w:rsidRPr="005B503B" w:rsidRDefault="005C7CF9" w:rsidP="00CA0D14">
      <w:pPr>
        <w:rPr>
          <w:sz w:val="14"/>
          <w:szCs w:val="14"/>
        </w:rPr>
      </w:pPr>
    </w:p>
    <w:tbl>
      <w:tblPr>
        <w:tblW w:w="9639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39"/>
      </w:tblGrid>
      <w:tr w:rsidR="00C5093D" w:rsidRPr="009A733C" w14:paraId="28AE7FF1" w14:textId="77777777" w:rsidTr="00995BF1">
        <w:trPr>
          <w:trHeight w:val="369"/>
        </w:trPr>
        <w:tc>
          <w:tcPr>
            <w:tcW w:w="9639" w:type="dxa"/>
            <w:shd w:val="clear" w:color="auto" w:fill="ED6B61"/>
            <w:noWrap/>
            <w:tcMar>
              <w:left w:w="170" w:type="dxa"/>
              <w:right w:w="170" w:type="dxa"/>
            </w:tcMar>
          </w:tcPr>
          <w:p w14:paraId="7D866A72" w14:textId="1854837C" w:rsidR="00C5093D" w:rsidRPr="00A04FE6" w:rsidRDefault="00995BF1" w:rsidP="00D926CB">
            <w:pPr>
              <w:spacing w:before="40" w:after="40"/>
              <w:jc w:val="left"/>
              <w:rPr>
                <w:b/>
                <w:sz w:val="22"/>
                <w:szCs w:val="22"/>
              </w:rPr>
            </w:pPr>
            <w:r w:rsidRPr="00A04FE6">
              <w:rPr>
                <w:b/>
                <w:color w:val="FFFFFF"/>
                <w:sz w:val="22"/>
                <w:szCs w:val="22"/>
              </w:rPr>
              <w:t xml:space="preserve">Další definice pro krátkodobé úvěry na finančním trhu („KUFT“) </w:t>
            </w:r>
          </w:p>
        </w:tc>
      </w:tr>
      <w:tr w:rsidR="00C5093D" w:rsidRPr="009A733C" w14:paraId="560AA611" w14:textId="77777777" w:rsidTr="00C5093D">
        <w:tc>
          <w:tcPr>
            <w:tcW w:w="9639" w:type="dxa"/>
            <w:noWrap/>
            <w:tcMar>
              <w:left w:w="170" w:type="dxa"/>
              <w:right w:w="170" w:type="dxa"/>
            </w:tcMar>
          </w:tcPr>
          <w:p w14:paraId="496F0303" w14:textId="77777777" w:rsidR="00995BF1" w:rsidRDefault="00995BF1" w:rsidP="00621F2C">
            <w:pPr>
              <w:spacing w:before="18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Pojmy s velkým počátečním písmenem mají v ustanoveních Rámcové smlouvy, která upravují krátkodobé Úvěry na finančním trhu, následující význam:</w:t>
            </w:r>
          </w:p>
          <w:p w14:paraId="43570B81" w14:textId="77777777" w:rsidR="00995BF1" w:rsidRDefault="00995BF1" w:rsidP="00995BF1">
            <w:pPr>
              <w:spacing w:before="40" w:after="40"/>
            </w:pPr>
            <w:r>
              <w:t>„</w:t>
            </w:r>
            <w:r>
              <w:rPr>
                <w:b/>
              </w:rPr>
              <w:t>Den čerpání</w:t>
            </w:r>
            <w:r>
              <w:t>“ je den, kdy Banka poskytne Klientovi KUFT.</w:t>
            </w:r>
          </w:p>
          <w:p w14:paraId="12209B37" w14:textId="77777777" w:rsidR="00995BF1" w:rsidRDefault="00995BF1" w:rsidP="00621F2C">
            <w:pPr>
              <w:spacing w:before="40" w:after="40"/>
            </w:pPr>
            <w:r>
              <w:t>„</w:t>
            </w:r>
            <w:r>
              <w:rPr>
                <w:b/>
              </w:rPr>
              <w:t>Denní doba obchodování</w:t>
            </w:r>
            <w:r>
              <w:t>“ je stanovena obecně v rozmezí od 8:30 hodin do 16:00 hodin Pracovního dne, pokud se Banka a Klient v případě konkrétního obchodu nedohodnou jinak, s výjimkou KUFT poskytnutého s valutou O/N, který může být sjednán pouze v době od 8:30 do 11:00 hodin Pracovního dne.</w:t>
            </w:r>
          </w:p>
          <w:p w14:paraId="01CA8BB2" w14:textId="77777777" w:rsidR="00995BF1" w:rsidRDefault="00995BF1" w:rsidP="00995BF1">
            <w:pPr>
              <w:spacing w:before="40" w:after="40"/>
            </w:pPr>
            <w:r>
              <w:t>„</w:t>
            </w:r>
            <w:r>
              <w:rPr>
                <w:b/>
              </w:rPr>
              <w:t>Doba trvání obchodu</w:t>
            </w:r>
            <w:r>
              <w:t>“ je období od uzavření obchodu do splacení jistiny KUFT.</w:t>
            </w:r>
          </w:p>
          <w:p w14:paraId="7606FC98" w14:textId="77777777" w:rsidR="00995BF1" w:rsidRDefault="00995BF1" w:rsidP="00995BF1">
            <w:pPr>
              <w:spacing w:before="40" w:after="40"/>
            </w:pPr>
            <w:r>
              <w:t>„</w:t>
            </w:r>
            <w:r>
              <w:rPr>
                <w:b/>
              </w:rPr>
              <w:t>Úvěr poskytnutý s valutou O/N (</w:t>
            </w:r>
            <w:proofErr w:type="spellStart"/>
            <w:r>
              <w:rPr>
                <w:b/>
              </w:rPr>
              <w:t>over</w:t>
            </w:r>
            <w:proofErr w:type="spellEnd"/>
            <w:r>
              <w:rPr>
                <w:b/>
              </w:rPr>
              <w:t xml:space="preserve"> night)</w:t>
            </w:r>
            <w:r>
              <w:t>“ je KUFT, který je poskytnut v den uzavření obchodu.</w:t>
            </w:r>
          </w:p>
          <w:p w14:paraId="1DE64B4B" w14:textId="77777777" w:rsidR="00C5093D" w:rsidRDefault="00995BF1" w:rsidP="00995BF1">
            <w:pPr>
              <w:spacing w:before="40" w:after="40"/>
              <w:jc w:val="left"/>
            </w:pPr>
            <w:r>
              <w:t>„</w:t>
            </w:r>
            <w:r>
              <w:rPr>
                <w:b/>
              </w:rPr>
              <w:t>Úvěr poskytnutý s valutou SPOT</w:t>
            </w:r>
            <w:r>
              <w:t>“ je KUFT, který je poskytnut dva Pracovní dny po uzavření obchodu.</w:t>
            </w:r>
          </w:p>
          <w:p w14:paraId="7FB1760C" w14:textId="5C1BB396" w:rsidR="00995BF1" w:rsidRPr="00022E60" w:rsidRDefault="00995BF1" w:rsidP="009E5D39">
            <w:pPr>
              <w:spacing w:before="40" w:after="40"/>
              <w:rPr>
                <w:b/>
                <w:i/>
                <w:color w:val="A6A6A6"/>
                <w:szCs w:val="18"/>
              </w:rPr>
            </w:pPr>
            <w:r>
              <w:t>„</w:t>
            </w:r>
            <w:r>
              <w:rPr>
                <w:b/>
              </w:rPr>
              <w:t>Úvěr poskytnutý s valutou T/N (</w:t>
            </w:r>
            <w:proofErr w:type="spellStart"/>
            <w:r>
              <w:rPr>
                <w:b/>
              </w:rPr>
              <w:t>tomorrow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next</w:t>
            </w:r>
            <w:proofErr w:type="spellEnd"/>
            <w:r>
              <w:rPr>
                <w:b/>
              </w:rPr>
              <w:t>)</w:t>
            </w:r>
            <w:r>
              <w:t>“ je KUFT, který je poskytnut následující Pracovní den po uzavření obchodu.</w:t>
            </w:r>
          </w:p>
        </w:tc>
      </w:tr>
    </w:tbl>
    <w:p w14:paraId="7191AFD1" w14:textId="77777777" w:rsidR="002A3091" w:rsidRPr="00FD7F91" w:rsidRDefault="002A3091" w:rsidP="00995BF1">
      <w:pPr>
        <w:rPr>
          <w:szCs w:val="18"/>
        </w:rPr>
      </w:pPr>
    </w:p>
    <w:sectPr w:rsidR="002A3091" w:rsidRPr="00FD7F91" w:rsidSect="00B64A9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134" w:bottom="1134" w:left="1134" w:header="45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96B6A" w14:textId="77777777" w:rsidR="00884282" w:rsidRDefault="00884282">
      <w:r>
        <w:separator/>
      </w:r>
    </w:p>
  </w:endnote>
  <w:endnote w:type="continuationSeparator" w:id="0">
    <w:p w14:paraId="51F1EC15" w14:textId="77777777" w:rsidR="00884282" w:rsidRDefault="0088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9A6306" w14:paraId="5F7E9EB6" w14:textId="77777777" w:rsidTr="009A6306">
      <w:trPr>
        <w:trHeight w:hRule="exact" w:val="907"/>
      </w:trPr>
      <w:tc>
        <w:tcPr>
          <w:tcW w:w="4820" w:type="dxa"/>
          <w:tcBorders>
            <w:top w:val="single" w:sz="6" w:space="0" w:color="C8C8C8"/>
            <w:left w:val="nil"/>
            <w:bottom w:val="nil"/>
            <w:right w:val="nil"/>
          </w:tcBorders>
          <w:vAlign w:val="bottom"/>
          <w:hideMark/>
        </w:tcPr>
        <w:p w14:paraId="46F482FC" w14:textId="77777777" w:rsidR="009A6306" w:rsidRDefault="009A6306" w:rsidP="009A6306">
          <w:pPr>
            <w:pStyle w:val="kbFixedtext"/>
          </w:pPr>
          <w:r>
            <w:t xml:space="preserve">Komerční banka, a. s., se sídlem: </w:t>
          </w:r>
        </w:p>
        <w:p w14:paraId="2D51C8ED" w14:textId="77777777" w:rsidR="009A6306" w:rsidRDefault="009A6306" w:rsidP="009A6306">
          <w:pPr>
            <w:pStyle w:val="kbFixedtext"/>
          </w:pPr>
          <w:r>
            <w:t>Praha 1, Na Příkopě 33 čp. 969, PSČ 114 07, IČO: 45317054</w:t>
          </w:r>
        </w:p>
        <w:p w14:paraId="3595FB99" w14:textId="77777777" w:rsidR="009A6306" w:rsidRDefault="009A6306" w:rsidP="009A6306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  <w:left w:val="nil"/>
            <w:bottom w:val="nil"/>
            <w:right w:val="nil"/>
          </w:tcBorders>
          <w:vAlign w:val="bottom"/>
          <w:hideMark/>
        </w:tcPr>
        <w:p w14:paraId="55E1EBB5" w14:textId="2EC8F379" w:rsidR="009A6306" w:rsidRDefault="009A6306" w:rsidP="009A6306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266A51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266A51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</w:p>
        <w:p w14:paraId="571C5166" w14:textId="77777777" w:rsidR="009A6306" w:rsidRDefault="009A6306" w:rsidP="009A6306">
          <w:pPr>
            <w:pStyle w:val="Registration"/>
            <w:jc w:val="right"/>
            <w:rPr>
              <w:szCs w:val="8"/>
            </w:rPr>
          </w:pPr>
          <w:r>
            <w:rPr>
              <w:szCs w:val="8"/>
            </w:rPr>
            <w:t xml:space="preserve">Datum účinnosti šablony </w:t>
          </w:r>
          <w:r w:rsidR="00FA5B1F">
            <w:rPr>
              <w:szCs w:val="8"/>
            </w:rPr>
            <w:t xml:space="preserve">19. </w:t>
          </w:r>
          <w:r w:rsidR="002038B1">
            <w:rPr>
              <w:szCs w:val="8"/>
            </w:rPr>
            <w:t>7</w:t>
          </w:r>
          <w:r w:rsidR="00FA5B1F">
            <w:rPr>
              <w:szCs w:val="8"/>
            </w:rPr>
            <w:t>. 2019</w:t>
          </w:r>
        </w:p>
        <w:p w14:paraId="746B9D4E" w14:textId="5AECB7A0" w:rsidR="009A6306" w:rsidRDefault="009A6306" w:rsidP="009A6306">
          <w:pPr>
            <w:pStyle w:val="Registration"/>
            <w:jc w:val="right"/>
          </w:pPr>
          <w:r>
            <w:t xml:space="preserve">VER F </w:t>
          </w:r>
          <w:r w:rsidR="00B471A2">
            <w:t>RASPRIL6</w:t>
          </w:r>
          <w:r w:rsidR="00B471A2" w:rsidRPr="00B471A2">
            <w:t>_NEW</w:t>
          </w:r>
          <w:r>
            <w:t xml:space="preserve">.doT </w:t>
          </w:r>
        </w:p>
      </w:tc>
    </w:tr>
  </w:tbl>
  <w:p w14:paraId="179BA32E" w14:textId="77777777" w:rsidR="00C06C20" w:rsidRPr="009A6306" w:rsidRDefault="00C06C20" w:rsidP="009A6306">
    <w:pPr>
      <w:pStyle w:val="Zpa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A58C7" w14:textId="77777777" w:rsidR="00C06C20" w:rsidRDefault="00C06C20">
    <w:pPr>
      <w:rPr>
        <w:sz w:val="16"/>
      </w:rPr>
    </w:pPr>
    <w:r>
      <w:t xml:space="preserve"> </w:t>
    </w:r>
    <w:r>
      <w:rPr>
        <w:sz w:val="16"/>
      </w:rPr>
      <w:tab/>
    </w:r>
    <w:r>
      <w:rPr>
        <w:sz w:val="16"/>
      </w:rPr>
      <w:tab/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 1</w:t>
    </w:r>
  </w:p>
  <w:p w14:paraId="7C0C9212" w14:textId="77777777" w:rsidR="00C06C20" w:rsidRDefault="00C06C20">
    <w:pPr>
      <w:rPr>
        <w:i/>
        <w:sz w:val="16"/>
        <w:lang w:val="en-GB"/>
      </w:rPr>
    </w:pPr>
    <w:r>
      <w:rPr>
        <w:i/>
        <w:sz w:val="16"/>
        <w:lang w:val="en-GB"/>
      </w:rPr>
      <w:tab/>
    </w:r>
    <w:r>
      <w:rPr>
        <w:i/>
        <w:sz w:val="16"/>
        <w:lang w:val="en-GB"/>
      </w:rPr>
      <w:tab/>
      <w:t xml:space="preserve">Page </w:t>
    </w:r>
    <w:r>
      <w:rPr>
        <w:i/>
        <w:sz w:val="16"/>
      </w:rPr>
      <w:fldChar w:fldCharType="begin"/>
    </w:r>
    <w:r>
      <w:rPr>
        <w:i/>
        <w:sz w:val="16"/>
      </w:rPr>
      <w:instrText xml:space="preserve"> PAGE  \* MERGEFORMAT </w:instrText>
    </w:r>
    <w:r>
      <w:rPr>
        <w:i/>
        <w:sz w:val="16"/>
      </w:rPr>
      <w:fldChar w:fldCharType="separate"/>
    </w:r>
    <w:r>
      <w:rPr>
        <w:i/>
        <w:noProof/>
        <w:sz w:val="16"/>
      </w:rPr>
      <w:t>1</w:t>
    </w:r>
    <w:r>
      <w:rPr>
        <w:i/>
        <w:sz w:val="16"/>
      </w:rPr>
      <w:fldChar w:fldCharType="end"/>
    </w:r>
    <w:r>
      <w:rPr>
        <w:i/>
        <w:sz w:val="16"/>
      </w:rPr>
      <w:t xml:space="preserve"> </w:t>
    </w:r>
    <w:r>
      <w:rPr>
        <w:i/>
        <w:sz w:val="16"/>
        <w:lang w:val="en-GB"/>
      </w:rPr>
      <w:t>of</w:t>
    </w:r>
    <w:r>
      <w:rPr>
        <w:i/>
        <w:sz w:val="16"/>
      </w:rPr>
      <w:t xml:space="preserve"> </w:t>
    </w:r>
    <w:r>
      <w:rPr>
        <w:i/>
        <w:sz w:val="16"/>
      </w:rPr>
      <w:fldChar w:fldCharType="begin"/>
    </w:r>
    <w:r>
      <w:rPr>
        <w:i/>
        <w:sz w:val="16"/>
      </w:rPr>
      <w:instrText xml:space="preserve"> SECTIONPAGES  \* MERGEFORMAT </w:instrText>
    </w:r>
    <w:r>
      <w:rPr>
        <w:i/>
        <w:sz w:val="16"/>
      </w:rPr>
      <w:fldChar w:fldCharType="separate"/>
    </w:r>
    <w:r>
      <w:rPr>
        <w:i/>
        <w:noProof/>
        <w:sz w:val="16"/>
      </w:rPr>
      <w:t>2</w:t>
    </w:r>
    <w:r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08A84" w14:textId="77777777" w:rsidR="00884282" w:rsidRDefault="00884282">
      <w:r>
        <w:separator/>
      </w:r>
    </w:p>
  </w:footnote>
  <w:footnote w:type="continuationSeparator" w:id="0">
    <w:p w14:paraId="14FBFB89" w14:textId="77777777" w:rsidR="00884282" w:rsidRDefault="0088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DE637B0"/>
    <w:lvl w:ilvl="0">
      <w:numFmt w:val="bullet"/>
      <w:lvlText w:val="*"/>
      <w:lvlJc w:val="left"/>
    </w:lvl>
  </w:abstractNum>
  <w:abstractNum w:abstractNumId="1" w15:restartNumberingAfterBreak="0">
    <w:nsid w:val="1E863F90"/>
    <w:multiLevelType w:val="singleLevel"/>
    <w:tmpl w:val="13ECBF9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color w:val="000000"/>
        <w:sz w:val="16"/>
      </w:rPr>
    </w:lvl>
  </w:abstractNum>
  <w:abstractNum w:abstractNumId="2" w15:restartNumberingAfterBreak="0">
    <w:nsid w:val="263D3BE5"/>
    <w:multiLevelType w:val="hybridMultilevel"/>
    <w:tmpl w:val="E9A290EE"/>
    <w:lvl w:ilvl="0" w:tplc="E3B4F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714B52"/>
    <w:multiLevelType w:val="singleLevel"/>
    <w:tmpl w:val="B2D879E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283"/>
        <w:lvlJc w:val="left"/>
        <w:pPr>
          <w:ind w:left="425" w:hanging="283"/>
        </w:pPr>
        <w:rPr>
          <w:rFonts w:ascii="Wingdings" w:hAnsi="Wingdings" w:hint="default"/>
          <w:sz w:val="14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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1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39"/>
    <w:rsid w:val="00022E60"/>
    <w:rsid w:val="00025806"/>
    <w:rsid w:val="00034E04"/>
    <w:rsid w:val="00051E46"/>
    <w:rsid w:val="000671A1"/>
    <w:rsid w:val="00090A23"/>
    <w:rsid w:val="0009699A"/>
    <w:rsid w:val="000C0927"/>
    <w:rsid w:val="000D03D4"/>
    <w:rsid w:val="000D47E4"/>
    <w:rsid w:val="000F12D9"/>
    <w:rsid w:val="00133358"/>
    <w:rsid w:val="001763AA"/>
    <w:rsid w:val="00182D56"/>
    <w:rsid w:val="001834A2"/>
    <w:rsid w:val="001930E4"/>
    <w:rsid w:val="001A2106"/>
    <w:rsid w:val="001B1FA6"/>
    <w:rsid w:val="001D4EB9"/>
    <w:rsid w:val="001E58AF"/>
    <w:rsid w:val="001E74BC"/>
    <w:rsid w:val="00200EB4"/>
    <w:rsid w:val="00202129"/>
    <w:rsid w:val="002038B1"/>
    <w:rsid w:val="00215A53"/>
    <w:rsid w:val="00233A3C"/>
    <w:rsid w:val="00237208"/>
    <w:rsid w:val="00257045"/>
    <w:rsid w:val="00266A51"/>
    <w:rsid w:val="002A3091"/>
    <w:rsid w:val="002A309C"/>
    <w:rsid w:val="002B0546"/>
    <w:rsid w:val="002B2624"/>
    <w:rsid w:val="002B5C09"/>
    <w:rsid w:val="002C3CA9"/>
    <w:rsid w:val="00310B3F"/>
    <w:rsid w:val="003138B1"/>
    <w:rsid w:val="00334757"/>
    <w:rsid w:val="0033780B"/>
    <w:rsid w:val="0034173E"/>
    <w:rsid w:val="003426B7"/>
    <w:rsid w:val="0036011F"/>
    <w:rsid w:val="00364976"/>
    <w:rsid w:val="00393B71"/>
    <w:rsid w:val="003943F2"/>
    <w:rsid w:val="003D3BDB"/>
    <w:rsid w:val="003D4F11"/>
    <w:rsid w:val="003E3C6D"/>
    <w:rsid w:val="003F2511"/>
    <w:rsid w:val="003F30C9"/>
    <w:rsid w:val="004007AF"/>
    <w:rsid w:val="00417DCD"/>
    <w:rsid w:val="004310D3"/>
    <w:rsid w:val="0043311B"/>
    <w:rsid w:val="00456847"/>
    <w:rsid w:val="00457739"/>
    <w:rsid w:val="00470FF8"/>
    <w:rsid w:val="00490DA0"/>
    <w:rsid w:val="00491815"/>
    <w:rsid w:val="004A1804"/>
    <w:rsid w:val="004D4EA2"/>
    <w:rsid w:val="004D61C7"/>
    <w:rsid w:val="00515EE2"/>
    <w:rsid w:val="005239FB"/>
    <w:rsid w:val="005374E6"/>
    <w:rsid w:val="005452E0"/>
    <w:rsid w:val="005642E2"/>
    <w:rsid w:val="00571C1E"/>
    <w:rsid w:val="0057218D"/>
    <w:rsid w:val="00593E2C"/>
    <w:rsid w:val="005B503B"/>
    <w:rsid w:val="005C6CC1"/>
    <w:rsid w:val="005C7CF9"/>
    <w:rsid w:val="005D453A"/>
    <w:rsid w:val="005F360D"/>
    <w:rsid w:val="00601597"/>
    <w:rsid w:val="00621F2C"/>
    <w:rsid w:val="00627429"/>
    <w:rsid w:val="00631EE0"/>
    <w:rsid w:val="00640CF8"/>
    <w:rsid w:val="006444B3"/>
    <w:rsid w:val="00651B61"/>
    <w:rsid w:val="00660F88"/>
    <w:rsid w:val="00663E4F"/>
    <w:rsid w:val="0068003C"/>
    <w:rsid w:val="006807CB"/>
    <w:rsid w:val="00684DFB"/>
    <w:rsid w:val="0069014B"/>
    <w:rsid w:val="006B13AC"/>
    <w:rsid w:val="006C0CF7"/>
    <w:rsid w:val="006C33D9"/>
    <w:rsid w:val="006E3FB5"/>
    <w:rsid w:val="006E71A0"/>
    <w:rsid w:val="007112A5"/>
    <w:rsid w:val="007131A3"/>
    <w:rsid w:val="0073352F"/>
    <w:rsid w:val="0073711B"/>
    <w:rsid w:val="0074172C"/>
    <w:rsid w:val="00761C64"/>
    <w:rsid w:val="007667F9"/>
    <w:rsid w:val="0077526E"/>
    <w:rsid w:val="00775758"/>
    <w:rsid w:val="007A5528"/>
    <w:rsid w:val="007B2C69"/>
    <w:rsid w:val="007C0383"/>
    <w:rsid w:val="007C289D"/>
    <w:rsid w:val="007D3753"/>
    <w:rsid w:val="00844CD0"/>
    <w:rsid w:val="00846F4C"/>
    <w:rsid w:val="00860064"/>
    <w:rsid w:val="00876E13"/>
    <w:rsid w:val="00884282"/>
    <w:rsid w:val="00890FC9"/>
    <w:rsid w:val="00895FB7"/>
    <w:rsid w:val="008B1C33"/>
    <w:rsid w:val="008B5EF2"/>
    <w:rsid w:val="00911179"/>
    <w:rsid w:val="00911592"/>
    <w:rsid w:val="00911FD2"/>
    <w:rsid w:val="00913AF6"/>
    <w:rsid w:val="00916EC0"/>
    <w:rsid w:val="009177B5"/>
    <w:rsid w:val="00971B31"/>
    <w:rsid w:val="00987D87"/>
    <w:rsid w:val="009942FE"/>
    <w:rsid w:val="00995A3E"/>
    <w:rsid w:val="00995BF1"/>
    <w:rsid w:val="009A5801"/>
    <w:rsid w:val="009A6306"/>
    <w:rsid w:val="009A7D50"/>
    <w:rsid w:val="009B1C49"/>
    <w:rsid w:val="009B20C8"/>
    <w:rsid w:val="009C736D"/>
    <w:rsid w:val="009D0DED"/>
    <w:rsid w:val="009D4885"/>
    <w:rsid w:val="009E5D39"/>
    <w:rsid w:val="009E687B"/>
    <w:rsid w:val="00A02434"/>
    <w:rsid w:val="00A0310A"/>
    <w:rsid w:val="00A04FE6"/>
    <w:rsid w:val="00A061E5"/>
    <w:rsid w:val="00A21EB8"/>
    <w:rsid w:val="00A4471B"/>
    <w:rsid w:val="00A83F91"/>
    <w:rsid w:val="00A94AED"/>
    <w:rsid w:val="00A95728"/>
    <w:rsid w:val="00AA2C30"/>
    <w:rsid w:val="00AF50B2"/>
    <w:rsid w:val="00B471A2"/>
    <w:rsid w:val="00B507ED"/>
    <w:rsid w:val="00B571B6"/>
    <w:rsid w:val="00B609BB"/>
    <w:rsid w:val="00B61AF4"/>
    <w:rsid w:val="00B64A91"/>
    <w:rsid w:val="00BA5B25"/>
    <w:rsid w:val="00BC1EDC"/>
    <w:rsid w:val="00BD6BF1"/>
    <w:rsid w:val="00BE4B79"/>
    <w:rsid w:val="00BE567E"/>
    <w:rsid w:val="00BE5E3E"/>
    <w:rsid w:val="00BE7B43"/>
    <w:rsid w:val="00C06C20"/>
    <w:rsid w:val="00C16332"/>
    <w:rsid w:val="00C23DE4"/>
    <w:rsid w:val="00C279A4"/>
    <w:rsid w:val="00C449E6"/>
    <w:rsid w:val="00C5093D"/>
    <w:rsid w:val="00C56F2F"/>
    <w:rsid w:val="00C8366F"/>
    <w:rsid w:val="00C92585"/>
    <w:rsid w:val="00C92890"/>
    <w:rsid w:val="00CA0D14"/>
    <w:rsid w:val="00CA418A"/>
    <w:rsid w:val="00CA7F4F"/>
    <w:rsid w:val="00CE7EA5"/>
    <w:rsid w:val="00CF501E"/>
    <w:rsid w:val="00D10BDB"/>
    <w:rsid w:val="00D15854"/>
    <w:rsid w:val="00D268E4"/>
    <w:rsid w:val="00D573ED"/>
    <w:rsid w:val="00D75121"/>
    <w:rsid w:val="00D926CB"/>
    <w:rsid w:val="00DC6533"/>
    <w:rsid w:val="00DD0E30"/>
    <w:rsid w:val="00DE1A4E"/>
    <w:rsid w:val="00E01D03"/>
    <w:rsid w:val="00E02292"/>
    <w:rsid w:val="00E0700A"/>
    <w:rsid w:val="00E513D1"/>
    <w:rsid w:val="00E6546D"/>
    <w:rsid w:val="00E65BC0"/>
    <w:rsid w:val="00E93D04"/>
    <w:rsid w:val="00EA376D"/>
    <w:rsid w:val="00EA5F19"/>
    <w:rsid w:val="00EA63F9"/>
    <w:rsid w:val="00EC0BE0"/>
    <w:rsid w:val="00EC2AC9"/>
    <w:rsid w:val="00EE41AC"/>
    <w:rsid w:val="00EF049A"/>
    <w:rsid w:val="00F5375A"/>
    <w:rsid w:val="00F904E8"/>
    <w:rsid w:val="00FA5B1F"/>
    <w:rsid w:val="00FB2931"/>
    <w:rsid w:val="00FB7E8C"/>
    <w:rsid w:val="00FC2855"/>
    <w:rsid w:val="00FC6055"/>
    <w:rsid w:val="00FD28C5"/>
    <w:rsid w:val="00FD7F91"/>
    <w:rsid w:val="00FE430E"/>
    <w:rsid w:val="00FF22E4"/>
    <w:rsid w:val="00FF649C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C343C"/>
  <w15:chartTrackingRefBased/>
  <w15:docId w15:val="{8FF6CD81-8022-4441-819D-ABBF435D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pPr>
      <w:spacing w:before="240"/>
      <w:ind w:left="709" w:hanging="709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spacing w:before="240"/>
      <w:ind w:left="709" w:hanging="709"/>
      <w:outlineLvl w:val="1"/>
    </w:pPr>
  </w:style>
  <w:style w:type="paragraph" w:styleId="Nadpis3">
    <w:name w:val="heading 3"/>
    <w:basedOn w:val="Normln"/>
    <w:next w:val="Normln"/>
    <w:qFormat/>
    <w:pPr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glicky-tabulka">
    <w:name w:val="Anglicky - tabulka"/>
    <w:basedOn w:val="Normln"/>
    <w:rsid w:val="00844CD0"/>
    <w:pPr>
      <w:spacing w:before="60"/>
    </w:pPr>
    <w:rPr>
      <w:i/>
      <w:iCs/>
      <w:color w:val="808080"/>
      <w:szCs w:val="18"/>
      <w:lang w:val="en-GB"/>
    </w:rPr>
  </w:style>
  <w:style w:type="paragraph" w:styleId="Normlnodsazen">
    <w:name w:val="Normal Indent"/>
    <w:basedOn w:val="Normln"/>
    <w:pPr>
      <w:spacing w:before="120"/>
      <w:ind w:left="709"/>
    </w:pPr>
  </w:style>
  <w:style w:type="paragraph" w:styleId="Zhlav">
    <w:name w:val="header"/>
    <w:basedOn w:val="Normln"/>
    <w:rsid w:val="005239FB"/>
    <w:rPr>
      <w:sz w:val="16"/>
    </w:rPr>
  </w:style>
  <w:style w:type="paragraph" w:styleId="Zpat">
    <w:name w:val="footer"/>
    <w:basedOn w:val="Normln"/>
    <w:rsid w:val="005239FB"/>
    <w:rPr>
      <w:sz w:val="16"/>
    </w:rPr>
  </w:style>
  <w:style w:type="character" w:styleId="Odkaznakoment">
    <w:name w:val="annotation reference"/>
    <w:uiPriority w:val="99"/>
    <w:semiHidden/>
    <w:rPr>
      <w:sz w:val="16"/>
    </w:rPr>
  </w:style>
  <w:style w:type="paragraph" w:styleId="Textkomente">
    <w:name w:val="annotation text"/>
    <w:basedOn w:val="Normln"/>
    <w:link w:val="TextkomenteChar"/>
    <w:uiPriority w:val="99"/>
    <w:rPr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Pedmtkomente">
    <w:name w:val="annotation subject"/>
    <w:basedOn w:val="Textkomente"/>
    <w:next w:val="Textkomente"/>
    <w:semiHidden/>
    <w:rsid w:val="00911179"/>
    <w:rPr>
      <w:b/>
      <w:bCs/>
    </w:rPr>
  </w:style>
  <w:style w:type="paragraph" w:styleId="Textbubliny">
    <w:name w:val="Balloon Text"/>
    <w:basedOn w:val="Normln"/>
    <w:semiHidden/>
    <w:rsid w:val="0091117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F649C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E74BC"/>
    <w:rPr>
      <w:rFonts w:ascii="Arial" w:hAnsi="Arial"/>
      <w:sz w:val="18"/>
    </w:rPr>
  </w:style>
  <w:style w:type="character" w:customStyle="1" w:styleId="TextkomenteChar">
    <w:name w:val="Text komentáře Char"/>
    <w:link w:val="Textkomente"/>
    <w:uiPriority w:val="99"/>
    <w:rsid w:val="00FD7F91"/>
    <w:rPr>
      <w:rFonts w:ascii="Arial" w:hAnsi="Arial"/>
    </w:rPr>
  </w:style>
  <w:style w:type="paragraph" w:customStyle="1" w:styleId="KBEcisl2">
    <w:name w:val="KBE_cisl_2"/>
    <w:basedOn w:val="Nadpis2"/>
    <w:link w:val="KBEcisl2Char"/>
    <w:qFormat/>
    <w:rsid w:val="00200EB4"/>
    <w:pPr>
      <w:spacing w:before="0" w:after="120"/>
      <w:ind w:left="425" w:hanging="425"/>
    </w:pPr>
    <w:rPr>
      <w:bCs/>
      <w:szCs w:val="18"/>
      <w:lang w:val="x-none" w:eastAsia="x-none"/>
    </w:rPr>
  </w:style>
  <w:style w:type="character" w:customStyle="1" w:styleId="KBEcisl2Char">
    <w:name w:val="KBE_cisl_2 Char"/>
    <w:link w:val="KBEcisl2"/>
    <w:rsid w:val="00200EB4"/>
    <w:rPr>
      <w:rFonts w:ascii="Arial" w:hAnsi="Arial"/>
      <w:bCs/>
      <w:sz w:val="18"/>
      <w:szCs w:val="18"/>
      <w:lang w:val="x-none" w:eastAsia="x-none"/>
    </w:rPr>
  </w:style>
  <w:style w:type="character" w:styleId="Hypertextovodkaz">
    <w:name w:val="Hyperlink"/>
    <w:unhideWhenUsed/>
    <w:rsid w:val="006E71A0"/>
    <w:rPr>
      <w:color w:val="0000FF"/>
      <w:u w:val="single"/>
    </w:rPr>
  </w:style>
  <w:style w:type="paragraph" w:customStyle="1" w:styleId="kbFixedtext">
    <w:name w:val="kb_Fixed_text"/>
    <w:basedOn w:val="Normln"/>
    <w:rsid w:val="009A6306"/>
    <w:pPr>
      <w:spacing w:before="40"/>
      <w:ind w:left="227" w:hanging="227"/>
      <w:textAlignment w:val="auto"/>
    </w:pPr>
    <w:rPr>
      <w:sz w:val="16"/>
    </w:rPr>
  </w:style>
  <w:style w:type="paragraph" w:customStyle="1" w:styleId="kbRegistration">
    <w:name w:val="kb_Registration"/>
    <w:basedOn w:val="Normln"/>
    <w:rsid w:val="009A6306"/>
    <w:pPr>
      <w:spacing w:before="40"/>
      <w:ind w:left="227" w:hanging="227"/>
      <w:textAlignment w:val="auto"/>
    </w:pPr>
    <w:rPr>
      <w:caps/>
      <w:sz w:val="8"/>
    </w:rPr>
  </w:style>
  <w:style w:type="paragraph" w:customStyle="1" w:styleId="Registration">
    <w:name w:val="Registration"/>
    <w:basedOn w:val="Normln"/>
    <w:rsid w:val="009A6306"/>
    <w:pPr>
      <w:spacing w:before="40"/>
      <w:ind w:left="227" w:hanging="227"/>
      <w:textAlignment w:val="auto"/>
    </w:pPr>
    <w:rPr>
      <w:caps/>
      <w:sz w:val="8"/>
    </w:rPr>
  </w:style>
  <w:style w:type="character" w:styleId="slostrnky">
    <w:name w:val="page number"/>
    <w:semiHidden/>
    <w:unhideWhenUsed/>
    <w:rsid w:val="009A6306"/>
    <w:rPr>
      <w:rFonts w:ascii="Arial" w:hAnsi="Arial" w:cs="Arial" w:hint="default"/>
      <w:sz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B2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8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jebanka.cz/SecureComm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jzizka\Local%20Settings\Temp\www.k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RASPRIL6_NEW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RASPRIL6_NEW.dot</Template>
  <TotalTime>0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Kontaktní údaje a další definice pro krátkodobé úvěry na finančním trhu</vt:lpstr>
    </vt:vector>
  </TitlesOfParts>
  <Company>Komerční banka, a.s.</Company>
  <LinksUpToDate>false</LinksUpToDate>
  <CharactersWithSpaces>2000</CharactersWithSpaces>
  <SharedDoc>false</SharedDoc>
  <HLinks>
    <vt:vector size="12" baseType="variant">
      <vt:variant>
        <vt:i4>6225937</vt:i4>
      </vt:variant>
      <vt:variant>
        <vt:i4>18</vt:i4>
      </vt:variant>
      <vt:variant>
        <vt:i4>0</vt:i4>
      </vt:variant>
      <vt:variant>
        <vt:i4>5</vt:i4>
      </vt:variant>
      <vt:variant>
        <vt:lpwstr>https://www.mojebanka.cz/SecureComm/</vt:lpwstr>
      </vt:variant>
      <vt:variant>
        <vt:lpwstr/>
      </vt:variant>
      <vt:variant>
        <vt:i4>6291549</vt:i4>
      </vt:variant>
      <vt:variant>
        <vt:i4>15</vt:i4>
      </vt:variant>
      <vt:variant>
        <vt:i4>0</vt:i4>
      </vt:variant>
      <vt:variant>
        <vt:i4>5</vt:i4>
      </vt:variant>
      <vt:variant>
        <vt:lpwstr>C:\Documents and Settings\jzizka\Local Settings\Temp\www.kb.cz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Kontaktní údaje a další definice pro krátkodobé úvěry na finančním trhu</dc:title>
  <dc:subject/>
  <dc:creator>Krejci Gabriela</dc:creator>
  <cp:keywords/>
  <dc:description/>
  <cp:lastModifiedBy>František Kropáč</cp:lastModifiedBy>
  <cp:revision>2</cp:revision>
  <cp:lastPrinted>2003-02-13T08:20:00Z</cp:lastPrinted>
  <dcterms:created xsi:type="dcterms:W3CDTF">2026-03-23T08:53:00Z</dcterms:created>
  <dcterms:modified xsi:type="dcterms:W3CDTF">2026-03-23T08:53:00Z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2026-02-12T12:24:16Z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49f4c8de-0da8-48ea-8336-b8ccd2a081ad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