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534160" distL="114300" distR="1195705" simplePos="0" relativeHeight="125829378" behindDoc="0" locked="0" layoutInCell="1" allowOverlap="1">
            <wp:simplePos x="0" y="0"/>
            <wp:positionH relativeFrom="page">
              <wp:posOffset>497840</wp:posOffset>
            </wp:positionH>
            <wp:positionV relativeFrom="paragraph">
              <wp:posOffset>12700</wp:posOffset>
            </wp:positionV>
            <wp:extent cx="1649730" cy="133350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49730" cy="13335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1373505</wp:posOffset>
                </wp:positionV>
                <wp:extent cx="2527300" cy="43751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27300" cy="4375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POH/12208/2026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.25pt;margin-top:108.15000000000001pt;width:199.pt;height:34.45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POH/12208/2026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905000" distB="0" distL="318135" distR="114300" simplePos="0" relativeHeight="125829379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1917700</wp:posOffset>
                </wp:positionV>
                <wp:extent cx="2527300" cy="96329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27300" cy="963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  <w:tab/>
                              <w:t>…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  <w:tab/>
                              <w:t>…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</w:t>
                              <w:tab/>
                              <w:t>…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0" w:val="left"/>
                              </w:tabs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  <w:tab/>
                              <w:t>…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2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17.03.2026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Kontaktní adresa: Povodí Ohře, státní podnik, ….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25pt;margin-top:151.pt;width:199.pt;height:75.850000000000009pt;z-index:-125829374;mso-wrap-distance-left:25.050000000000001pt;mso-wrap-distance-top:150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  <w:tab/>
                        <w:t>…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  <w:tab/>
                        <w:t>…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</w:t>
                        <w:tab/>
                        <w:t>…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0" w:val="left"/>
                        </w:tabs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  <w:tab/>
                        <w:t>…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2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17.03.2026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Kontaktní adresa: Povodí Ohře, státní podnik, ….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6245860</wp:posOffset>
            </wp:positionH>
            <wp:positionV relativeFrom="paragraph">
              <wp:posOffset>461645</wp:posOffset>
            </wp:positionV>
            <wp:extent cx="953770" cy="771525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Horyna Petr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Valkeřická 536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52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407 22 Benešov nad Ploučnicí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7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302999/647/2026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7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15.04.2026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7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99 500,00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7" w:val="left"/>
        </w:tabs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19330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Vaší cenové nabídky ze dne 9.3. 2026 (viz příloha)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11 ks nebezpečných stromů, které tvoří břehový porost vodního toku Svitávka a svým stavem ohrožují přilehlé pozemky a majetek.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Předmětné stromy byly označeny a následně Vám ukázány fyzicky v terénu. Jedná se o kácení stromů v intravilánu obce Mařenice u č. p. 251, č. p. 117, č. p. 5, č. p. 17 a č. p. 84.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rizikové práce s předpokladem využití horolezecké techniky: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740" w:right="0" w:firstLine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kácení 2 ks olše o průměru kmene 40 a 54 cm,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1 ks javoru o průměru kmene 42 cm,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33" w:lineRule="auto"/>
        <w:ind w:left="0" w:right="0" w:firstLine="74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kácení 8 ks jasanů o průměru kmene 28, 2x 30, 2x 44, 2x 58 a 66 cm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Dřevní hmotu o celkovém objemu 14,2 plm odkoupí zhotovitel za částku 9 230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(1 plm/650 Kč bez DPH). Cena za práce bude uhrazena po vzájemném zápočtu vystavených faktur (zhotovitelem za provedené práce a objednatelem za výkup dřevní hmoty).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Nevyužitelná dřevní hmota bude likvidována dle platné legislativy. Po skončení prací bude místo uvedeno do náležitého stavu.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Potřebné vstupy na soukromé pozemky pro provedení předmětných prací si zajišťuje zhotovitel. Veškeré škody na cizím majetku jdou k tíži zhotovitele.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 prací seznámil zhotovitele s možnými riziky při provádění zadaných prací.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faktuře uveďte číslo objednávky a tyto údaje o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497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</w:t>
      </w:r>
    </w:p>
    <w:sectPr>
      <w:footnotePr>
        <w:pos w:val="pageBottom"/>
        <w:numFmt w:val="decimal"/>
        <w:numRestart w:val="continuous"/>
      </w:footnotePr>
      <w:pgSz w:w="11909" w:h="16840"/>
      <w:pgMar w:top="335" w:left="1105" w:right="819" w:bottom="335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