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Příloha č. 4 SOD č. 324/2026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 VE VZTAHU K MEZINÁRODNÍM SANKCÍM</w:t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zakázky / veřejné zakázky: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DVT Otročínský potok - II. etapa revitalizace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Identifikační údaje vybraného dodavatele:</w:t>
      </w:r>
    </w:p>
    <w:tbl>
      <w:tblPr>
        <w:tblOverlap w:val="never"/>
        <w:jc w:val="center"/>
        <w:tblLayout w:type="fixed"/>
      </w:tblPr>
      <w:tblGrid>
        <w:gridCol w:w="4166"/>
        <w:gridCol w:w="5021"/>
      </w:tblGrid>
      <w:tr>
        <w:trPr>
          <w:trHeight w:val="40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Obchodní firma / název / jméno a příjmení: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RRR spol. s r.o.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254 10 946</w:t>
            </w:r>
          </w:p>
        </w:tc>
      </w:tr>
    </w:tbl>
    <w:p>
      <w:pPr>
        <w:widowControl w:val="0"/>
        <w:spacing w:after="25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Vybraný dodavatel tímto ve vztahu k výše nadepsané zakázce / veřejné zakázky prohlašuje, že: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320" w:right="0" w:hanging="32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v rozsahu více než 10 % nabídkové ceny,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88" w:val="left"/>
        </w:tabs>
        <w:bidi w:val="0"/>
        <w:spacing w:before="0" w:after="0" w:line="312" w:lineRule="auto"/>
        <w:ind w:left="620" w:right="0" w:hanging="30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ruským státním příslušníkem, fyzickou či právnickou osobou nebo subjektem či orgánem se sídlem v Rusku,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88" w:val="left"/>
        </w:tabs>
        <w:bidi w:val="0"/>
        <w:spacing w:before="0" w:after="0" w:line="312" w:lineRule="auto"/>
        <w:ind w:left="0" w:right="0" w:firstLine="32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z více než 50 % přímo či nepřímo vlastněn některým ze subjektů uvedených v písmeni a), ani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88" w:val="left"/>
        </w:tabs>
        <w:bidi w:val="0"/>
        <w:spacing w:before="0" w:after="0" w:line="312" w:lineRule="auto"/>
        <w:ind w:left="0" w:right="0" w:firstLine="320"/>
        <w:jc w:val="both"/>
      </w:pPr>
      <w:bookmarkStart w:id="3" w:name="bookmark3"/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nejedná jménem nebo na pokyn některého ze subjektů uvedených v písmeni a) nebo b)</w:t>
      </w:r>
      <w:hyperlink w:anchor="bookmark0" w:tooltip="Current Document">
        <w:r>
          <w:rPr>
            <w:color w:val="000000"/>
            <w:spacing w:val="0"/>
            <w:w w:val="100"/>
            <w:position w:val="0"/>
            <w:shd w:val="clear" w:color="auto" w:fill="auto"/>
            <w:vertAlign w:val="superscript"/>
            <w:lang w:val="cs-CZ" w:eastAsia="cs-CZ" w:bidi="cs-CZ"/>
          </w:rPr>
          <w:footnoteReference w:id="2"/>
        </w:r>
      </w:hyperlink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;</w:t>
      </w:r>
      <w:bookmarkEnd w:id="3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320" w:right="0" w:hanging="32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Ukrajiny, nařízení Rady (EU) č. 208/2014, o omezujících opatřeních vůči některým osobám, subjektům, orgánům vzhledem k situaci na Ukrajině, nebo nařízení Rady (ES) č. 765/2006 ze dne 18. května 2006 o omezujících opatřeních vůči prezidentu Lukašenkovi a některým představitelům Běloruska;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/>
        <w:ind w:left="320" w:right="0" w:hanging="32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žádné finanční prostředky, které obdrží za plnění zakázky / veřejné zakázky, přímo ani nepřímo nezpřístupní fyzickým nebo právnickým osobám, subjektům či orgánům s nimi spojeným nebo v jejich prospěch uvedeným v sankčním seznamu v příloze nařízení Rady (EU) č. 269/2014 nebo nařízení Rady (ES) č. 765/2006.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both"/>
      </w:pPr>
      <w:bookmarkStart w:id="5" w:name="bookmark5"/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 11.2.2026</w:t>
      </w:r>
      <w:bookmarkEnd w:id="5"/>
      <w:bookmarkEnd w:id="6"/>
      <w:bookmarkEnd w:id="7"/>
    </w:p>
    <w:p>
      <w:pPr>
        <w:pStyle w:val="Style4"/>
        <w:keepNext w:val="0"/>
        <w:keepLines w:val="0"/>
        <w:widowControl w:val="0"/>
        <w:shd w:val="clear" w:color="auto" w:fill="auto"/>
        <w:tabs>
          <w:tab w:leader="dot" w:pos="482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26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</w:t>
      </w:r>
    </w:p>
    <w:sectPr>
      <w:footnotePr>
        <w:pos w:val="pageBottom"/>
        <w:numFmt w:val="upperRoman"/>
        <w:numStart w:val="1"/>
        <w:numRestart w:val="continuous"/>
        <w15:footnoteColumns w:val="1"/>
      </w:footnotePr>
      <w:pgSz w:w="11909" w:h="16838"/>
      <w:pgMar w:top="1320" w:left="1365" w:right="1346" w:bottom="904" w:header="892" w:footer="47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hyperlink w:anchor="bookmark3" w:tooltip="Current Document">
        <w:bookmarkStart w:id="0" w:name="bookmark0"/>
        <w:r>
          <w:rPr>
            <w:color w:val="000000"/>
            <w:spacing w:val="0"/>
            <w:w w:val="100"/>
            <w:position w:val="0"/>
            <w:shd w:val="clear" w:color="auto" w:fill="auto"/>
            <w:lang w:val="cs-CZ" w:eastAsia="cs-CZ" w:bidi="cs-CZ"/>
          </w:rPr>
          <w:footnoteRef/>
        </w:r>
      </w:hyperlink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V 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 čestného prohlášení vynechat.</w:t>
      </w:r>
      <w:bookmarkEnd w:id="0"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95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line="30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line="30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520" w:line="298" w:lineRule="auto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Bc. Michaela Dohnalová</dc:creator>
  <cp:keywords/>
</cp:coreProperties>
</file>