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454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SOD č. 324/2026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  <w:bookmarkEnd w:id="0"/>
    </w:p>
    <w:tbl>
      <w:tblPr>
        <w:tblOverlap w:val="never"/>
        <w:jc w:val="left"/>
        <w:tblLayout w:type="fixed"/>
      </w:tblPr>
      <w:tblGrid>
        <w:gridCol w:w="1598"/>
        <w:gridCol w:w="6754"/>
      </w:tblGrid>
      <w:tr>
        <w:trPr>
          <w:trHeight w:val="67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Zakázka: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2"/>
                <w:szCs w:val="22"/>
              </w:rPr>
            </w:pPr>
            <w:bookmarkStart w:id="1" w:name="bookmark1"/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DVT Otročínský potok - II. etapa revitalizace</w:t>
            </w:r>
            <w:bookmarkEnd w:id="1"/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2"/>
                <w:szCs w:val="22"/>
              </w:rPr>
            </w:pPr>
            <w:bookmarkStart w:id="2" w:name="bookmark2"/>
            <w:bookmarkStart w:id="3" w:name="bookmark3"/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Povodí Ohře, státní podnik, Bezručova 4219, 430 03 Chomutov</w:t>
            </w:r>
            <w:bookmarkEnd w:id="2"/>
            <w:bookmarkEnd w:id="3"/>
          </w:p>
        </w:tc>
      </w:tr>
    </w:tbl>
    <w:p>
      <w:pPr>
        <w:widowControl w:val="0"/>
        <w:spacing w:after="6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RRR spol. s r.o., se sídlem 17.listopadu 5349, 430 04 Chomutov, IČ: 254 10 946, za kterého jedná jednatel 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1" w:val="left"/>
        </w:tabs>
        <w:bidi w:val="0"/>
        <w:spacing w:before="0" w:after="0" w:line="240" w:lineRule="auto"/>
        <w:ind w:left="74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1" w:val="left"/>
        </w:tabs>
        <w:bidi w:val="0"/>
        <w:spacing w:before="0" w:after="0" w:line="240" w:lineRule="auto"/>
        <w:ind w:left="740" w:right="0" w:hanging="28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1" w:val="left"/>
        </w:tabs>
        <w:bidi w:val="0"/>
        <w:spacing w:before="0" w:after="0" w:line="240" w:lineRule="auto"/>
        <w:ind w:left="740" w:right="0" w:hanging="28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80" w:val="left"/>
        </w:tabs>
        <w:bidi w:val="0"/>
        <w:spacing w:before="0" w:after="0" w:line="240" w:lineRule="auto"/>
        <w:ind w:left="0" w:right="0" w:firstLine="54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18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1" w:val="left"/>
        </w:tabs>
        <w:bidi w:val="0"/>
        <w:spacing w:before="0" w:after="0" w:line="240" w:lineRule="auto"/>
        <w:ind w:left="740" w:right="0" w:hanging="280"/>
        <w:jc w:val="both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3966845</wp:posOffset>
                </wp:positionH>
                <wp:positionV relativeFrom="paragraph">
                  <wp:posOffset>279400</wp:posOffset>
                </wp:positionV>
                <wp:extent cx="2438400" cy="2286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3840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39" w:val="left"/>
                                <w:tab w:pos="378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Podpis:</w:t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2.35000000000002pt;margin-top:22.pt;width:192.pt;height:18.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39" w:val="left"/>
                          <w:tab w:pos="378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Podpis:</w:t>
                        <w:tab/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050" w:val="left"/>
          <w:tab w:pos="6394" w:val="left"/>
          <w:tab w:leader="dot" w:pos="8837" w:val="left"/>
        </w:tabs>
        <w:bidi w:val="0"/>
        <w:spacing w:before="0" w:after="0" w:line="214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  <w:t>Podpis:</w:t>
        <w:tab/>
        <w:tab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90500" distB="0" distL="0" distR="0" simplePos="0" relativeHeight="125829380" behindDoc="0" locked="0" layoutInCell="1" allowOverlap="1">
                <wp:simplePos x="0" y="0"/>
                <wp:positionH relativeFrom="page">
                  <wp:posOffset>1686560</wp:posOffset>
                </wp:positionH>
                <wp:positionV relativeFrom="paragraph">
                  <wp:posOffset>190500</wp:posOffset>
                </wp:positionV>
                <wp:extent cx="1847215" cy="22860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4721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85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32.80000000000001pt;margin-top:15.pt;width:145.45000000000002pt;height:18.pt;z-index:-125829373;mso-wrap-distance-left:0;mso-wrap-distance-top:1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85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0500" distB="0" distL="0" distR="0" simplePos="0" relativeHeight="125829382" behindDoc="0" locked="0" layoutInCell="1" allowOverlap="1">
                <wp:simplePos x="0" y="0"/>
                <wp:positionH relativeFrom="page">
                  <wp:posOffset>4819650</wp:posOffset>
                </wp:positionH>
                <wp:positionV relativeFrom="paragraph">
                  <wp:posOffset>190500</wp:posOffset>
                </wp:positionV>
                <wp:extent cx="1584960" cy="22860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496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43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79.5pt;margin-top:15.pt;width:124.8pt;height:18.pt;z-index:-125829371;mso-wrap-distance-left:0;mso-wrap-distance-top:1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4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tbl>
      <w:tblPr>
        <w:tblOverlap w:val="never"/>
        <w:jc w:val="left"/>
        <w:tblLayout w:type="fixed"/>
      </w:tblPr>
      <w:tblGrid>
        <w:gridCol w:w="1114"/>
        <w:gridCol w:w="7786"/>
      </w:tblGrid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8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Razítko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tabs>
                <w:tab w:pos="4061" w:val="left"/>
                <w:tab w:pos="5290" w:val="left"/>
                <w:tab w:leader="dot" w:pos="7733" w:val="left"/>
              </w:tabs>
              <w:bidi w:val="0"/>
              <w:spacing w:before="0" w:after="0" w:line="240" w:lineRule="auto"/>
              <w:ind w:left="0" w:right="0" w:firstLine="3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11.2.2026</w:t>
              <w:tab/>
              <w:t>:</w:t>
              <w:tab/>
              <w:tab/>
            </w:r>
          </w:p>
        </w:tc>
      </w:tr>
    </w:tbl>
    <w:p>
      <w:p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171" w:left="1087" w:right="1044" w:bottom="3275" w:header="743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framePr w:w="293" w:h="288" w:wrap="none" w:hAnchor="page" w:x="1054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2/2</w:t>
      </w:r>
    </w:p>
    <w:p>
      <w:pPr>
        <w:widowControl w:val="0"/>
        <w:spacing w:after="287" w:line="1" w:lineRule="exact"/>
      </w:pPr>
    </w:p>
    <w:p>
      <w:pPr>
        <w:widowControl w:val="0"/>
        <w:spacing w:line="1" w:lineRule="exact"/>
      </w:pPr>
    </w:p>
    <w:sectPr>
      <w:footerReference w:type="default" r:id="rId6"/>
      <w:footnotePr>
        <w:pos w:val="pageBottom"/>
        <w:numFmt w:val="decimal"/>
        <w:numRestart w:val="continuous"/>
      </w:footnotePr>
      <w:pgSz w:w="11909" w:h="16838"/>
      <w:pgMar w:top="15715" w:left="10546" w:right="1069" w:bottom="635" w:header="15287" w:footer="20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6679565</wp:posOffset>
              </wp:positionH>
              <wp:positionV relativeFrom="page">
                <wp:posOffset>10012680</wp:posOffset>
              </wp:positionV>
              <wp:extent cx="149225" cy="1492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9225" cy="1492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25.95000000000005pt;margin-top:788.39999999999998pt;width:11.75pt;height:11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