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Objednatel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Centrum Kociánka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Kociánka 93/2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612 47 Brno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00093378, DIČ: CZ00093378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Č.ú. 197 136 621 / 0710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Data Protection Delivery Center, s.r.o.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Rybkova 1016/31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602 00 Brno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03064247, DIČ: CZ03064247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Objednáváme u Vás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222222"/>
          <w:sz w:val="22"/>
          <w:szCs w:val="22"/>
          <w:highlight w:val="white"/>
          <w:rtl w:val="0"/>
        </w:rPr>
        <w:t xml:space="preserve">prodloužení licencí Bitdefender GravityZone, které slouží k ochraně firemních IT prostředí před kybernetickými hrozbami, jako jsou viry, ransomware, spyware a phising, na dobu 1 roku, dle nabídky NAB-260104-01 ze dne 3.3.2026.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Bitdefender GravityZone Security for servers (120 licencí)</w:t>
        <w:tab/>
        <w:tab/>
        <w:t xml:space="preserve">130.350,- Kč bez DPH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Bitdefender GravityZone Endpoint Detection and Response</w:t>
        <w:tab/>
        <w:t xml:space="preserve">88.900,- Kč bez DPH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Celková cena bez DPH  219.250,- Kč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Celkem s 21% DPH   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2"/>
          <w:szCs w:val="22"/>
          <w:rtl w:val="0"/>
        </w:rPr>
        <w:t xml:space="preserve"> 265.293,- Kč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Schváleno dne 10.3.2026 - příkazce operace: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 XXXXXXXXX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, ředitel </w:t>
      </w:r>
    </w:p>
    <w:p w:rsidR="00000000" w:rsidDel="00000000" w:rsidP="00000000" w:rsidRDefault="00000000" w:rsidRPr="00000000" w14:paraId="0000001A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PL 7709</w:t>
      </w:r>
    </w:p>
    <w:p w:rsidR="00000000" w:rsidDel="00000000" w:rsidP="00000000" w:rsidRDefault="00000000" w:rsidRPr="00000000" w14:paraId="0000001B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Georgia" w:cs="Georgia" w:eastAsia="Georgia" w:hAnsi="Georgia"/>
          <w:color w:val="ff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Správce rozpočtu: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XXXXXXXXXXX</w:t>
      </w:r>
    </w:p>
    <w:p w:rsidR="00000000" w:rsidDel="00000000" w:rsidP="00000000" w:rsidRDefault="00000000" w:rsidRPr="00000000" w14:paraId="0000001E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Hlavní účetní: </w:t>
      </w:r>
      <w:r w:rsidDel="00000000" w:rsidR="00000000" w:rsidRPr="00000000">
        <w:rPr>
          <w:rFonts w:ascii="Georgia" w:cs="Georgia" w:eastAsia="Georgia" w:hAnsi="Georgia"/>
          <w:color w:val="ff0000"/>
          <w:sz w:val="22"/>
          <w:szCs w:val="22"/>
          <w:rtl w:val="0"/>
        </w:rPr>
        <w:t xml:space="preserve">XXXXXXXXXX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ab/>
        <w:t xml:space="preserve">            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                 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rPr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Akceptace objednávky: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677" w:left="1417" w:right="1417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right="-568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-351782</wp:posOffset>
          </wp:positionH>
          <wp:positionV relativeFrom="paragraph">
            <wp:posOffset>-47617</wp:posOffset>
          </wp:positionV>
          <wp:extent cx="286385" cy="286385"/>
          <wp:effectExtent b="0" l="0" r="0" t="0"/>
          <wp:wrapNone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568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09165" cy="753745"/>
          <wp:effectExtent b="0" l="0" r="0" t="0"/>
          <wp:docPr id="1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color="000000" w:space="5" w:sz="4" w:val="single"/>
        <w:bottom w:color="000000" w:space="5" w:sz="4" w:val="single"/>
      </w:pBdr>
      <w:ind w:left="-284" w:right="-284" w:firstLine="0"/>
      <w:jc w:val="center"/>
      <w:rPr>
        <w:rFonts w:ascii="Arial" w:cs="Arial" w:eastAsia="Arial" w:hAnsi="Arial"/>
        <w:b w:val="1"/>
        <w:bCs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Přímá objednávka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EC771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styleId="ZpatChar" w:customStyle="1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B834B0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 w:val="1"/>
    <w:rsid w:val="00727FCE"/>
    <w:rPr>
      <w:b w:val="1"/>
      <w:bCs w:val="1"/>
    </w:rPr>
  </w:style>
  <w:style w:type="paragraph" w:styleId="Default" w:customStyle="1">
    <w:name w:val="Default"/>
    <w:rsid w:val="00CA3036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3008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D9L9R8ZQ7Wiste/2O8n2tISGkw==">CgMxLjA4AHIhMWNpTmNKR0FXQ18wb25lNmJFeU56SkJQMU9YcWJuWXk1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2024-03-01T11:46:00Z</dcterms:created>
  <dc:creator>Ing. Martin Hirschner</dc:creator>
</cp:coreProperties>
</file>