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04EBF" w:rsidP="000C67F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</w:t>
      </w:r>
      <w:r w:rsidR="000C67F6"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0C67F6" w:rsidRDefault="000C67F6" w:rsidP="000C67F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982807-0112/2010</w:t>
      </w:r>
    </w:p>
    <w:p w:rsidR="000C67F6" w:rsidRDefault="000C67F6" w:rsidP="000C67F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  <w:r w:rsidR="00004EBF">
        <w:br/>
        <w:t xml:space="preserve">                                                           </w:t>
      </w: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C67F6" w:rsidRDefault="000C67F6" w:rsidP="000C67F6">
      <w:pPr>
        <w:numPr>
          <w:ilvl w:val="0"/>
          <w:numId w:val="0"/>
        </w:numPr>
        <w:spacing w:before="50" w:after="70" w:line="240" w:lineRule="auto"/>
        <w:ind w:left="142"/>
      </w:pPr>
    </w:p>
    <w:p w:rsidR="000C67F6" w:rsidRDefault="000C67F6" w:rsidP="000C67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C67F6" w:rsidRDefault="000C67F6" w:rsidP="000C67F6">
      <w:pPr>
        <w:numPr>
          <w:ilvl w:val="0"/>
          <w:numId w:val="0"/>
        </w:numPr>
        <w:spacing w:after="0" w:line="240" w:lineRule="auto"/>
        <w:ind w:left="142"/>
      </w:pPr>
    </w:p>
    <w:p w:rsidR="0059434A" w:rsidRPr="0059434A" w:rsidRDefault="0059434A" w:rsidP="0059434A">
      <w:pPr>
        <w:numPr>
          <w:ilvl w:val="0"/>
          <w:numId w:val="0"/>
        </w:numPr>
        <w:spacing w:before="80" w:after="140" w:line="240" w:lineRule="auto"/>
        <w:ind w:left="142"/>
      </w:pPr>
      <w:r w:rsidRPr="0059434A">
        <w:rPr>
          <w:b/>
        </w:rPr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se sídlem:</w:t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IČO:</w:t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DIČ:</w:t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  <w:t xml:space="preserve">XXX 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zastoupen:</w:t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zapsána v obchodním rejstříku</w:t>
      </w:r>
      <w:r w:rsidRPr="0059434A">
        <w:tab/>
      </w:r>
      <w:r w:rsidRPr="0059434A">
        <w:tab/>
        <w:t xml:space="preserve">XXX 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bankovní spojení:</w:t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číslo účtu:</w:t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korespondenční adresa:</w:t>
      </w:r>
      <w:r w:rsidRPr="0059434A">
        <w:tab/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přidělené ID CČK složky:</w:t>
      </w:r>
      <w:r w:rsidRPr="0059434A">
        <w:tab/>
      </w:r>
      <w:r w:rsidRPr="0059434A">
        <w:tab/>
      </w:r>
      <w:r w:rsidRPr="0059434A">
        <w:tab/>
        <w:t>XXX</w:t>
      </w:r>
    </w:p>
    <w:p w:rsidR="0059434A" w:rsidRPr="0059434A" w:rsidRDefault="0059434A" w:rsidP="0059434A">
      <w:pPr>
        <w:numPr>
          <w:ilvl w:val="0"/>
          <w:numId w:val="0"/>
        </w:numPr>
        <w:spacing w:before="50" w:after="70" w:line="240" w:lineRule="auto"/>
        <w:ind w:left="142"/>
      </w:pPr>
      <w:r w:rsidRPr="0059434A">
        <w:t>dále jen "Uživatel"</w:t>
      </w:r>
    </w:p>
    <w:p w:rsidR="000C67F6" w:rsidRDefault="000C67F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C67F6" w:rsidRPr="000C67F6" w:rsidRDefault="000C67F6" w:rsidP="000C67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C67F6" w:rsidRDefault="000C67F6" w:rsidP="000C67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982807-0112/2010 ze dne </w:t>
      </w:r>
      <w:r w:rsidR="0059434A" w:rsidRPr="0059434A">
        <w:t>XXX</w:t>
      </w:r>
      <w:r w:rsidR="0059434A">
        <w:t xml:space="preserve"> </w:t>
      </w:r>
      <w:r>
        <w:t>(dále jen "Dohoda"), a to následujícím způsobem:</w:t>
      </w:r>
    </w:p>
    <w:p w:rsidR="000C67F6" w:rsidRDefault="000C67F6" w:rsidP="000C67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004EBF">
        <w:t>III</w:t>
      </w:r>
      <w:r>
        <w:t>. JISTINA, CENA A ZPŮSOB ÚHRADY, bod 6</w:t>
      </w:r>
      <w:r w:rsidR="00004EBF">
        <w:t>.</w:t>
      </w:r>
      <w:r>
        <w:t>, s následujícím textem:</w:t>
      </w:r>
    </w:p>
    <w:p w:rsidR="000C67F6" w:rsidRDefault="000C67F6" w:rsidP="000C67F6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r w:rsidR="0059434A" w:rsidRPr="0059434A">
        <w:t>XXX</w:t>
      </w:r>
      <w:r w:rsidR="0059434A">
        <w:t xml:space="preserve"> </w:t>
      </w:r>
      <w:r>
        <w:t>dní ode dne jejího vystavení.</w:t>
      </w:r>
    </w:p>
    <w:p w:rsidR="000C67F6" w:rsidRDefault="000C67F6" w:rsidP="000C67F6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59434A" w:rsidRDefault="0059434A" w:rsidP="000C67F6">
      <w:pPr>
        <w:numPr>
          <w:ilvl w:val="2"/>
          <w:numId w:val="21"/>
        </w:numPr>
        <w:spacing w:after="120"/>
        <w:jc w:val="both"/>
      </w:pPr>
      <w:r w:rsidRPr="0059434A">
        <w:t>XXX</w:t>
      </w:r>
      <w:r>
        <w:t xml:space="preserve"> </w:t>
      </w:r>
    </w:p>
    <w:p w:rsidR="000C67F6" w:rsidRDefault="000C67F6" w:rsidP="000C67F6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59434A" w:rsidRPr="0059434A">
        <w:t>XXX</w:t>
      </w:r>
    </w:p>
    <w:p w:rsidR="000C67F6" w:rsidRDefault="000C67F6" w:rsidP="000C67F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</w:t>
      </w:r>
      <w:r w:rsidR="00004EBF">
        <w:t>í stávajícího ustanovení v Čl. V</w:t>
      </w:r>
      <w:r>
        <w:t>. Závěrečná ustanovení, bod 5.1, s následujícím textem:</w:t>
      </w:r>
    </w:p>
    <w:p w:rsidR="000C67F6" w:rsidRDefault="000C67F6" w:rsidP="000C67F6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proofErr w:type="gramStart"/>
      <w:r>
        <w:t>31.12.2019</w:t>
      </w:r>
      <w:proofErr w:type="gramEnd"/>
      <w:r>
        <w:t xml:space="preserve">. </w:t>
      </w:r>
      <w:r w:rsidR="00004EBF">
        <w:t xml:space="preserve">Každá ze Stran Dohody může Dohodu vypovědět i bez udání důvodů s tím, že výpovědní doba 1 měsíc začne běžet dnem následujícím po doručení výpovědi druhé Straně Dohody. Výpověď musí být učiněna písemně. </w:t>
      </w:r>
      <w:r w:rsidR="00004EBF" w:rsidRPr="00257903">
        <w:t>Pokud Uživatel</w:t>
      </w:r>
      <w:r w:rsidR="00004EBF" w:rsidRPr="0075389B">
        <w:t xml:space="preserve"> písemně odmítne změnu </w:t>
      </w:r>
      <w:r w:rsidR="00004EBF" w:rsidRPr="008D4AEA">
        <w:t>Ceníku</w:t>
      </w:r>
      <w:r w:rsidR="00004EBF" w:rsidRPr="00257903">
        <w:t xml:space="preserve">, současně s tímto oznámením o odmítnutí navrhovaných změn vypovídá tuto Dohodu. Výpovědní doba počíná běžet dnem doručení výpovědi </w:t>
      </w:r>
      <w:r w:rsidR="00004EBF">
        <w:t>ČP</w:t>
      </w:r>
      <w:r w:rsidR="00004EBF" w:rsidRPr="00257903">
        <w:t xml:space="preserve">, přičemž skončí ke dni účinnosti změny </w:t>
      </w:r>
      <w:r w:rsidR="00004EBF" w:rsidRPr="008D4AEA">
        <w:t>Ceníku</w:t>
      </w:r>
      <w:r w:rsidR="00004EBF" w:rsidRPr="00257903">
        <w:t xml:space="preserve">. Výpověď musí být doručena </w:t>
      </w:r>
      <w:r w:rsidR="00004EBF">
        <w:t>ČP</w:t>
      </w:r>
      <w:r w:rsidR="00004EBF" w:rsidRPr="008D4AEA">
        <w:t xml:space="preserve"> </w:t>
      </w:r>
      <w:r w:rsidR="00004EBF" w:rsidRPr="00257903">
        <w:t xml:space="preserve">přede dnem, kdy má změna nabýt účinnosti. Výpověď a oznámení o odmítnutí změn </w:t>
      </w:r>
      <w:r w:rsidR="00004EBF" w:rsidRPr="008D4AEA">
        <w:t>Ceníku</w:t>
      </w:r>
      <w:r w:rsidR="00004EBF" w:rsidRPr="00257903">
        <w:t xml:space="preserve"> učiněné Uživatelem musí mít písemnou formu</w:t>
      </w:r>
      <w:r w:rsidR="00004EBF">
        <w:t>.</w:t>
      </w:r>
    </w:p>
    <w:p w:rsidR="000C67F6" w:rsidRPr="000C67F6" w:rsidRDefault="000C67F6" w:rsidP="000C67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C67F6" w:rsidRDefault="000C67F6" w:rsidP="000C67F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C67F6" w:rsidRDefault="000C67F6" w:rsidP="000C67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04EBF">
        <w:t>3</w:t>
      </w:r>
      <w:r>
        <w:t xml:space="preserve"> je uzavřen a účinný dnem jeho podpisu oběma smluvními stranami.</w:t>
      </w:r>
    </w:p>
    <w:p w:rsidR="000C67F6" w:rsidRDefault="000C67F6" w:rsidP="000C67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04EBF">
        <w:t>3</w:t>
      </w:r>
      <w:r>
        <w:t xml:space="preserve"> je sepsán ve dvou vyhotoveních s platností originálu, z nichž každá ze stran obdrží po jednom výtisku.</w:t>
      </w:r>
    </w:p>
    <w:p w:rsidR="000C67F6" w:rsidRDefault="000C67F6" w:rsidP="000C67F6">
      <w:pPr>
        <w:numPr>
          <w:ilvl w:val="0"/>
          <w:numId w:val="0"/>
        </w:numPr>
        <w:spacing w:after="120"/>
        <w:jc w:val="both"/>
      </w:pPr>
    </w:p>
    <w:p w:rsidR="000C67F6" w:rsidRDefault="000C67F6" w:rsidP="000C67F6">
      <w:pPr>
        <w:numPr>
          <w:ilvl w:val="0"/>
          <w:numId w:val="0"/>
        </w:numPr>
        <w:spacing w:after="120"/>
        <w:jc w:val="both"/>
      </w:pPr>
    </w:p>
    <w:p w:rsidR="000C67F6" w:rsidRDefault="000C67F6" w:rsidP="000C67F6">
      <w:pPr>
        <w:numPr>
          <w:ilvl w:val="0"/>
          <w:numId w:val="0"/>
        </w:numPr>
        <w:spacing w:after="120"/>
        <w:jc w:val="both"/>
        <w:sectPr w:rsidR="000C67F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C67F6" w:rsidRDefault="000C67F6" w:rsidP="000C67F6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0C67F6" w:rsidRDefault="000C67F6" w:rsidP="000C67F6">
      <w:pPr>
        <w:numPr>
          <w:ilvl w:val="0"/>
          <w:numId w:val="0"/>
        </w:numPr>
        <w:spacing w:after="120"/>
        <w:jc w:val="both"/>
      </w:pPr>
    </w:p>
    <w:p w:rsidR="000C67F6" w:rsidRDefault="000C67F6" w:rsidP="000C67F6">
      <w:pPr>
        <w:numPr>
          <w:ilvl w:val="0"/>
          <w:numId w:val="0"/>
        </w:numPr>
        <w:spacing w:after="120"/>
        <w:jc w:val="both"/>
      </w:pPr>
      <w:r>
        <w:t>Za ČP:</w:t>
      </w:r>
    </w:p>
    <w:p w:rsidR="000C67F6" w:rsidRDefault="000C67F6" w:rsidP="000C67F6">
      <w:pPr>
        <w:numPr>
          <w:ilvl w:val="0"/>
          <w:numId w:val="0"/>
        </w:numPr>
        <w:spacing w:after="120"/>
        <w:jc w:val="both"/>
      </w:pPr>
    </w:p>
    <w:p w:rsidR="000C67F6" w:rsidRDefault="000C67F6" w:rsidP="000C67F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C67F6" w:rsidRDefault="000C67F6" w:rsidP="000C67F6">
      <w:pPr>
        <w:numPr>
          <w:ilvl w:val="0"/>
          <w:numId w:val="0"/>
        </w:numPr>
        <w:spacing w:after="120"/>
        <w:jc w:val="center"/>
      </w:pPr>
    </w:p>
    <w:p w:rsidR="000C67F6" w:rsidRDefault="000C67F6" w:rsidP="000C67F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0C67F6" w:rsidRDefault="000C67F6" w:rsidP="000C67F6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0C67F6" w:rsidRDefault="000C67F6" w:rsidP="000C67F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0C67F6" w:rsidRDefault="000C67F6" w:rsidP="000C67F6">
      <w:pPr>
        <w:numPr>
          <w:ilvl w:val="0"/>
          <w:numId w:val="0"/>
        </w:numPr>
        <w:spacing w:after="120"/>
      </w:pPr>
    </w:p>
    <w:p w:rsidR="000C67F6" w:rsidRDefault="000C67F6" w:rsidP="000C67F6">
      <w:pPr>
        <w:numPr>
          <w:ilvl w:val="0"/>
          <w:numId w:val="0"/>
        </w:numPr>
        <w:spacing w:after="120"/>
      </w:pPr>
      <w:r>
        <w:t>Za Uživatele:</w:t>
      </w:r>
    </w:p>
    <w:p w:rsidR="000C67F6" w:rsidRDefault="000C67F6" w:rsidP="000C67F6">
      <w:pPr>
        <w:numPr>
          <w:ilvl w:val="0"/>
          <w:numId w:val="0"/>
        </w:numPr>
        <w:spacing w:after="120"/>
      </w:pPr>
    </w:p>
    <w:p w:rsidR="000C67F6" w:rsidRDefault="000C67F6" w:rsidP="000C67F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C67F6" w:rsidRDefault="000C67F6" w:rsidP="000C67F6">
      <w:pPr>
        <w:numPr>
          <w:ilvl w:val="0"/>
          <w:numId w:val="0"/>
        </w:numPr>
        <w:spacing w:after="120"/>
        <w:jc w:val="center"/>
      </w:pPr>
    </w:p>
    <w:p w:rsidR="000C67F6" w:rsidRDefault="0059434A" w:rsidP="0059434A">
      <w:pPr>
        <w:numPr>
          <w:ilvl w:val="0"/>
          <w:numId w:val="0"/>
        </w:numPr>
        <w:spacing w:after="120"/>
        <w:jc w:val="center"/>
      </w:pPr>
      <w:r w:rsidRPr="0059434A">
        <w:t>XXX</w:t>
      </w:r>
    </w:p>
    <w:p w:rsidR="0059434A" w:rsidRPr="000C67F6" w:rsidRDefault="0059434A" w:rsidP="0059434A">
      <w:pPr>
        <w:numPr>
          <w:ilvl w:val="0"/>
          <w:numId w:val="0"/>
        </w:numPr>
        <w:spacing w:after="120"/>
        <w:jc w:val="center"/>
      </w:pPr>
      <w:r w:rsidRPr="0059434A">
        <w:t>XXX</w:t>
      </w:r>
      <w:bookmarkStart w:id="0" w:name="_GoBack"/>
      <w:bookmarkEnd w:id="0"/>
    </w:p>
    <w:sectPr w:rsidR="0059434A" w:rsidRPr="000C67F6" w:rsidSect="000C67F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E3" w:rsidRDefault="00900CE3">
      <w:r>
        <w:separator/>
      </w:r>
    </w:p>
  </w:endnote>
  <w:endnote w:type="continuationSeparator" w:id="0">
    <w:p w:rsidR="00900CE3" w:rsidRDefault="0090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59434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59434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E3" w:rsidRDefault="00900CE3">
      <w:r>
        <w:separator/>
      </w:r>
    </w:p>
  </w:footnote>
  <w:footnote w:type="continuationSeparator" w:id="0">
    <w:p w:rsidR="00900CE3" w:rsidRDefault="0090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B085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C871C" wp14:editId="4838044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04EB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</w:t>
    </w:r>
    <w:r w:rsidR="000C67F6"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090018" wp14:editId="7C556C8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35C8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č.</w:t>
    </w:r>
    <w:r w:rsidR="000C67F6">
      <w:rPr>
        <w:rFonts w:ascii="Arial" w:hAnsi="Arial" w:cs="Arial"/>
        <w:szCs w:val="22"/>
      </w:rPr>
      <w:t xml:space="preserve"> 982807-0112/2010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5C2040" wp14:editId="724DF0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BC052BB"/>
    <w:multiLevelType w:val="multilevel"/>
    <w:tmpl w:val="24A88EA4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4EBF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67F6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425A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5C8E"/>
    <w:rsid w:val="00541F53"/>
    <w:rsid w:val="00547784"/>
    <w:rsid w:val="0057375C"/>
    <w:rsid w:val="005903FC"/>
    <w:rsid w:val="0059319D"/>
    <w:rsid w:val="0059434A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0CE3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0855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9A4D8-6D5E-4E43-BDFF-BE5CAF02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2010-01-28T11:34:00Z</cp:lastPrinted>
  <dcterms:created xsi:type="dcterms:W3CDTF">2016-09-26T06:52:00Z</dcterms:created>
  <dcterms:modified xsi:type="dcterms:W3CDTF">2016-09-26T06:52:00Z</dcterms:modified>
</cp:coreProperties>
</file>