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2331" w14:textId="77777777" w:rsidR="00011CC7" w:rsidRPr="00011CC7" w:rsidRDefault="00011CC7" w:rsidP="00011CC7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Níže uvedeného dne, měsíce a roku uzavřely smluvní strany:</w:t>
      </w:r>
    </w:p>
    <w:p w14:paraId="3BF3F262" w14:textId="77777777" w:rsidR="00011CC7" w:rsidRPr="00011CC7" w:rsidRDefault="00011CC7" w:rsidP="00011CC7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18A65C84" w14:textId="77777777" w:rsidR="00011CC7" w:rsidRPr="00011CC7" w:rsidRDefault="00011CC7" w:rsidP="00011CC7">
      <w:pPr>
        <w:spacing w:after="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 xml:space="preserve">Orlická mediální skupina, z.s., 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se sídlem: Hýblova 543, 560 02 Česká Třebová, IČ: 03783138, zapsaný: v Obchodním rejstříku u Krajského soudu v Hradci Králové, oddíl L, vložka 10018, zastoupený Martinem Vašíčkem, předsedou rady spolku,</w:t>
      </w:r>
    </w:p>
    <w:p w14:paraId="4137EF4C" w14:textId="77777777" w:rsidR="00011CC7" w:rsidRPr="00011CC7" w:rsidRDefault="00011CC7" w:rsidP="00011CC7">
      <w:pPr>
        <w:spacing w:after="0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bankovní spojení: Fio banka, a.s., č. účtu: 2301730903/2010 </w:t>
      </w:r>
    </w:p>
    <w:p w14:paraId="19E40B0E" w14:textId="77777777" w:rsidR="00011CC7" w:rsidRPr="00011CC7" w:rsidRDefault="00011CC7" w:rsidP="00011CC7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(dále v textu jen </w:t>
      </w: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“poskytovatel”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)</w:t>
      </w:r>
    </w:p>
    <w:p w14:paraId="5C88E6C2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0B09960B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a</w:t>
      </w:r>
    </w:p>
    <w:p w14:paraId="09CDD740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38C76F05" w14:textId="5A117054" w:rsidR="00011CC7" w:rsidRPr="00011CC7" w:rsidRDefault="00011CC7" w:rsidP="00011CC7">
      <w:pPr>
        <w:spacing w:after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 xml:space="preserve">Město </w:t>
      </w:r>
      <w:r w:rsidR="00AC1190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Žamberk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, se sídlem </w:t>
      </w:r>
      <w:r w:rsidR="00AC1190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Masarykovo náměstí 166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, </w:t>
      </w:r>
      <w:r w:rsidR="00AC1190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564 01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 </w:t>
      </w:r>
      <w:r w:rsidR="00AC1190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Žamberk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, IČ: </w:t>
      </w:r>
      <w:r w:rsidR="00AC1190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00279846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, </w:t>
      </w:r>
      <w:r w:rsidRPr="00046594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zastoupené </w:t>
      </w:r>
      <w:r w:rsidR="00AC1190" w:rsidRPr="00046594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Jiřím Mencákem</w:t>
      </w:r>
      <w:r w:rsidRPr="00046594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, starostou,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 </w:t>
      </w:r>
    </w:p>
    <w:p w14:paraId="55FAD234" w14:textId="36461999" w:rsidR="00011CC7" w:rsidRPr="00011CC7" w:rsidRDefault="00011CC7" w:rsidP="003145A1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bankovní spojení: </w:t>
      </w:r>
      <w:r w:rsidR="00A61CC2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Česká spořitelna, a.s.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, č. účtu: </w:t>
      </w:r>
      <w:r w:rsidR="00A61CC2" w:rsidRPr="00046594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27-1321320309/0800</w:t>
      </w:r>
    </w:p>
    <w:p w14:paraId="125F085C" w14:textId="77777777" w:rsidR="00011CC7" w:rsidRPr="00011CC7" w:rsidRDefault="00011CC7" w:rsidP="00011CC7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(dále v textu jen </w:t>
      </w: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“objednatel”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)</w:t>
      </w:r>
    </w:p>
    <w:p w14:paraId="62D06160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6F34834D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(dále v textu jen </w:t>
      </w: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“smluvní strana”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 nebo společně jen </w:t>
      </w: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“smluvní strany”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)</w:t>
      </w:r>
    </w:p>
    <w:p w14:paraId="4C9E2299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69A22AB6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</w:p>
    <w:p w14:paraId="0D4D6DE0" w14:textId="77777777" w:rsidR="00011CC7" w:rsidRPr="00011CC7" w:rsidRDefault="00011CC7" w:rsidP="00011CC7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dle ustanovení § 1746 odst. 2 zákona č. 89/2012 Sb., Občanského zákoníku, ve znění pozdějších předpisů, tuto: </w:t>
      </w:r>
    </w:p>
    <w:p w14:paraId="6E7CD11C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456F1BDA" w14:textId="77777777" w:rsidR="00011CC7" w:rsidRPr="00011CC7" w:rsidRDefault="00011CC7" w:rsidP="00011CC7">
      <w:pPr>
        <w:spacing w:after="0"/>
        <w:jc w:val="center"/>
        <w:rPr>
          <w:rFonts w:ascii="Cambria" w:eastAsia="Times New Roman" w:hAnsi="Cambria" w:cs="Arial"/>
          <w:b/>
          <w:bCs/>
          <w:color w:val="000000" w:themeColor="text1"/>
          <w:sz w:val="28"/>
          <w:szCs w:val="28"/>
          <w:lang w:eastAsia="cs-CZ"/>
        </w:rPr>
      </w:pPr>
    </w:p>
    <w:p w14:paraId="528C5DA0" w14:textId="77777777" w:rsidR="00011CC7" w:rsidRPr="00011CC7" w:rsidRDefault="00011CC7" w:rsidP="00011CC7">
      <w:pPr>
        <w:spacing w:after="0"/>
        <w:jc w:val="center"/>
        <w:rPr>
          <w:rFonts w:ascii="Cambria" w:eastAsia="Times New Roman" w:hAnsi="Cambria" w:cs="Arial"/>
          <w:b/>
          <w:bCs/>
          <w:color w:val="000000" w:themeColor="text1"/>
          <w:sz w:val="28"/>
          <w:szCs w:val="28"/>
          <w:lang w:eastAsia="cs-CZ"/>
        </w:rPr>
      </w:pPr>
      <w:r w:rsidRPr="00011CC7">
        <w:rPr>
          <w:rFonts w:ascii="Cambria" w:eastAsia="Times New Roman" w:hAnsi="Cambria" w:cs="Arial"/>
          <w:b/>
          <w:bCs/>
          <w:color w:val="000000" w:themeColor="text1"/>
          <w:sz w:val="28"/>
          <w:szCs w:val="28"/>
          <w:lang w:eastAsia="cs-CZ"/>
        </w:rPr>
        <w:t xml:space="preserve">rámcovou smlouvu </w:t>
      </w:r>
    </w:p>
    <w:p w14:paraId="6DF09E63" w14:textId="77777777" w:rsidR="00011CC7" w:rsidRPr="00011CC7" w:rsidRDefault="00011CC7" w:rsidP="00011CC7">
      <w:pPr>
        <w:spacing w:after="0"/>
        <w:jc w:val="center"/>
        <w:rPr>
          <w:rFonts w:ascii="Cambria" w:eastAsia="Times New Roman" w:hAnsi="Cambria" w:cs="Arial"/>
          <w:b/>
          <w:bCs/>
          <w:color w:val="000000" w:themeColor="text1"/>
          <w:sz w:val="28"/>
          <w:szCs w:val="28"/>
          <w:lang w:eastAsia="cs-CZ"/>
        </w:rPr>
      </w:pPr>
      <w:r w:rsidRPr="00011CC7">
        <w:rPr>
          <w:rFonts w:ascii="Cambria" w:eastAsia="Times New Roman" w:hAnsi="Cambria" w:cs="Arial"/>
          <w:b/>
          <w:bCs/>
          <w:color w:val="000000" w:themeColor="text1"/>
          <w:sz w:val="28"/>
          <w:szCs w:val="28"/>
          <w:lang w:eastAsia="cs-CZ"/>
        </w:rPr>
        <w:t>o zajištění výroby a vysílání televizních zpravodajských reportáží</w:t>
      </w:r>
    </w:p>
    <w:p w14:paraId="42F91EF2" w14:textId="77777777" w:rsidR="00011CC7" w:rsidRPr="00011CC7" w:rsidRDefault="00011CC7" w:rsidP="00011CC7">
      <w:pPr>
        <w:spacing w:after="0"/>
        <w:jc w:val="center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(dále v textu jen </w:t>
      </w: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“smlouva”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)</w:t>
      </w:r>
    </w:p>
    <w:p w14:paraId="6A2501CD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28C31826" w14:textId="77777777" w:rsidR="00011CC7" w:rsidRPr="00011CC7" w:rsidRDefault="00011CC7" w:rsidP="00011CC7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5F823B40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I.</w:t>
      </w:r>
    </w:p>
    <w:p w14:paraId="2227F11A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b/>
          <w:bCs/>
          <w:color w:val="000000" w:themeColor="text1"/>
          <w:sz w:val="20"/>
          <w:szCs w:val="20"/>
          <w:lang w:eastAsia="cs-CZ"/>
        </w:rPr>
        <w:t>Předmět smlouvy</w:t>
      </w:r>
    </w:p>
    <w:p w14:paraId="715926AB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Times New Roman" w:hAnsi="Cambria" w:cs="Times New Roman"/>
          <w:color w:val="000000" w:themeColor="text1"/>
          <w:sz w:val="20"/>
          <w:szCs w:val="20"/>
          <w:lang w:eastAsia="cs-CZ"/>
        </w:rPr>
      </w:pPr>
    </w:p>
    <w:p w14:paraId="042D5F1E" w14:textId="77777777" w:rsidR="00011CC7" w:rsidRPr="00011CC7" w:rsidRDefault="00011CC7" w:rsidP="00011CC7">
      <w:pPr>
        <w:pStyle w:val="Odstavecseseznamem"/>
        <w:numPr>
          <w:ilvl w:val="0"/>
          <w:numId w:val="1"/>
        </w:numPr>
        <w:spacing w:after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Předmětem této smlouvy je zajištění výroby, zpracování a vysílání televizních zpravodajských reportáží pro objednatele za podmínek a v rozsahu stanovených touto smlouvou (dále v textu jen „reportáž“ nebo „reportáže“). Tomu odpovídá povinnost objednatele zaplatit poskytovateli cenu dle článku III. této smlouvy.</w:t>
      </w:r>
    </w:p>
    <w:p w14:paraId="5BA6B213" w14:textId="77777777" w:rsidR="00011CC7" w:rsidRPr="00011CC7" w:rsidRDefault="00011CC7" w:rsidP="00011CC7">
      <w:pPr>
        <w:pStyle w:val="Odstavecseseznamem"/>
        <w:numPr>
          <w:ilvl w:val="0"/>
          <w:numId w:val="1"/>
        </w:numPr>
        <w:spacing w:after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Rozsah plnění dle této smlouvy je následující:</w:t>
      </w:r>
    </w:p>
    <w:p w14:paraId="250A7B3D" w14:textId="612B5405" w:rsidR="00011CC7" w:rsidRPr="00011CC7" w:rsidRDefault="00011CC7" w:rsidP="00011CC7">
      <w:pPr>
        <w:pStyle w:val="Odstavecseseznamem"/>
        <w:numPr>
          <w:ilvl w:val="0"/>
          <w:numId w:val="2"/>
        </w:numPr>
        <w:spacing w:before="60"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Zajištění výroby zpravodajských </w:t>
      </w:r>
      <w:r w:rsidRPr="00011CC7">
        <w:rPr>
          <w:rFonts w:ascii="Cambria" w:hAnsi="Cambria"/>
          <w:color w:val="000000" w:themeColor="text1"/>
          <w:sz w:val="20"/>
          <w:szCs w:val="20"/>
        </w:rPr>
        <w:t xml:space="preserve">reportáží (včetně přípravy, produkce, režie), které budou vysílány ve zpravodajském pořadu ZPRÁVY REGIONU na regionální televizi OIK TV. Televizní zpravodajský pořad </w:t>
      </w:r>
      <w:r w:rsidRPr="005E0B4B">
        <w:rPr>
          <w:rFonts w:ascii="Cambria" w:hAnsi="Cambria"/>
          <w:sz w:val="20"/>
          <w:szCs w:val="20"/>
        </w:rPr>
        <w:t xml:space="preserve">ZPRÁVY REGIONU bude vysílán minimálně s premiérou 1x týdně, mimo měsíce červenec a druhé poloviny měsíce prosinec, kdy bude nahrazen jiným pořadem. Vyrobené televizní reportáže budou následně umístěné na webové stránce www.oiktv.cz, Facebookovém profilu a YouTube kanálu OIK TV. </w:t>
      </w:r>
      <w:r w:rsidRPr="005E0B4B">
        <w:rPr>
          <w:rFonts w:ascii="Cambria" w:hAnsi="Cambria" w:cs="Arial"/>
          <w:sz w:val="20"/>
          <w:szCs w:val="20"/>
        </w:rPr>
        <w:t xml:space="preserve">Televizní reportáže budou také vysílány v rámci programu </w:t>
      </w:r>
      <w:r w:rsidR="00AC1190" w:rsidRPr="005E0B4B">
        <w:rPr>
          <w:rFonts w:ascii="Cambria" w:hAnsi="Cambria" w:cs="Arial"/>
          <w:sz w:val="20"/>
          <w:szCs w:val="20"/>
        </w:rPr>
        <w:t>A11</w:t>
      </w:r>
      <w:r w:rsidRPr="005E0B4B">
        <w:rPr>
          <w:rFonts w:ascii="Cambria" w:hAnsi="Cambria" w:cs="Arial"/>
          <w:sz w:val="20"/>
          <w:szCs w:val="20"/>
        </w:rPr>
        <w:t xml:space="preserve"> za pomoci zpravodajské relace v blocích určených pro vysílání televizního programu OIK TV.</w:t>
      </w:r>
      <w:r w:rsidR="00AC1190" w:rsidRPr="005E0B4B">
        <w:rPr>
          <w:rFonts w:ascii="Cambria" w:hAnsi="Cambria" w:cs="Arial"/>
          <w:sz w:val="20"/>
          <w:szCs w:val="20"/>
        </w:rPr>
        <w:t xml:space="preserve"> Zároveň bude reportáž poslána pro účel zveřejnění na vlastních sociálních sítích objedn</w:t>
      </w:r>
      <w:r w:rsidR="002064A3">
        <w:rPr>
          <w:rFonts w:ascii="Cambria" w:hAnsi="Cambria" w:cs="Arial"/>
          <w:sz w:val="20"/>
          <w:szCs w:val="20"/>
        </w:rPr>
        <w:t>ateli</w:t>
      </w:r>
      <w:r w:rsidR="00AC1190" w:rsidRPr="005E0B4B">
        <w:rPr>
          <w:rFonts w:ascii="Cambria" w:hAnsi="Cambria" w:cs="Arial"/>
          <w:sz w:val="20"/>
          <w:szCs w:val="20"/>
        </w:rPr>
        <w:t xml:space="preserve">, který ji zveřejní až poté, co ji poskytovatel </w:t>
      </w:r>
      <w:r w:rsidR="0031225D" w:rsidRPr="005E0B4B">
        <w:rPr>
          <w:rFonts w:ascii="Cambria" w:hAnsi="Cambria" w:cs="Arial"/>
          <w:sz w:val="20"/>
          <w:szCs w:val="20"/>
        </w:rPr>
        <w:t>zveřejní na výše uvedeném webu a sociálních sítích</w:t>
      </w:r>
      <w:r w:rsidR="00AC1190" w:rsidRPr="005E0B4B">
        <w:rPr>
          <w:rFonts w:ascii="Cambria" w:hAnsi="Cambria" w:cs="Arial"/>
          <w:sz w:val="20"/>
          <w:szCs w:val="20"/>
        </w:rPr>
        <w:t>.</w:t>
      </w:r>
    </w:p>
    <w:p w14:paraId="1E26A210" w14:textId="77777777" w:rsidR="00011CC7" w:rsidRPr="00011CC7" w:rsidRDefault="00011CC7" w:rsidP="00011CC7">
      <w:pPr>
        <w:pStyle w:val="Odstavecseseznamem"/>
        <w:numPr>
          <w:ilvl w:val="0"/>
          <w:numId w:val="3"/>
        </w:numPr>
        <w:spacing w:before="60"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Reportáže budou zpracovány v takovém formátu a kvalitě, aby bylo možné jejich odvysílání v programu OIK TV.</w:t>
      </w:r>
    </w:p>
    <w:p w14:paraId="4B23FD8E" w14:textId="7DBAB431" w:rsidR="00011CC7" w:rsidRPr="00011CC7" w:rsidRDefault="00011CC7" w:rsidP="00011CC7">
      <w:pPr>
        <w:pStyle w:val="Odstavecseseznamem"/>
        <w:numPr>
          <w:ilvl w:val="0"/>
          <w:numId w:val="3"/>
        </w:numPr>
        <w:spacing w:after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Předpokládaný počet televizních reportáží: </w:t>
      </w:r>
      <w:r w:rsidR="00AC1190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10</w:t>
      </w:r>
      <w:r w:rsidR="0044508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 (deset)</w:t>
      </w:r>
      <w:r w:rsidRPr="00011CC7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. Délka jedné reportáže je v průměru 90 až 110 sekund.</w:t>
      </w:r>
    </w:p>
    <w:p w14:paraId="25C7B7D4" w14:textId="77777777" w:rsidR="00011CC7" w:rsidRPr="00011CC7" w:rsidRDefault="00011CC7" w:rsidP="00011CC7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</w:rPr>
      </w:pPr>
      <w:r w:rsidRPr="00011CC7">
        <w:rPr>
          <w:rFonts w:ascii="Cambria" w:hAnsi="Cambria" w:cs="Arial"/>
          <w:color w:val="000000" w:themeColor="text1"/>
          <w:sz w:val="20"/>
          <w:szCs w:val="20"/>
        </w:rPr>
        <w:t xml:space="preserve">Poskytovatel předá objednateli 1x za čtvrtletí statistiku o počtu a minutách odvysílaných reportáží, a to do 10 dne po ukončení každého kalendářního čtvrtletí. </w:t>
      </w:r>
    </w:p>
    <w:p w14:paraId="79E3F5A9" w14:textId="4404B39D" w:rsidR="00011CC7" w:rsidRPr="00011CC7" w:rsidRDefault="00011CC7" w:rsidP="00011CC7">
      <w:pPr>
        <w:pStyle w:val="Odstavecseseznamem"/>
        <w:numPr>
          <w:ilvl w:val="0"/>
          <w:numId w:val="3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011CC7">
        <w:rPr>
          <w:rFonts w:ascii="Cambria" w:hAnsi="Cambria"/>
          <w:color w:val="000000" w:themeColor="text1"/>
          <w:sz w:val="20"/>
          <w:szCs w:val="20"/>
        </w:rPr>
        <w:t xml:space="preserve">Poskytovatel předá objednateli jedenkrát ročně kompletní archiv vyrobených reportáží na digitálním médiu, které dodá objednatel. S předanou reportáží může objednatel dále nakládat, tzn. </w:t>
      </w:r>
      <w:r w:rsidRPr="00011CC7">
        <w:rPr>
          <w:rFonts w:ascii="Cambria" w:hAnsi="Cambria"/>
          <w:color w:val="000000" w:themeColor="text1"/>
          <w:sz w:val="20"/>
          <w:szCs w:val="20"/>
        </w:rPr>
        <w:lastRenderedPageBreak/>
        <w:t>zveřejňovat jí, rozmnožovat, rozšiřovat a předávat třetím osobám.</w:t>
      </w:r>
      <w:r w:rsidR="00AC1190">
        <w:rPr>
          <w:rFonts w:ascii="Cambria" w:hAnsi="Cambria"/>
          <w:color w:val="000000" w:themeColor="text1"/>
          <w:sz w:val="20"/>
          <w:szCs w:val="20"/>
        </w:rPr>
        <w:t xml:space="preserve"> Naopak ji nesmí jakýmkoliv způsobem měnit nebo z ní uveřejnit pouze části.</w:t>
      </w:r>
    </w:p>
    <w:p w14:paraId="738EBFB4" w14:textId="77777777" w:rsidR="00011CC7" w:rsidRPr="00011CC7" w:rsidRDefault="00011CC7" w:rsidP="00011CC7">
      <w:pPr>
        <w:pStyle w:val="Odstavecseseznamem"/>
        <w:numPr>
          <w:ilvl w:val="0"/>
          <w:numId w:val="3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011CC7">
        <w:rPr>
          <w:rFonts w:ascii="Cambria" w:hAnsi="Cambria" w:cs="Times New Roman"/>
          <w:color w:val="000000" w:themeColor="text1"/>
          <w:sz w:val="20"/>
          <w:szCs w:val="20"/>
        </w:rPr>
        <w:t>Poskytovatel zajistí slevu 20 % z ceníkové ceny pro výrobu a vysílání reklamy a reklamního sdělení ve vysílání OIK TV pro potřeby objednatele a jeho příspěvkových organizací. Tato sleva se nevztahuje na již zlevněné speciální nabídky. Dále poskytne množstevní slevu a to od 10 zakázek ve výši 10%, od 20 zakázek ve výši 20% a od 30 zakázek ve výši 30% za kalendářní rok. Pokud si objednatel nebo jedna příspěvková organizace objedná výrobu a vysílání reklamního sdělení, jedná se o jednu zakázku.</w:t>
      </w:r>
    </w:p>
    <w:p w14:paraId="465D62D0" w14:textId="77777777" w:rsidR="00011CC7" w:rsidRPr="00011CC7" w:rsidRDefault="00011CC7" w:rsidP="00011CC7">
      <w:pPr>
        <w:pStyle w:val="Odstavecseseznamem"/>
        <w:numPr>
          <w:ilvl w:val="0"/>
          <w:numId w:val="3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011CC7">
        <w:rPr>
          <w:rFonts w:ascii="Cambria" w:hAnsi="Cambria" w:cs="Arial"/>
          <w:color w:val="000000" w:themeColor="text1"/>
          <w:sz w:val="20"/>
          <w:szCs w:val="20"/>
        </w:rPr>
        <w:t>Pro vyloučení všech pochybností se výrobou televizní zpravodajské reportáže rozumí: zajištění natáčení redaktorem nebo producentem, samotné natáčení redaktorem a kameramanem nebo pouze kameramanem, napsání reportáže redaktorem, stříhání a titulkování reportáže střihačem za pomoci redaktora.</w:t>
      </w:r>
    </w:p>
    <w:p w14:paraId="50C08CE2" w14:textId="77777777" w:rsidR="00011CC7" w:rsidRPr="00011CC7" w:rsidRDefault="00011CC7" w:rsidP="00011CC7">
      <w:pPr>
        <w:pStyle w:val="Odstavecseseznamem"/>
        <w:numPr>
          <w:ilvl w:val="0"/>
          <w:numId w:val="1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011CC7">
        <w:rPr>
          <w:rFonts w:ascii="Cambria" w:hAnsi="Cambria"/>
          <w:color w:val="000000" w:themeColor="text1"/>
          <w:sz w:val="20"/>
          <w:szCs w:val="20"/>
        </w:rPr>
        <w:t xml:space="preserve">Poskytovatel poskytne objednateli nevýhradní licenci pro neomezené užití všech vyrobených a dodaných audiovizuálních děl vytvořených na základě této smlouvy. Licence se uděluje odvysíláním reportáže.  </w:t>
      </w:r>
    </w:p>
    <w:p w14:paraId="05E99F2F" w14:textId="77777777" w:rsidR="00011CC7" w:rsidRPr="00011CC7" w:rsidRDefault="00011CC7" w:rsidP="00011CC7">
      <w:pPr>
        <w:pStyle w:val="Odstavecseseznamem"/>
        <w:ind w:left="36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6E8C82D2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 xml:space="preserve">II. </w:t>
      </w:r>
    </w:p>
    <w:p w14:paraId="1F83ADB3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Lhůta a místo plnění</w:t>
      </w:r>
    </w:p>
    <w:p w14:paraId="19AB65CD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</w:p>
    <w:p w14:paraId="5F6D1EAC" w14:textId="2557B1A7" w:rsidR="00011CC7" w:rsidRPr="00011CC7" w:rsidRDefault="00011CC7" w:rsidP="00011CC7">
      <w:pPr>
        <w:pStyle w:val="Nadpis2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Calibri"/>
          <w:b w:val="0"/>
          <w:bCs w:val="0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 w:val="0"/>
          <w:bCs w:val="0"/>
          <w:color w:val="000000" w:themeColor="text1"/>
          <w:sz w:val="20"/>
          <w:szCs w:val="20"/>
        </w:rPr>
        <w:t>Termín zahájení:</w:t>
      </w: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1. </w:t>
      </w:r>
      <w:r w:rsidR="00AC1190">
        <w:rPr>
          <w:rFonts w:ascii="Cambria" w:eastAsia="Calibri" w:hAnsi="Cambria" w:cs="Calibri"/>
          <w:color w:val="000000" w:themeColor="text1"/>
          <w:sz w:val="20"/>
          <w:szCs w:val="20"/>
        </w:rPr>
        <w:t>1</w:t>
      </w: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>. 202</w:t>
      </w:r>
      <w:r w:rsidR="00DC1BFF">
        <w:rPr>
          <w:rFonts w:ascii="Cambria" w:eastAsia="Calibri" w:hAnsi="Cambria" w:cs="Calibri"/>
          <w:color w:val="000000" w:themeColor="text1"/>
          <w:sz w:val="20"/>
          <w:szCs w:val="20"/>
        </w:rPr>
        <w:t>6</w:t>
      </w:r>
    </w:p>
    <w:p w14:paraId="783E84F9" w14:textId="343C9653" w:rsidR="00011CC7" w:rsidRPr="00011CC7" w:rsidRDefault="00011CC7" w:rsidP="00011CC7">
      <w:pPr>
        <w:spacing w:after="0"/>
        <w:ind w:left="357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Tato smlouva se uzavírá na dobu určitou </w:t>
      </w: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1 rok, tj. do 31.12.202</w:t>
      </w:r>
      <w:r w:rsidR="00DC1BFF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6</w:t>
      </w: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. </w:t>
      </w:r>
    </w:p>
    <w:p w14:paraId="37FC38F8" w14:textId="7FC9352B" w:rsidR="00011CC7" w:rsidRPr="00094D88" w:rsidRDefault="00011CC7" w:rsidP="00094D88">
      <w:pPr>
        <w:pStyle w:val="Nadpis2"/>
        <w:numPr>
          <w:ilvl w:val="0"/>
          <w:numId w:val="4"/>
        </w:numPr>
        <w:spacing w:line="276" w:lineRule="auto"/>
        <w:jc w:val="both"/>
        <w:rPr>
          <w:rFonts w:ascii="Cambria" w:hAnsi="Cambria"/>
          <w:b w:val="0"/>
          <w:bCs w:val="0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 w:val="0"/>
          <w:bCs w:val="0"/>
          <w:color w:val="000000" w:themeColor="text1"/>
          <w:sz w:val="20"/>
          <w:szCs w:val="20"/>
        </w:rPr>
        <w:t xml:space="preserve">Místem výroby reportáží je město </w:t>
      </w:r>
      <w:r w:rsidR="00445081">
        <w:rPr>
          <w:rFonts w:ascii="Cambria" w:eastAsia="Calibri" w:hAnsi="Cambria" w:cs="Calibri"/>
          <w:b w:val="0"/>
          <w:bCs w:val="0"/>
          <w:color w:val="000000" w:themeColor="text1"/>
          <w:sz w:val="20"/>
          <w:szCs w:val="20"/>
        </w:rPr>
        <w:t xml:space="preserve">Žamberk </w:t>
      </w:r>
      <w:r w:rsidRPr="00011CC7">
        <w:rPr>
          <w:rFonts w:ascii="Cambria" w:eastAsia="Calibri" w:hAnsi="Cambria" w:cs="Calibri"/>
          <w:b w:val="0"/>
          <w:bCs w:val="0"/>
          <w:color w:val="000000" w:themeColor="text1"/>
          <w:sz w:val="20"/>
          <w:szCs w:val="20"/>
        </w:rPr>
        <w:t>a jeho bezprostřední okolí.</w:t>
      </w:r>
    </w:p>
    <w:p w14:paraId="62224F45" w14:textId="37012E55" w:rsidR="00011CC7" w:rsidRDefault="00011CC7" w:rsidP="00011CC7">
      <w:pPr>
        <w:tabs>
          <w:tab w:val="right" w:pos="9072"/>
        </w:tabs>
        <w:spacing w:after="0" w:line="240" w:lineRule="auto"/>
        <w:rPr>
          <w:rFonts w:ascii="Cambria" w:hAnsi="Cambria"/>
          <w:color w:val="000000" w:themeColor="text1"/>
          <w:sz w:val="20"/>
          <w:szCs w:val="20"/>
        </w:rPr>
      </w:pPr>
    </w:p>
    <w:p w14:paraId="435B45D3" w14:textId="77777777" w:rsidR="00094D88" w:rsidRPr="00011CC7" w:rsidRDefault="00094D88" w:rsidP="00011CC7">
      <w:pPr>
        <w:tabs>
          <w:tab w:val="right" w:pos="9072"/>
        </w:tabs>
        <w:spacing w:after="0" w:line="240" w:lineRule="auto"/>
        <w:rPr>
          <w:rFonts w:ascii="Cambria" w:hAnsi="Cambria"/>
          <w:color w:val="000000" w:themeColor="text1"/>
          <w:sz w:val="20"/>
          <w:szCs w:val="20"/>
        </w:rPr>
      </w:pPr>
    </w:p>
    <w:p w14:paraId="5947E75A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III.</w:t>
      </w:r>
    </w:p>
    <w:p w14:paraId="36834701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Cena a platební podmínky</w:t>
      </w:r>
    </w:p>
    <w:p w14:paraId="6547CD00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</w:p>
    <w:p w14:paraId="07926D71" w14:textId="7B8C4A8D" w:rsidR="00F21B0A" w:rsidRPr="00F21B0A" w:rsidRDefault="008E6320" w:rsidP="00011CC7">
      <w:pPr>
        <w:numPr>
          <w:ilvl w:val="0"/>
          <w:numId w:val="6"/>
        </w:numPr>
        <w:spacing w:after="0"/>
        <w:jc w:val="both"/>
        <w:rPr>
          <w:rFonts w:ascii="Cambria" w:eastAsia="Calibri" w:hAnsi="Cambria" w:cs="Calibri"/>
          <w:color w:val="000000" w:themeColor="text1"/>
          <w:sz w:val="20"/>
          <w:szCs w:val="20"/>
        </w:rPr>
      </w:pPr>
      <w:r>
        <w:rPr>
          <w:rFonts w:ascii="Cambria" w:eastAsia="Calibri" w:hAnsi="Cambria" w:cs="Calibri"/>
          <w:color w:val="000000" w:themeColor="text1"/>
          <w:sz w:val="20"/>
          <w:szCs w:val="20"/>
        </w:rPr>
        <w:t>Cena</w:t>
      </w:r>
      <w:r w:rsidR="00011CC7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za plnění dle této smlouvy za </w:t>
      </w:r>
      <w:r w:rsidR="00F21B0A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>rok</w:t>
      </w:r>
      <w:r w:rsidR="00011CC7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202</w:t>
      </w:r>
      <w:r w:rsidR="009F3C2D">
        <w:rPr>
          <w:rFonts w:ascii="Cambria" w:eastAsia="Calibri" w:hAnsi="Cambria" w:cs="Calibri"/>
          <w:color w:val="000000" w:themeColor="text1"/>
          <w:sz w:val="20"/>
          <w:szCs w:val="20"/>
        </w:rPr>
        <w:t>6</w:t>
      </w:r>
      <w:r w:rsidR="00011CC7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byla dohodnuta smluvními stranami ve výši </w:t>
      </w:r>
      <w:r w:rsidR="00AC1190">
        <w:rPr>
          <w:rFonts w:ascii="Cambria" w:eastAsia="Calibri" w:hAnsi="Cambria" w:cs="Calibri"/>
          <w:color w:val="000000" w:themeColor="text1"/>
          <w:sz w:val="20"/>
          <w:szCs w:val="20"/>
        </w:rPr>
        <w:t>75</w:t>
      </w:r>
      <w:r w:rsidR="00011CC7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</w:t>
      </w:r>
      <w:r w:rsidR="00F21B0A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>0</w:t>
      </w:r>
      <w:r w:rsidR="00011CC7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00 Kč (slovy: </w:t>
      </w:r>
      <w:r w:rsidR="00F21B0A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>s</w:t>
      </w:r>
      <w:r w:rsidR="00445081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edmdesát pět </w:t>
      </w:r>
      <w:r w:rsidR="00F21B0A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>tisíc</w:t>
      </w:r>
      <w:r w:rsidR="00011CC7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korun českých).  Cena je splatná </w:t>
      </w:r>
      <w:r w:rsidR="00F21B0A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do </w:t>
      </w:r>
      <w:r w:rsidR="00AC1190">
        <w:rPr>
          <w:rFonts w:ascii="Cambria" w:eastAsia="Calibri" w:hAnsi="Cambria" w:cs="Calibri"/>
          <w:color w:val="000000" w:themeColor="text1"/>
          <w:sz w:val="20"/>
          <w:szCs w:val="20"/>
        </w:rPr>
        <w:t>14</w:t>
      </w:r>
      <w:r w:rsidR="00F21B0A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dní od podpisu </w:t>
      </w:r>
      <w:r w:rsidR="00445081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této </w:t>
      </w:r>
      <w:r w:rsidR="00F21B0A" w:rsidRPr="00F21B0A">
        <w:rPr>
          <w:rFonts w:ascii="Cambria" w:eastAsia="Calibri" w:hAnsi="Cambria" w:cs="Calibri"/>
          <w:color w:val="000000" w:themeColor="text1"/>
          <w:sz w:val="20"/>
          <w:szCs w:val="20"/>
        </w:rPr>
        <w:t>smlouvy na bankovní účet poskytovatele.</w:t>
      </w:r>
    </w:p>
    <w:p w14:paraId="529E6A14" w14:textId="346E53D2" w:rsidR="00011CC7" w:rsidRPr="00F21B0A" w:rsidRDefault="00011CC7" w:rsidP="00011CC7">
      <w:pPr>
        <w:numPr>
          <w:ilvl w:val="0"/>
          <w:numId w:val="6"/>
        </w:numPr>
        <w:spacing w:after="0"/>
        <w:jc w:val="both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F21B0A">
        <w:rPr>
          <w:rFonts w:ascii="Cambria" w:eastAsia="Calibri" w:hAnsi="Cambria" w:cs="Calibri"/>
          <w:color w:val="000000" w:themeColor="text1"/>
          <w:sz w:val="20"/>
          <w:szCs w:val="20"/>
        </w:rPr>
        <w:t>Povinnost zaplatit je splněna dnem připsání příslušné částky na účet poskytovatele.</w:t>
      </w:r>
    </w:p>
    <w:p w14:paraId="2258587C" w14:textId="77777777" w:rsidR="00011CC7" w:rsidRPr="00011CC7" w:rsidRDefault="00011CC7" w:rsidP="00011CC7">
      <w:pPr>
        <w:spacing w:after="0" w:line="240" w:lineRule="auto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</w:p>
    <w:p w14:paraId="54219367" w14:textId="77777777" w:rsidR="00094D88" w:rsidRDefault="00094D88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</w:p>
    <w:p w14:paraId="32475102" w14:textId="1F928C6A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IV.</w:t>
      </w:r>
    </w:p>
    <w:p w14:paraId="74FB89E6" w14:textId="77777777" w:rsidR="00011CC7" w:rsidRPr="00011CC7" w:rsidRDefault="00011CC7" w:rsidP="00011CC7">
      <w:pPr>
        <w:spacing w:after="0" w:line="240" w:lineRule="auto"/>
        <w:ind w:left="425" w:hanging="425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Práva a povinnosti smluvních stran</w:t>
      </w:r>
    </w:p>
    <w:p w14:paraId="70E62407" w14:textId="77777777" w:rsidR="00011CC7" w:rsidRPr="00011CC7" w:rsidRDefault="00011CC7" w:rsidP="00011CC7">
      <w:pPr>
        <w:spacing w:after="0" w:line="240" w:lineRule="auto"/>
        <w:ind w:left="425" w:hanging="425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</w:p>
    <w:p w14:paraId="48011AE7" w14:textId="77777777" w:rsidR="00011CC7" w:rsidRPr="00011CC7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>Jednotlivé reportáže budou činěny na základě objednávky učiněné písemně v elektronické formě. Poskytovatel objednávku potvrdí nejpozději do 5 dní od jejího obdržení.</w:t>
      </w:r>
    </w:p>
    <w:p w14:paraId="6D71DB38" w14:textId="77777777" w:rsidR="00011CC7" w:rsidRPr="00011CC7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Práva a povinnosti smluvních stran vzniklé na základě této smlouvy nebo v souvislosti s ní se řídí právními předpisy České republiky. </w:t>
      </w:r>
    </w:p>
    <w:p w14:paraId="43F3E23D" w14:textId="77777777" w:rsidR="00011CC7" w:rsidRPr="00011CC7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Objednatel bere na vědomí, že výroba, zpracování a vysílání reportáží podléhá zejména nikoli však výlučně zákonu č. 121/2000 Sb., o právu autorském, o právech souvisejících s právem autorským a o změně některých zákonů, ve znění pozdějších předpisů, zákonu č. 231/2001 Sb., o provozování rozhlasového a televizního vysílání a o změně dalších zákonů, ve znění pozdějších předpisů či zákonu č. 40/1995 Sb., o regulaci reklamy, ve znění pozdějších předpisů. </w:t>
      </w:r>
    </w:p>
    <w:p w14:paraId="7E3B1167" w14:textId="77777777" w:rsidR="00011CC7" w:rsidRPr="00011CC7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Poskytovatel bude při plnění dle této smlouvy respektovat pokyny objednatele, řídit se vyjádřeními a připomínkami objednatele, pokud nejsou v rozporu s obecně platnými předpisy. Pokud budou pokyny objednatele nevhodné, poskytovatel objednatele na jejich nevhodnost upozorní. </w:t>
      </w:r>
    </w:p>
    <w:p w14:paraId="12BDFEA6" w14:textId="77777777" w:rsidR="00011CC7" w:rsidRPr="00011CC7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Poskytovatel se zavazuje bez zbytečného odkladu informovat objednatele o skutečnostech, které by mohly ovlivnit řádné a včasné plnění smlouvy. </w:t>
      </w:r>
    </w:p>
    <w:p w14:paraId="1DDEE180" w14:textId="0A250590" w:rsidR="00011CC7" w:rsidRPr="00046594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  <w:highlight w:val="yellow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Objednatel se zavazuje poskytnout poskytovateli po celou dobu realizace plnění dle této smlouvy včasnou a řádnou informační a odbornou podporu a nezbytnou součinnost v rozsahu nutném k řádnému a včasnému provedení plnění dle této smlouvy. Pověřenou osobou, která bude pravidelně </w:t>
      </w: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lastRenderedPageBreak/>
        <w:t xml:space="preserve">komunikovat s poskytovatelem, a prostřednictvím které budou předávány náměty na </w:t>
      </w:r>
      <w:r w:rsidRPr="00F21B0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reportáže je </w:t>
      </w:r>
      <w:r w:rsidR="00A61CC2" w:rsidRPr="00046594">
        <w:rPr>
          <w:rFonts w:ascii="Cambria" w:eastAsia="Calibri" w:hAnsi="Cambria" w:cs="Calibri"/>
          <w:color w:val="000000" w:themeColor="text1"/>
          <w:sz w:val="20"/>
          <w:szCs w:val="20"/>
        </w:rPr>
        <w:t>Bc.</w:t>
      </w:r>
      <w:r w:rsidR="00E34EF2">
        <w:rPr>
          <w:rFonts w:ascii="Cambria" w:eastAsia="Calibri" w:hAnsi="Cambria" w:cs="Calibri"/>
          <w:color w:val="000000" w:themeColor="text1"/>
          <w:sz w:val="20"/>
          <w:szCs w:val="20"/>
        </w:rPr>
        <w:t> </w:t>
      </w:r>
      <w:r w:rsidR="00A61CC2" w:rsidRPr="00046594">
        <w:rPr>
          <w:rFonts w:ascii="Cambria" w:eastAsia="Calibri" w:hAnsi="Cambria" w:cs="Calibri"/>
          <w:color w:val="000000" w:themeColor="text1"/>
          <w:sz w:val="20"/>
          <w:szCs w:val="20"/>
        </w:rPr>
        <w:t>Tereza Nováková</w:t>
      </w:r>
      <w:r w:rsidRPr="00046594">
        <w:rPr>
          <w:rFonts w:ascii="Cambria" w:eastAsia="Calibri" w:hAnsi="Cambria" w:cs="Calibri"/>
          <w:color w:val="000000" w:themeColor="text1"/>
          <w:sz w:val="20"/>
          <w:szCs w:val="20"/>
        </w:rPr>
        <w:t>.</w:t>
      </w:r>
    </w:p>
    <w:p w14:paraId="0A7DB203" w14:textId="0018385B" w:rsidR="00011CC7" w:rsidRPr="00011CC7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>Objednatel bude prostřednictvím pověřené osoby zasílat seznam témat, ze kterých požaduje reportáže natočit.</w:t>
      </w:r>
    </w:p>
    <w:p w14:paraId="1322CDA5" w14:textId="77777777" w:rsidR="00011CC7" w:rsidRPr="00011CC7" w:rsidRDefault="00011CC7" w:rsidP="00011CC7">
      <w:pPr>
        <w:pStyle w:val="Style12"/>
        <w:widowControl/>
        <w:numPr>
          <w:ilvl w:val="0"/>
          <w:numId w:val="7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Poskytovatel bude realizovat plnění dle této smlouvy v rozsahu a kvalitě sjednané v této smlouvě. Plnění musí odpovídat účelu jeho použití, všeobecně závazným právním předpisům a musí být realizováno v souladu s touto smlouvou. </w:t>
      </w:r>
    </w:p>
    <w:p w14:paraId="31BB55E5" w14:textId="77777777" w:rsidR="00011CC7" w:rsidRPr="00011CC7" w:rsidRDefault="00011CC7" w:rsidP="00011CC7">
      <w:pPr>
        <w:pStyle w:val="Style12"/>
        <w:widowControl/>
        <w:spacing w:line="276" w:lineRule="auto"/>
        <w:rPr>
          <w:rFonts w:ascii="Cambria" w:eastAsia="Calibri" w:hAnsi="Cambria" w:cs="Calibri"/>
          <w:bCs/>
          <w:color w:val="000000" w:themeColor="text1"/>
          <w:sz w:val="20"/>
          <w:szCs w:val="20"/>
        </w:rPr>
      </w:pPr>
    </w:p>
    <w:p w14:paraId="7ADAF061" w14:textId="77777777" w:rsidR="00011CC7" w:rsidRPr="00011CC7" w:rsidRDefault="00011CC7" w:rsidP="00011CC7">
      <w:pPr>
        <w:pStyle w:val="Style12"/>
        <w:widowControl/>
        <w:spacing w:line="240" w:lineRule="auto"/>
        <w:jc w:val="center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V.</w:t>
      </w:r>
    </w:p>
    <w:p w14:paraId="3C44B04D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Společná a závěrečná ustanovení</w:t>
      </w:r>
    </w:p>
    <w:p w14:paraId="322C4594" w14:textId="77777777" w:rsidR="00011CC7" w:rsidRPr="00011CC7" w:rsidRDefault="00011CC7" w:rsidP="00011CC7">
      <w:pPr>
        <w:spacing w:after="0" w:line="240" w:lineRule="auto"/>
        <w:jc w:val="center"/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</w:pPr>
    </w:p>
    <w:p w14:paraId="6775FCCE" w14:textId="77777777" w:rsidR="00011CC7" w:rsidRPr="00011CC7" w:rsidRDefault="00011CC7" w:rsidP="00011CC7">
      <w:pPr>
        <w:pStyle w:val="Style12"/>
        <w:widowControl/>
        <w:numPr>
          <w:ilvl w:val="0"/>
          <w:numId w:val="8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>Veškeré změny této smlouvy jsou možné pouze na základě písemných listinných dodatků podepsaných osobami oprávněnými jednat jménem smluvních stran.</w:t>
      </w:r>
    </w:p>
    <w:p w14:paraId="347053F6" w14:textId="4541D63A" w:rsidR="00011CC7" w:rsidRPr="00011CC7" w:rsidRDefault="00011CC7" w:rsidP="00011CC7">
      <w:pPr>
        <w:pStyle w:val="Style12"/>
        <w:widowControl/>
        <w:numPr>
          <w:ilvl w:val="0"/>
          <w:numId w:val="8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Objednatel potvrzuje, že uzavření této smlouvy bylo schváleno </w:t>
      </w:r>
      <w:r w:rsidRPr="00046594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Radou města </w:t>
      </w:r>
      <w:r w:rsidR="00AC1190" w:rsidRPr="00046594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Žamberk </w:t>
      </w:r>
      <w:r w:rsidRPr="00046594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dne </w:t>
      </w:r>
      <w:r w:rsidR="00DC1BFF">
        <w:rPr>
          <w:rFonts w:ascii="Cambria" w:eastAsia="Calibri" w:hAnsi="Cambria" w:cs="Calibri"/>
          <w:color w:val="000000" w:themeColor="text1"/>
          <w:sz w:val="20"/>
          <w:szCs w:val="20"/>
        </w:rPr>
        <w:t>……………</w:t>
      </w:r>
      <w:r w:rsidR="006647F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</w:t>
      </w:r>
      <w:r w:rsidRPr="00046594">
        <w:rPr>
          <w:rFonts w:ascii="Cambria" w:eastAsia="Calibri" w:hAnsi="Cambria" w:cs="Calibri"/>
          <w:color w:val="000000" w:themeColor="text1"/>
          <w:sz w:val="20"/>
          <w:szCs w:val="20"/>
        </w:rPr>
        <w:t>usnesením č.</w:t>
      </w:r>
      <w:r w:rsidR="006647FA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 </w:t>
      </w:r>
      <w:r w:rsidR="00DC1BFF">
        <w:rPr>
          <w:rFonts w:ascii="Cambria" w:eastAsia="Calibri" w:hAnsi="Cambria" w:cs="Calibri"/>
          <w:color w:val="000000" w:themeColor="text1"/>
          <w:sz w:val="20"/>
          <w:szCs w:val="20"/>
        </w:rPr>
        <w:t>………………..</w:t>
      </w:r>
    </w:p>
    <w:p w14:paraId="5451D823" w14:textId="77777777" w:rsidR="00011CC7" w:rsidRPr="00011CC7" w:rsidRDefault="00011CC7" w:rsidP="00011CC7">
      <w:pPr>
        <w:pStyle w:val="Style12"/>
        <w:widowControl/>
        <w:numPr>
          <w:ilvl w:val="0"/>
          <w:numId w:val="8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>Tato smlouva je vyhotovena ve dvou vyhotoveních, z nichž každá smluvní strana obdrží jedno vyhotovení.</w:t>
      </w:r>
    </w:p>
    <w:p w14:paraId="62DD9366" w14:textId="4E5FBE08" w:rsidR="00011CC7" w:rsidRPr="00011CC7" w:rsidRDefault="00011CC7" w:rsidP="00011CC7">
      <w:pPr>
        <w:pStyle w:val="Style12"/>
        <w:widowControl/>
        <w:numPr>
          <w:ilvl w:val="0"/>
          <w:numId w:val="8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>Tato smlouva nabývá platnosti dnem jejího podpisu smluvními stranami a účinnosti dnem uveřejnění v registru smluv. Zveřejnění smlouvy zajistí v souladu se zákonem č. 340/2015 Sb. objednatel.</w:t>
      </w:r>
    </w:p>
    <w:p w14:paraId="696CA457" w14:textId="77777777" w:rsidR="00011CC7" w:rsidRPr="00011CC7" w:rsidRDefault="00011CC7" w:rsidP="00011CC7">
      <w:pPr>
        <w:pStyle w:val="Style12"/>
        <w:widowControl/>
        <w:numPr>
          <w:ilvl w:val="0"/>
          <w:numId w:val="8"/>
        </w:numPr>
        <w:spacing w:line="276" w:lineRule="auto"/>
        <w:rPr>
          <w:rFonts w:ascii="Cambria" w:eastAsia="Calibri" w:hAnsi="Cambria" w:cs="Calibri"/>
          <w:color w:val="000000" w:themeColor="text1"/>
          <w:sz w:val="20"/>
          <w:szCs w:val="20"/>
        </w:rPr>
      </w:pPr>
      <w:r w:rsidRPr="00011CC7">
        <w:rPr>
          <w:rFonts w:ascii="Cambria" w:eastAsia="Calibri" w:hAnsi="Cambria" w:cs="Calibri"/>
          <w:color w:val="000000" w:themeColor="text1"/>
          <w:sz w:val="20"/>
          <w:szCs w:val="20"/>
        </w:rPr>
        <w:t>Smluvní strany prohlašují, že je jim znám obsah této smlouvy, že tato smlouva je projevem jejich pravé a svobodné vůle, že si smlouvu před podpisem přečetly a s jejím obsahem bezvýhradně souhlasí.</w:t>
      </w:r>
    </w:p>
    <w:p w14:paraId="27CDE615" w14:textId="77777777" w:rsidR="00011CC7" w:rsidRPr="00011CC7" w:rsidRDefault="00011CC7" w:rsidP="00011CC7">
      <w:pPr>
        <w:pStyle w:val="Style12"/>
        <w:widowControl/>
        <w:spacing w:line="240" w:lineRule="auto"/>
        <w:ind w:left="357"/>
        <w:rPr>
          <w:rFonts w:ascii="Cambria" w:eastAsia="Calibri" w:hAnsi="Cambria" w:cs="Calibri"/>
          <w:color w:val="000000" w:themeColor="text1"/>
          <w:sz w:val="20"/>
          <w:szCs w:val="20"/>
        </w:rPr>
      </w:pPr>
    </w:p>
    <w:p w14:paraId="21006CA7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854FEE9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5FC40BFB" w14:textId="348115EF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11CC7">
        <w:rPr>
          <w:rFonts w:ascii="Cambria" w:hAnsi="Cambria"/>
          <w:color w:val="000000" w:themeColor="text1"/>
          <w:sz w:val="20"/>
          <w:szCs w:val="20"/>
        </w:rPr>
        <w:t>V</w:t>
      </w:r>
      <w:r w:rsidR="00F21B0A">
        <w:rPr>
          <w:rFonts w:ascii="Cambria" w:hAnsi="Cambria"/>
          <w:color w:val="000000" w:themeColor="text1"/>
          <w:sz w:val="20"/>
          <w:szCs w:val="20"/>
        </w:rPr>
        <w:t> České Třebové</w:t>
      </w:r>
      <w:r w:rsidRPr="00011CC7">
        <w:rPr>
          <w:rFonts w:ascii="Cambria" w:hAnsi="Cambria"/>
          <w:color w:val="000000" w:themeColor="text1"/>
          <w:sz w:val="20"/>
          <w:szCs w:val="20"/>
        </w:rPr>
        <w:t xml:space="preserve"> dne …………………..</w:t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  <w:t xml:space="preserve">V </w:t>
      </w:r>
      <w:r w:rsidR="00503E83">
        <w:rPr>
          <w:rFonts w:ascii="Cambria" w:hAnsi="Cambria"/>
          <w:color w:val="000000" w:themeColor="text1"/>
          <w:sz w:val="20"/>
          <w:szCs w:val="20"/>
        </w:rPr>
        <w:t>Žamberku</w:t>
      </w:r>
      <w:r w:rsidRPr="00011CC7">
        <w:rPr>
          <w:rFonts w:ascii="Cambria" w:hAnsi="Cambria"/>
          <w:color w:val="000000" w:themeColor="text1"/>
          <w:sz w:val="20"/>
          <w:szCs w:val="20"/>
        </w:rPr>
        <w:t xml:space="preserve"> dne …………………..</w:t>
      </w:r>
    </w:p>
    <w:p w14:paraId="7F0C8621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E829A0D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35C9428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61AC752E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30185DD3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31D421A6" w14:textId="77777777" w:rsidR="00011CC7" w:rsidRPr="00011CC7" w:rsidRDefault="00011CC7" w:rsidP="00011CC7">
      <w:pPr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321BA769" w14:textId="77777777" w:rsidR="00011CC7" w:rsidRPr="00011CC7" w:rsidRDefault="00011CC7" w:rsidP="00011CC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11CC7">
        <w:rPr>
          <w:rFonts w:ascii="Cambria" w:hAnsi="Cambria"/>
          <w:color w:val="000000" w:themeColor="text1"/>
          <w:sz w:val="20"/>
          <w:szCs w:val="20"/>
        </w:rPr>
        <w:t>………………………………………………</w:t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  <w:t>………………………………………………</w:t>
      </w:r>
    </w:p>
    <w:p w14:paraId="69F23345" w14:textId="679D7CDE" w:rsidR="00011CC7" w:rsidRPr="00011CC7" w:rsidRDefault="00011CC7" w:rsidP="00011CC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11CC7">
        <w:rPr>
          <w:rFonts w:ascii="Cambria" w:hAnsi="Cambria"/>
          <w:color w:val="000000" w:themeColor="text1"/>
          <w:sz w:val="20"/>
          <w:szCs w:val="20"/>
        </w:rPr>
        <w:t xml:space="preserve">Orlická mediální skupina, z.s.     </w:t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  <w:t xml:space="preserve">Město </w:t>
      </w:r>
      <w:r w:rsidR="00503E83">
        <w:rPr>
          <w:rFonts w:ascii="Cambria" w:hAnsi="Cambria"/>
          <w:color w:val="000000" w:themeColor="text1"/>
          <w:sz w:val="20"/>
          <w:szCs w:val="20"/>
        </w:rPr>
        <w:t>Žamberk</w:t>
      </w:r>
    </w:p>
    <w:p w14:paraId="0BA5CCE4" w14:textId="4F955295" w:rsidR="00011CC7" w:rsidRPr="00011CC7" w:rsidRDefault="00011CC7" w:rsidP="00011CC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11CC7">
        <w:rPr>
          <w:rFonts w:ascii="Cambria" w:hAnsi="Cambria"/>
          <w:color w:val="000000" w:themeColor="text1"/>
          <w:sz w:val="20"/>
          <w:szCs w:val="20"/>
        </w:rPr>
        <w:t>Martin Vašíček</w:t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="00503E83">
        <w:rPr>
          <w:rFonts w:ascii="Cambria" w:hAnsi="Cambria"/>
          <w:color w:val="000000" w:themeColor="text1"/>
          <w:sz w:val="20"/>
          <w:szCs w:val="20"/>
        </w:rPr>
        <w:t>Jiří Mencák</w:t>
      </w:r>
    </w:p>
    <w:p w14:paraId="72B1ECBD" w14:textId="77777777" w:rsidR="00011CC7" w:rsidRPr="00011CC7" w:rsidRDefault="00011CC7" w:rsidP="00011CC7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00011CC7">
        <w:rPr>
          <w:rFonts w:ascii="Cambria" w:hAnsi="Cambria"/>
          <w:color w:val="000000" w:themeColor="text1"/>
          <w:sz w:val="20"/>
          <w:szCs w:val="20"/>
        </w:rPr>
        <w:t>předseda rady spolku</w:t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  <w:r w:rsidRPr="00011CC7">
        <w:rPr>
          <w:rFonts w:ascii="Cambria" w:hAnsi="Cambria"/>
          <w:color w:val="000000" w:themeColor="text1"/>
          <w:sz w:val="20"/>
          <w:szCs w:val="20"/>
        </w:rPr>
        <w:tab/>
        <w:t>starosta města</w:t>
      </w:r>
      <w:r w:rsidRPr="00011CC7">
        <w:rPr>
          <w:rFonts w:ascii="Cambria" w:hAnsi="Cambria"/>
          <w:color w:val="000000" w:themeColor="text1"/>
          <w:sz w:val="20"/>
          <w:szCs w:val="20"/>
        </w:rPr>
        <w:tab/>
      </w:r>
    </w:p>
    <w:p w14:paraId="2ED40B6B" w14:textId="77777777" w:rsidR="00011CC7" w:rsidRPr="00011CC7" w:rsidRDefault="00011CC7" w:rsidP="00011CC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17C6CBFC" w14:textId="77777777" w:rsidR="00011CC7" w:rsidRPr="00011CC7" w:rsidRDefault="00011CC7" w:rsidP="00011CC7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3D9DAC12" w14:textId="77777777" w:rsidR="00281EDF" w:rsidRPr="00011CC7" w:rsidRDefault="00281EDF">
      <w:pPr>
        <w:rPr>
          <w:rFonts w:ascii="Cambria" w:hAnsi="Cambria"/>
          <w:color w:val="000000" w:themeColor="text1"/>
        </w:rPr>
      </w:pPr>
    </w:p>
    <w:sectPr w:rsidR="00281EDF" w:rsidRPr="00011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8AC9" w14:textId="77777777" w:rsidR="000B1FCE" w:rsidRDefault="000B1FCE">
      <w:pPr>
        <w:spacing w:after="0" w:line="240" w:lineRule="auto"/>
      </w:pPr>
      <w:r>
        <w:separator/>
      </w:r>
    </w:p>
  </w:endnote>
  <w:endnote w:type="continuationSeparator" w:id="0">
    <w:p w14:paraId="0F0E7191" w14:textId="77777777" w:rsidR="000B1FCE" w:rsidRDefault="000B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26796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01F4F95B" w14:textId="77777777" w:rsidR="00281EDF" w:rsidRPr="000F43E2" w:rsidRDefault="00CC5879">
        <w:pPr>
          <w:pStyle w:val="Zpat"/>
          <w:jc w:val="right"/>
          <w:rPr>
            <w:rFonts w:asciiTheme="majorHAnsi" w:hAnsiTheme="majorHAnsi"/>
            <w:sz w:val="16"/>
            <w:szCs w:val="16"/>
          </w:rPr>
        </w:pPr>
        <w:r w:rsidRPr="000F43E2">
          <w:rPr>
            <w:rFonts w:asciiTheme="majorHAnsi" w:hAnsiTheme="majorHAnsi"/>
            <w:sz w:val="16"/>
            <w:szCs w:val="16"/>
          </w:rPr>
          <w:fldChar w:fldCharType="begin"/>
        </w:r>
        <w:r w:rsidRPr="000F43E2">
          <w:rPr>
            <w:rFonts w:asciiTheme="majorHAnsi" w:hAnsiTheme="majorHAnsi"/>
            <w:sz w:val="16"/>
            <w:szCs w:val="16"/>
          </w:rPr>
          <w:instrText>PAGE   \* MERGEFORMAT</w:instrText>
        </w:r>
        <w:r w:rsidRPr="000F43E2">
          <w:rPr>
            <w:rFonts w:asciiTheme="majorHAnsi" w:hAnsiTheme="majorHAnsi"/>
            <w:sz w:val="16"/>
            <w:szCs w:val="16"/>
          </w:rPr>
          <w:fldChar w:fldCharType="separate"/>
        </w:r>
        <w:r>
          <w:rPr>
            <w:rFonts w:asciiTheme="majorHAnsi" w:hAnsiTheme="majorHAnsi"/>
            <w:noProof/>
            <w:sz w:val="16"/>
            <w:szCs w:val="16"/>
          </w:rPr>
          <w:t>4</w:t>
        </w:r>
        <w:r w:rsidRPr="000F43E2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2E0ED547" w14:textId="77777777" w:rsidR="00281EDF" w:rsidRDefault="00281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C416" w14:textId="77777777" w:rsidR="000B1FCE" w:rsidRDefault="000B1FCE">
      <w:pPr>
        <w:spacing w:after="0" w:line="240" w:lineRule="auto"/>
      </w:pPr>
      <w:r>
        <w:separator/>
      </w:r>
    </w:p>
  </w:footnote>
  <w:footnote w:type="continuationSeparator" w:id="0">
    <w:p w14:paraId="4CB10CD2" w14:textId="77777777" w:rsidR="000B1FCE" w:rsidRDefault="000B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3A4B" w14:textId="77777777" w:rsidR="00281EDF" w:rsidRPr="00070F29" w:rsidRDefault="00CC5879" w:rsidP="00070F29">
    <w:pPr>
      <w:pStyle w:val="Zhlav"/>
      <w:tabs>
        <w:tab w:val="left" w:pos="3300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CFE"/>
    <w:multiLevelType w:val="hybridMultilevel"/>
    <w:tmpl w:val="ED2A0324"/>
    <w:lvl w:ilvl="0" w:tplc="592C5F7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512"/>
    <w:multiLevelType w:val="hybridMultilevel"/>
    <w:tmpl w:val="909E8A44"/>
    <w:lvl w:ilvl="0" w:tplc="395830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7FA8"/>
    <w:multiLevelType w:val="multilevel"/>
    <w:tmpl w:val="483C9DC4"/>
    <w:numStyleLink w:val="Importovanstyl5"/>
  </w:abstractNum>
  <w:abstractNum w:abstractNumId="3" w15:restartNumberingAfterBreak="0">
    <w:nsid w:val="33CE2854"/>
    <w:multiLevelType w:val="multilevel"/>
    <w:tmpl w:val="483C9DC4"/>
    <w:styleLink w:val="Importovanstyl5"/>
    <w:lvl w:ilvl="0">
      <w:start w:val="1"/>
      <w:numFmt w:val="decimal"/>
      <w:lvlText w:val="%1."/>
      <w:lvlJc w:val="left"/>
      <w:pPr>
        <w:ind w:left="357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1" w:hanging="50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18" w:hanging="3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27" w:hanging="6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2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36" w:hanging="67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36" w:hanging="31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545" w:hanging="6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55F38DF"/>
    <w:multiLevelType w:val="multilevel"/>
    <w:tmpl w:val="A95491D2"/>
    <w:numStyleLink w:val="Importovanstyl10"/>
  </w:abstractNum>
  <w:abstractNum w:abstractNumId="5" w15:restartNumberingAfterBreak="0">
    <w:nsid w:val="4E9323B5"/>
    <w:multiLevelType w:val="multilevel"/>
    <w:tmpl w:val="80ACBB20"/>
    <w:styleLink w:val="Importovanstyl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18" w:hanging="3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27" w:hanging="6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2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36" w:hanging="67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36" w:hanging="31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545" w:hanging="6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6A37485"/>
    <w:multiLevelType w:val="multilevel"/>
    <w:tmpl w:val="80ACBB20"/>
    <w:numStyleLink w:val="Importovanstyl8"/>
  </w:abstractNum>
  <w:abstractNum w:abstractNumId="7" w15:restartNumberingAfterBreak="0">
    <w:nsid w:val="5C004475"/>
    <w:multiLevelType w:val="multilevel"/>
    <w:tmpl w:val="8C807E5A"/>
    <w:numStyleLink w:val="Importovanstyl6"/>
  </w:abstractNum>
  <w:abstractNum w:abstractNumId="8" w15:restartNumberingAfterBreak="0">
    <w:nsid w:val="5D670296"/>
    <w:multiLevelType w:val="multilevel"/>
    <w:tmpl w:val="8C807E5A"/>
    <w:styleLink w:val="Importovanstyl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18" w:hanging="3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27" w:hanging="6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2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36" w:hanging="67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36" w:hanging="31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545" w:hanging="6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B65530D"/>
    <w:multiLevelType w:val="hybridMultilevel"/>
    <w:tmpl w:val="0E564792"/>
    <w:lvl w:ilvl="0" w:tplc="340AA9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9F2065"/>
    <w:multiLevelType w:val="multilevel"/>
    <w:tmpl w:val="A95491D2"/>
    <w:styleLink w:val="Importovanstyl10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1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27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36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3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545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59087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064473">
    <w:abstractNumId w:val="0"/>
  </w:num>
  <w:num w:numId="3" w16cid:durableId="2088917849">
    <w:abstractNumId w:val="1"/>
  </w:num>
  <w:num w:numId="4" w16cid:durableId="464347439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asciiTheme="majorHAnsi" w:eastAsia="Trebuchet MS" w:hAnsiTheme="majorHAnsi" w:cs="Trebuchet MS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184510577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eastAsia="Trebuchet MS" w:hAnsiTheme="majorHAnsi" w:cs="Trebuchet MS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544059296">
    <w:abstractNumId w:val="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asciiTheme="majorHAnsi" w:eastAsia="Trebuchet MS" w:hAnsiTheme="majorHAnsi" w:cs="Trebuchet MS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34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1" w:hanging="5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3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27" w:hanging="68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27" w:hanging="32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36" w:hanging="67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36" w:hanging="31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45" w:hanging="66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7" w16cid:durableId="2108184830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eastAsia="Calibri" w:hAnsiTheme="majorHAnsi" w:cs="Calibri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31426414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221601354">
    <w:abstractNumId w:val="3"/>
  </w:num>
  <w:num w:numId="10" w16cid:durableId="119150088">
    <w:abstractNumId w:val="5"/>
  </w:num>
  <w:num w:numId="11" w16cid:durableId="1673532058">
    <w:abstractNumId w:val="8"/>
  </w:num>
  <w:num w:numId="12" w16cid:durableId="1313291038">
    <w:abstractNumId w:val="10"/>
  </w:num>
  <w:num w:numId="13" w16cid:durableId="243876328">
    <w:abstractNumId w:val="6"/>
  </w:num>
  <w:num w:numId="14" w16cid:durableId="653920088">
    <w:abstractNumId w:val="2"/>
  </w:num>
  <w:num w:numId="15" w16cid:durableId="1939294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7"/>
    <w:rsid w:val="00011CC7"/>
    <w:rsid w:val="00046594"/>
    <w:rsid w:val="00094D88"/>
    <w:rsid w:val="000A72A6"/>
    <w:rsid w:val="000B1FCE"/>
    <w:rsid w:val="001F06AF"/>
    <w:rsid w:val="002064A3"/>
    <w:rsid w:val="00216AB0"/>
    <w:rsid w:val="00281EDF"/>
    <w:rsid w:val="00301955"/>
    <w:rsid w:val="0031225D"/>
    <w:rsid w:val="003145A1"/>
    <w:rsid w:val="003E01C4"/>
    <w:rsid w:val="00445081"/>
    <w:rsid w:val="00482B34"/>
    <w:rsid w:val="00496BB3"/>
    <w:rsid w:val="004E2363"/>
    <w:rsid w:val="00503E83"/>
    <w:rsid w:val="005E0B4B"/>
    <w:rsid w:val="006647FA"/>
    <w:rsid w:val="007C4BFF"/>
    <w:rsid w:val="008E6320"/>
    <w:rsid w:val="009F3C2D"/>
    <w:rsid w:val="00A61CC2"/>
    <w:rsid w:val="00AC1190"/>
    <w:rsid w:val="00B95C3D"/>
    <w:rsid w:val="00BA3B15"/>
    <w:rsid w:val="00BA73DF"/>
    <w:rsid w:val="00CC5879"/>
    <w:rsid w:val="00DC1BFF"/>
    <w:rsid w:val="00E34EF2"/>
    <w:rsid w:val="00F21B0A"/>
    <w:rsid w:val="00F32070"/>
    <w:rsid w:val="00FA6107"/>
    <w:rsid w:val="00FB27A4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4B3E"/>
  <w15:chartTrackingRefBased/>
  <w15:docId w15:val="{AA652F01-D2C9-6E47-BA36-72CAB66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CC7"/>
    <w:pPr>
      <w:spacing w:after="200" w:line="276" w:lineRule="auto"/>
    </w:pPr>
    <w:rPr>
      <w:sz w:val="22"/>
      <w:szCs w:val="22"/>
      <w:lang w:bidi="ar-SA"/>
    </w:rPr>
  </w:style>
  <w:style w:type="paragraph" w:styleId="Nadpis2">
    <w:name w:val="heading 2"/>
    <w:next w:val="Normln"/>
    <w:link w:val="Nadpis2Char"/>
    <w:unhideWhenUsed/>
    <w:qFormat/>
    <w:rsid w:val="00011CC7"/>
    <w:pPr>
      <w:keepNext/>
      <w:jc w:val="center"/>
      <w:outlineLvl w:val="1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11CC7"/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lang w:eastAsia="cs-CZ" w:bidi="ar-SA"/>
    </w:rPr>
  </w:style>
  <w:style w:type="paragraph" w:styleId="Normlnweb">
    <w:name w:val="Normal (Web)"/>
    <w:basedOn w:val="Normln"/>
    <w:semiHidden/>
    <w:unhideWhenUsed/>
    <w:rsid w:val="0001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1CC7"/>
    <w:pPr>
      <w:ind w:left="720"/>
      <w:contextualSpacing/>
    </w:pPr>
  </w:style>
  <w:style w:type="paragraph" w:customStyle="1" w:styleId="Style12">
    <w:name w:val="Style12"/>
    <w:rsid w:val="00011CC7"/>
    <w:pPr>
      <w:widowControl w:val="0"/>
      <w:spacing w:line="262" w:lineRule="exact"/>
      <w:jc w:val="both"/>
    </w:pPr>
    <w:rPr>
      <w:rFonts w:ascii="Times New Roman" w:eastAsia="Arial Unicode MS" w:hAnsi="Times New Roman" w:cs="Arial Unicode MS"/>
      <w:color w:val="000000"/>
      <w:u w:color="000000"/>
      <w:lang w:eastAsia="cs-CZ" w:bidi="ar-SA"/>
    </w:rPr>
  </w:style>
  <w:style w:type="numbering" w:customStyle="1" w:styleId="Importovanstyl5">
    <w:name w:val="Importovaný styl 5"/>
    <w:rsid w:val="00011CC7"/>
    <w:pPr>
      <w:numPr>
        <w:numId w:val="9"/>
      </w:numPr>
    </w:pPr>
  </w:style>
  <w:style w:type="numbering" w:customStyle="1" w:styleId="Importovanstyl8">
    <w:name w:val="Importovaný styl 8"/>
    <w:rsid w:val="00011CC7"/>
    <w:pPr>
      <w:numPr>
        <w:numId w:val="10"/>
      </w:numPr>
    </w:pPr>
  </w:style>
  <w:style w:type="numbering" w:customStyle="1" w:styleId="Importovanstyl6">
    <w:name w:val="Importovaný styl 6"/>
    <w:rsid w:val="00011CC7"/>
    <w:pPr>
      <w:numPr>
        <w:numId w:val="11"/>
      </w:numPr>
    </w:pPr>
  </w:style>
  <w:style w:type="numbering" w:customStyle="1" w:styleId="Importovanstyl10">
    <w:name w:val="Importovaný styl 10"/>
    <w:rsid w:val="00011CC7"/>
    <w:pPr>
      <w:numPr>
        <w:numId w:val="12"/>
      </w:numPr>
    </w:pPr>
  </w:style>
  <w:style w:type="paragraph" w:styleId="Zhlav">
    <w:name w:val="header"/>
    <w:basedOn w:val="Normln"/>
    <w:link w:val="ZhlavChar"/>
    <w:uiPriority w:val="99"/>
    <w:unhideWhenUsed/>
    <w:rsid w:val="0001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CC7"/>
    <w:rPr>
      <w:sz w:val="22"/>
      <w:szCs w:val="22"/>
      <w:lang w:bidi="ar-SA"/>
    </w:rPr>
  </w:style>
  <w:style w:type="paragraph" w:styleId="Zpat">
    <w:name w:val="footer"/>
    <w:basedOn w:val="Normln"/>
    <w:link w:val="ZpatChar"/>
    <w:uiPriority w:val="99"/>
    <w:unhideWhenUsed/>
    <w:rsid w:val="0001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CC7"/>
    <w:rPr>
      <w:sz w:val="22"/>
      <w:szCs w:val="22"/>
      <w:lang w:bidi="ar-SA"/>
    </w:rPr>
  </w:style>
  <w:style w:type="character" w:styleId="Hypertextovodkaz">
    <w:name w:val="Hyperlink"/>
    <w:basedOn w:val="Standardnpsmoodstavce"/>
    <w:uiPriority w:val="99"/>
    <w:unhideWhenUsed/>
    <w:rsid w:val="00011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martin.vasicek@oiktv.cz</dc:creator>
  <cp:keywords/>
  <dc:description/>
  <cp:lastModifiedBy>Nováková Tereza</cp:lastModifiedBy>
  <cp:revision>3</cp:revision>
  <cp:lastPrinted>2024-02-21T08:26:00Z</cp:lastPrinted>
  <dcterms:created xsi:type="dcterms:W3CDTF">2026-02-06T11:00:00Z</dcterms:created>
  <dcterms:modified xsi:type="dcterms:W3CDTF">2026-02-06T12:00:00Z</dcterms:modified>
</cp:coreProperties>
</file>