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F039" w14:textId="77777777" w:rsidR="0017222B" w:rsidRDefault="00A84ED5" w:rsidP="00A84ED5">
      <w:pPr>
        <w:pStyle w:val="RLnzevsmlouvy"/>
        <w:spacing w:after="0"/>
        <w:rPr>
          <w:rFonts w:cs="Calibri"/>
          <w:sz w:val="22"/>
          <w:szCs w:val="22"/>
        </w:rPr>
      </w:pPr>
      <w:r w:rsidRPr="005E38D2">
        <w:rPr>
          <w:rFonts w:cs="Calibri"/>
          <w:sz w:val="22"/>
          <w:szCs w:val="22"/>
        </w:rPr>
        <w:t xml:space="preserve">Dodatek č. 1 </w:t>
      </w:r>
    </w:p>
    <w:p w14:paraId="2A84E712" w14:textId="687F8799" w:rsidR="0017222B" w:rsidRPr="00781738" w:rsidRDefault="00A84ED5" w:rsidP="0017222B">
      <w:pPr>
        <w:pStyle w:val="RLnzevsmlouvy"/>
        <w:spacing w:after="0"/>
        <w:rPr>
          <w:rFonts w:asciiTheme="minorHAnsi" w:hAnsiTheme="minorHAnsi" w:cstheme="minorHAnsi"/>
          <w:sz w:val="22"/>
          <w:szCs w:val="22"/>
        </w:rPr>
      </w:pPr>
      <w:r w:rsidRPr="005E38D2">
        <w:rPr>
          <w:rFonts w:cs="Calibri"/>
          <w:sz w:val="22"/>
          <w:szCs w:val="22"/>
        </w:rPr>
        <w:t>k</w:t>
      </w:r>
      <w:r w:rsidR="00AC23C1">
        <w:rPr>
          <w:rFonts w:cs="Calibri"/>
          <w:sz w:val="22"/>
          <w:szCs w:val="22"/>
        </w:rPr>
        <w:t xml:space="preserve"> </w:t>
      </w:r>
      <w:r w:rsidRPr="005E38D2">
        <w:rPr>
          <w:rFonts w:cs="Calibri"/>
          <w:sz w:val="22"/>
          <w:szCs w:val="22"/>
        </w:rPr>
        <w:t xml:space="preserve">rámcově SMLOUVě </w:t>
      </w:r>
      <w:r w:rsidR="0017222B" w:rsidRPr="00781738">
        <w:rPr>
          <w:rFonts w:asciiTheme="minorHAnsi" w:hAnsiTheme="minorHAnsi" w:cstheme="minorHAnsi"/>
          <w:sz w:val="22"/>
          <w:szCs w:val="22"/>
        </w:rPr>
        <w:t xml:space="preserve">NA </w:t>
      </w:r>
      <w:r w:rsidR="0017222B" w:rsidRPr="00E334CA">
        <w:rPr>
          <w:rFonts w:asciiTheme="minorHAnsi" w:hAnsiTheme="minorHAnsi" w:cstheme="minorHAnsi"/>
          <w:sz w:val="22"/>
          <w:szCs w:val="22"/>
        </w:rPr>
        <w:t>servi</w:t>
      </w:r>
      <w:r w:rsidR="0017222B">
        <w:rPr>
          <w:rFonts w:asciiTheme="minorHAnsi" w:hAnsiTheme="minorHAnsi" w:cstheme="minorHAnsi"/>
          <w:sz w:val="22"/>
          <w:szCs w:val="22"/>
        </w:rPr>
        <w:t>s a opravy analogové infrastruktury</w:t>
      </w:r>
      <w:r w:rsidR="0017222B" w:rsidRPr="00E334CA">
        <w:rPr>
          <w:rFonts w:asciiTheme="minorHAnsi" w:hAnsiTheme="minorHAnsi" w:cstheme="minorHAnsi"/>
          <w:sz w:val="22"/>
          <w:szCs w:val="22"/>
        </w:rPr>
        <w:t xml:space="preserve"> v sítích MKS a TSK</w:t>
      </w:r>
    </w:p>
    <w:p w14:paraId="64089BDD" w14:textId="6F8A7D9C" w:rsidR="00A84ED5" w:rsidRPr="005E38D2" w:rsidRDefault="00A84ED5" w:rsidP="00A84ED5">
      <w:pPr>
        <w:jc w:val="center"/>
        <w:rPr>
          <w:rFonts w:eastAsiaTheme="minorHAnsi" w:cs="Calibri"/>
          <w:szCs w:val="22"/>
          <w:lang w:eastAsia="en-US"/>
          <w14:ligatures w14:val="standardContextual"/>
        </w:rPr>
      </w:pPr>
      <w:r w:rsidRPr="005E38D2">
        <w:rPr>
          <w:rFonts w:eastAsiaTheme="minorHAnsi" w:cs="Calibri"/>
          <w:szCs w:val="22"/>
          <w:lang w:eastAsia="en-US"/>
          <w14:ligatures w14:val="standardContextual"/>
        </w:rPr>
        <w:t>(dále jen „</w:t>
      </w:r>
      <w:r w:rsidRPr="005E38D2">
        <w:rPr>
          <w:rFonts w:eastAsiaTheme="minorHAnsi" w:cs="Calibri"/>
          <w:b/>
          <w:bCs/>
          <w:szCs w:val="22"/>
          <w:lang w:eastAsia="en-US"/>
          <w14:ligatures w14:val="standardContextual"/>
        </w:rPr>
        <w:t>Dodatek</w:t>
      </w:r>
      <w:r w:rsidRPr="005E38D2">
        <w:rPr>
          <w:rFonts w:eastAsiaTheme="minorHAnsi" w:cs="Calibri"/>
          <w:szCs w:val="22"/>
          <w:lang w:eastAsia="en-US"/>
          <w14:ligatures w14:val="standardContextual"/>
        </w:rPr>
        <w:t>“)</w:t>
      </w:r>
    </w:p>
    <w:p w14:paraId="39505357" w14:textId="77777777" w:rsidR="00A84ED5" w:rsidRPr="005E38D2" w:rsidRDefault="00A84ED5" w:rsidP="00A84ED5">
      <w:pPr>
        <w:jc w:val="center"/>
        <w:rPr>
          <w:rFonts w:eastAsiaTheme="minorHAnsi" w:cs="Calibri"/>
          <w:szCs w:val="22"/>
          <w:lang w:eastAsia="en-US"/>
          <w14:ligatures w14:val="standardContextual"/>
        </w:rPr>
      </w:pPr>
    </w:p>
    <w:p w14:paraId="6A484D70" w14:textId="77777777" w:rsidR="0017222B" w:rsidRPr="0085355F" w:rsidRDefault="0017222B" w:rsidP="0017222B">
      <w:pPr>
        <w:pStyle w:val="RLdajeosmluvnstran"/>
        <w:rPr>
          <w:szCs w:val="22"/>
        </w:rPr>
      </w:pPr>
      <w:r w:rsidRPr="0085355F">
        <w:rPr>
          <w:szCs w:val="22"/>
        </w:rPr>
        <w:t>Smluvní strany:</w:t>
      </w:r>
    </w:p>
    <w:p w14:paraId="72CF9F92" w14:textId="77777777" w:rsidR="0017222B" w:rsidRPr="00281FFF" w:rsidRDefault="0017222B" w:rsidP="0017222B">
      <w:pPr>
        <w:pStyle w:val="RLdajeosmluvnstran"/>
        <w:rPr>
          <w:b/>
          <w:szCs w:val="22"/>
          <w:highlight w:val="yellow"/>
        </w:rPr>
      </w:pPr>
      <w:r w:rsidRPr="003A59F2">
        <w:rPr>
          <w:b/>
          <w:szCs w:val="22"/>
        </w:rPr>
        <w:t xml:space="preserve">Technologie </w:t>
      </w:r>
      <w:r>
        <w:rPr>
          <w:b/>
          <w:szCs w:val="22"/>
        </w:rPr>
        <w:t>h</w:t>
      </w:r>
      <w:r w:rsidRPr="003A59F2">
        <w:rPr>
          <w:b/>
          <w:szCs w:val="22"/>
        </w:rPr>
        <w:t>lavního města Prahy, a.s.</w:t>
      </w:r>
    </w:p>
    <w:p w14:paraId="222994BC" w14:textId="77777777" w:rsidR="0017222B" w:rsidRPr="00281FFF" w:rsidRDefault="0017222B" w:rsidP="0017222B">
      <w:pPr>
        <w:pStyle w:val="RLdajeosmluvnstran"/>
        <w:rPr>
          <w:szCs w:val="22"/>
        </w:rPr>
      </w:pPr>
      <w:r w:rsidRPr="00281FFF">
        <w:rPr>
          <w:szCs w:val="22"/>
        </w:rPr>
        <w:t xml:space="preserve">se sídlem: </w:t>
      </w:r>
      <w:bookmarkStart w:id="0" w:name="_Hlk48895141"/>
      <w:r w:rsidRPr="003A59F2">
        <w:rPr>
          <w:b/>
          <w:szCs w:val="22"/>
        </w:rPr>
        <w:t>Dělnická 213/12, 170 00, Praha 7</w:t>
      </w:r>
      <w:bookmarkEnd w:id="0"/>
    </w:p>
    <w:p w14:paraId="303BAAF8" w14:textId="77777777" w:rsidR="0017222B" w:rsidRDefault="0017222B" w:rsidP="0017222B">
      <w:pPr>
        <w:pStyle w:val="ZKLADN"/>
        <w:jc w:val="center"/>
        <w:rPr>
          <w:rStyle w:val="doplnuchazeChar"/>
          <w:rFonts w:eastAsiaTheme="minorHAnsi"/>
          <w:sz w:val="22"/>
          <w:szCs w:val="22"/>
          <w:lang w:val="cs-CZ"/>
        </w:rPr>
      </w:pPr>
      <w:r>
        <w:rPr>
          <w:rFonts w:ascii="Calibri" w:hAnsi="Calibri"/>
          <w:sz w:val="22"/>
          <w:szCs w:val="22"/>
          <w:lang w:val="cs-CZ"/>
        </w:rPr>
        <w:t>IČO</w:t>
      </w:r>
      <w:r w:rsidRPr="00281FFF">
        <w:rPr>
          <w:rFonts w:ascii="Calibri" w:hAnsi="Calibri"/>
          <w:sz w:val="22"/>
          <w:szCs w:val="22"/>
          <w:lang w:val="cs-CZ"/>
        </w:rPr>
        <w:t xml:space="preserve">: </w:t>
      </w:r>
      <w:r w:rsidRPr="003A59F2">
        <w:rPr>
          <w:rFonts w:ascii="Calibri" w:hAnsi="Calibri"/>
          <w:b/>
          <w:sz w:val="22"/>
          <w:szCs w:val="22"/>
          <w:lang w:val="cs-CZ"/>
        </w:rPr>
        <w:t>256</w:t>
      </w:r>
      <w:r>
        <w:rPr>
          <w:rFonts w:ascii="Calibri" w:hAnsi="Calibri"/>
          <w:b/>
          <w:sz w:val="22"/>
          <w:szCs w:val="22"/>
          <w:lang w:val="cs-CZ"/>
        </w:rPr>
        <w:t xml:space="preserve"> </w:t>
      </w:r>
      <w:r w:rsidRPr="003A59F2">
        <w:rPr>
          <w:rFonts w:ascii="Calibri" w:hAnsi="Calibri"/>
          <w:b/>
          <w:sz w:val="22"/>
          <w:szCs w:val="22"/>
          <w:lang w:val="cs-CZ"/>
        </w:rPr>
        <w:t>72</w:t>
      </w:r>
      <w:r>
        <w:rPr>
          <w:rFonts w:ascii="Calibri" w:hAnsi="Calibri"/>
          <w:b/>
          <w:sz w:val="22"/>
          <w:szCs w:val="22"/>
          <w:lang w:val="cs-CZ"/>
        </w:rPr>
        <w:t xml:space="preserve"> </w:t>
      </w:r>
      <w:r w:rsidRPr="003A59F2">
        <w:rPr>
          <w:rFonts w:ascii="Calibri" w:hAnsi="Calibri"/>
          <w:b/>
          <w:sz w:val="22"/>
          <w:szCs w:val="22"/>
          <w:lang w:val="cs-CZ"/>
        </w:rPr>
        <w:t>541</w:t>
      </w:r>
      <w:r>
        <w:rPr>
          <w:rFonts w:ascii="Calibri" w:hAnsi="Calibri"/>
          <w:b/>
          <w:sz w:val="22"/>
          <w:szCs w:val="22"/>
          <w:lang w:val="cs-CZ"/>
        </w:rPr>
        <w:t>,</w:t>
      </w:r>
      <w:r w:rsidRPr="003A59F2" w:rsidDel="00382924">
        <w:rPr>
          <w:rFonts w:ascii="Calibri" w:hAnsi="Calibri"/>
          <w:b/>
          <w:sz w:val="22"/>
          <w:szCs w:val="22"/>
          <w:lang w:val="cs-CZ"/>
        </w:rPr>
        <w:t xml:space="preserve"> </w:t>
      </w:r>
      <w:r w:rsidRPr="003A59F2">
        <w:rPr>
          <w:rFonts w:ascii="Calibri" w:hAnsi="Calibri"/>
          <w:sz w:val="22"/>
          <w:szCs w:val="22"/>
          <w:lang w:val="cs-CZ"/>
        </w:rPr>
        <w:t xml:space="preserve">DIČ: </w:t>
      </w:r>
      <w:r w:rsidRPr="003A59F2">
        <w:rPr>
          <w:rFonts w:ascii="Calibri" w:hAnsi="Calibri"/>
          <w:b/>
          <w:sz w:val="22"/>
          <w:szCs w:val="22"/>
        </w:rPr>
        <w:t>CZ25672541</w:t>
      </w:r>
      <w:r w:rsidRPr="003A59F2" w:rsidDel="00382924">
        <w:rPr>
          <w:rStyle w:val="doplnuchazeChar"/>
          <w:rFonts w:eastAsiaTheme="minorHAnsi"/>
          <w:sz w:val="22"/>
          <w:szCs w:val="22"/>
          <w:lang w:val="cs-CZ"/>
        </w:rPr>
        <w:t xml:space="preserve"> </w:t>
      </w:r>
    </w:p>
    <w:p w14:paraId="7C1AA82F" w14:textId="77777777" w:rsidR="0017222B" w:rsidRPr="00281FFF" w:rsidRDefault="0017222B" w:rsidP="0017222B">
      <w:pPr>
        <w:pStyle w:val="ZKLADN"/>
        <w:jc w:val="center"/>
        <w:rPr>
          <w:rFonts w:ascii="Calibri" w:hAnsi="Calibri"/>
          <w:sz w:val="22"/>
          <w:szCs w:val="22"/>
          <w:lang w:val="cs-CZ"/>
        </w:rPr>
      </w:pPr>
      <w:r>
        <w:rPr>
          <w:rStyle w:val="doplnuchazeChar"/>
          <w:rFonts w:eastAsiaTheme="minorHAnsi"/>
          <w:sz w:val="22"/>
          <w:szCs w:val="22"/>
          <w:lang w:val="cs-CZ"/>
        </w:rPr>
        <w:t>ID datové schránky:</w:t>
      </w:r>
      <w:r w:rsidRPr="00DE3A8E">
        <w:t xml:space="preserve"> </w:t>
      </w:r>
      <w:r w:rsidRPr="00DE3A8E">
        <w:rPr>
          <w:rStyle w:val="doplnuchazeChar"/>
          <w:rFonts w:eastAsiaTheme="minorHAnsi"/>
          <w:sz w:val="22"/>
          <w:szCs w:val="22"/>
          <w:lang w:val="cs-CZ"/>
        </w:rPr>
        <w:t>u5hgkji</w:t>
      </w:r>
    </w:p>
    <w:p w14:paraId="25B306D7" w14:textId="77777777" w:rsidR="0017222B" w:rsidRPr="00281FFF" w:rsidRDefault="0017222B" w:rsidP="0017222B">
      <w:pPr>
        <w:pStyle w:val="RLdajeosmluvnstran"/>
        <w:rPr>
          <w:szCs w:val="22"/>
        </w:rPr>
      </w:pPr>
      <w:r w:rsidRPr="00281FFF">
        <w:rPr>
          <w:szCs w:val="22"/>
        </w:rPr>
        <w:t xml:space="preserve">společnost zapsaná v obchodním rejstříku vedeném </w:t>
      </w:r>
      <w:r w:rsidRPr="003A59F2">
        <w:rPr>
          <w:b/>
          <w:szCs w:val="22"/>
        </w:rPr>
        <w:t>Městským soudem v Praze</w:t>
      </w:r>
      <w:r w:rsidRPr="00281FFF">
        <w:rPr>
          <w:szCs w:val="22"/>
        </w:rPr>
        <w:t xml:space="preserve"> </w:t>
      </w:r>
    </w:p>
    <w:p w14:paraId="601A3202" w14:textId="77777777" w:rsidR="0017222B" w:rsidRPr="00281FFF" w:rsidRDefault="0017222B" w:rsidP="0017222B">
      <w:pPr>
        <w:pStyle w:val="RLdajeosmluvnstran"/>
        <w:rPr>
          <w:szCs w:val="22"/>
        </w:rPr>
      </w:pPr>
      <w:r w:rsidRPr="003A59F2">
        <w:rPr>
          <w:szCs w:val="22"/>
        </w:rPr>
        <w:t xml:space="preserve">oddíl </w:t>
      </w:r>
      <w:r w:rsidRPr="003A59F2">
        <w:rPr>
          <w:b/>
          <w:szCs w:val="22"/>
        </w:rPr>
        <w:t>B</w:t>
      </w:r>
      <w:r w:rsidRPr="003A59F2">
        <w:rPr>
          <w:szCs w:val="22"/>
        </w:rPr>
        <w:t>, vložka </w:t>
      </w:r>
      <w:r w:rsidRPr="003A59F2">
        <w:rPr>
          <w:b/>
          <w:szCs w:val="22"/>
        </w:rPr>
        <w:t>5402</w:t>
      </w:r>
    </w:p>
    <w:p w14:paraId="67FD50A3" w14:textId="77777777" w:rsidR="0017222B" w:rsidRPr="00281FFF" w:rsidRDefault="0017222B" w:rsidP="0017222B">
      <w:pPr>
        <w:pStyle w:val="RLdajeosmluvnstran"/>
        <w:rPr>
          <w:szCs w:val="22"/>
        </w:rPr>
      </w:pPr>
      <w:r w:rsidRPr="00281FFF">
        <w:rPr>
          <w:szCs w:val="22"/>
        </w:rPr>
        <w:t xml:space="preserve">bank. </w:t>
      </w:r>
      <w:r>
        <w:rPr>
          <w:szCs w:val="22"/>
        </w:rPr>
        <w:t>s</w:t>
      </w:r>
      <w:r w:rsidRPr="00281FFF">
        <w:rPr>
          <w:szCs w:val="22"/>
        </w:rPr>
        <w:t xml:space="preserve">pojení: </w:t>
      </w:r>
      <w:r>
        <w:rPr>
          <w:b/>
          <w:szCs w:val="22"/>
        </w:rPr>
        <w:t>Komerční banka, a.s.</w:t>
      </w:r>
      <w:r w:rsidRPr="00281FFF">
        <w:rPr>
          <w:szCs w:val="22"/>
        </w:rPr>
        <w:t xml:space="preserve">, č. účtu: </w:t>
      </w:r>
      <w:r>
        <w:rPr>
          <w:b/>
          <w:szCs w:val="22"/>
        </w:rPr>
        <w:t>115-5836140217/0100</w:t>
      </w:r>
    </w:p>
    <w:p w14:paraId="278B7AEB" w14:textId="77777777" w:rsidR="0017222B" w:rsidRPr="005E38D2" w:rsidRDefault="0017222B" w:rsidP="0017222B">
      <w:pPr>
        <w:pStyle w:val="RLdajeosmluvnstran"/>
        <w:rPr>
          <w:rFonts w:cs="Calibri"/>
          <w:b/>
          <w:szCs w:val="22"/>
        </w:rPr>
      </w:pPr>
      <w:r w:rsidRPr="00281FFF">
        <w:rPr>
          <w:szCs w:val="22"/>
        </w:rPr>
        <w:t xml:space="preserve">zastoupená: </w:t>
      </w:r>
      <w:r w:rsidRPr="005E38D2">
        <w:rPr>
          <w:rFonts w:cs="Calibri"/>
          <w:b/>
          <w:szCs w:val="22"/>
        </w:rPr>
        <w:t>Tomášem Jílkem, předsedou představenstva, Tomášem Novotným, místopředsedou představenstva, Liborem Fialou, členem představenstva a Michalem Fišerem, členem představenstva</w:t>
      </w:r>
    </w:p>
    <w:p w14:paraId="7BE066C8" w14:textId="77777777" w:rsidR="0017222B" w:rsidRPr="00281FFF" w:rsidRDefault="0017222B" w:rsidP="0017222B">
      <w:pPr>
        <w:pStyle w:val="RLdajeosmluvnstran"/>
        <w:rPr>
          <w:szCs w:val="22"/>
        </w:rPr>
      </w:pPr>
      <w:r>
        <w:rPr>
          <w:rFonts w:asciiTheme="minorHAnsi" w:hAnsiTheme="minorHAnsi"/>
          <w:bCs/>
          <w:szCs w:val="22"/>
        </w:rPr>
        <w:t>č</w:t>
      </w:r>
      <w:r w:rsidRPr="0068270C">
        <w:rPr>
          <w:rFonts w:asciiTheme="minorHAnsi" w:hAnsiTheme="minorHAnsi"/>
          <w:bCs/>
          <w:szCs w:val="22"/>
        </w:rPr>
        <w:t>. smlouvy:</w:t>
      </w:r>
      <w:r>
        <w:rPr>
          <w:rFonts w:asciiTheme="minorHAnsi" w:hAnsiTheme="minorHAnsi"/>
          <w:bCs/>
          <w:szCs w:val="22"/>
        </w:rPr>
        <w:t xml:space="preserve"> </w:t>
      </w:r>
      <w:r>
        <w:rPr>
          <w:b/>
          <w:szCs w:val="22"/>
        </w:rPr>
        <w:t>368/23</w:t>
      </w:r>
    </w:p>
    <w:p w14:paraId="6AD4032F" w14:textId="77777777" w:rsidR="0017222B" w:rsidRDefault="0017222B" w:rsidP="0017222B">
      <w:pPr>
        <w:jc w:val="center"/>
        <w:rPr>
          <w:szCs w:val="22"/>
          <w:lang w:eastAsia="en-US"/>
        </w:rPr>
      </w:pPr>
      <w:r w:rsidRPr="002E6158">
        <w:rPr>
          <w:szCs w:val="22"/>
          <w:lang w:eastAsia="en-US"/>
        </w:rPr>
        <w:t xml:space="preserve"> (dále jen „</w:t>
      </w:r>
      <w:r>
        <w:rPr>
          <w:b/>
          <w:szCs w:val="22"/>
          <w:lang w:eastAsia="en-US"/>
        </w:rPr>
        <w:t>Objednatel</w:t>
      </w:r>
      <w:r w:rsidRPr="002E6158">
        <w:rPr>
          <w:szCs w:val="22"/>
          <w:lang w:eastAsia="en-US"/>
        </w:rPr>
        <w:t>“)</w:t>
      </w:r>
    </w:p>
    <w:p w14:paraId="628B1E14" w14:textId="77777777" w:rsidR="0017222B" w:rsidRDefault="0017222B" w:rsidP="0017222B">
      <w:pPr>
        <w:pStyle w:val="RLdajeosmluvnstran"/>
        <w:rPr>
          <w:szCs w:val="22"/>
        </w:rPr>
      </w:pPr>
      <w:r>
        <w:rPr>
          <w:szCs w:val="22"/>
        </w:rPr>
        <w:t>a</w:t>
      </w:r>
    </w:p>
    <w:p w14:paraId="0E0DD6C9" w14:textId="77777777" w:rsidR="0017222B" w:rsidRDefault="0017222B" w:rsidP="0017222B">
      <w:pPr>
        <w:pStyle w:val="RLdajeosmluvnstran"/>
        <w:rPr>
          <w:rFonts w:asciiTheme="minorHAnsi" w:hAnsiTheme="minorHAnsi" w:cstheme="minorHAnsi"/>
          <w:b/>
          <w:szCs w:val="22"/>
        </w:rPr>
      </w:pPr>
      <w:r w:rsidRPr="00B136E7">
        <w:rPr>
          <w:rFonts w:asciiTheme="minorHAnsi" w:hAnsiTheme="minorHAnsi" w:cstheme="minorHAnsi"/>
          <w:b/>
          <w:szCs w:val="22"/>
        </w:rPr>
        <w:t>KH servis a.s.</w:t>
      </w:r>
    </w:p>
    <w:p w14:paraId="43F5979D" w14:textId="7C14039B" w:rsidR="0017222B" w:rsidRPr="001F731D" w:rsidRDefault="0017222B" w:rsidP="0017222B">
      <w:pPr>
        <w:pStyle w:val="RLdajeosmluvnstran"/>
        <w:rPr>
          <w:rFonts w:asciiTheme="minorHAnsi" w:hAnsiTheme="minorHAnsi" w:cstheme="minorHAnsi"/>
          <w:szCs w:val="22"/>
        </w:rPr>
      </w:pPr>
      <w:r w:rsidRPr="001F731D">
        <w:rPr>
          <w:rFonts w:asciiTheme="minorHAnsi" w:hAnsiTheme="minorHAnsi" w:cstheme="minorHAnsi"/>
          <w:szCs w:val="22"/>
        </w:rPr>
        <w:t xml:space="preserve">se sídlem: </w:t>
      </w:r>
      <w:r w:rsidR="00125A3E" w:rsidRPr="00125A3E">
        <w:rPr>
          <w:rFonts w:asciiTheme="minorHAnsi" w:hAnsiTheme="minorHAnsi" w:cstheme="minorHAnsi"/>
          <w:b/>
          <w:szCs w:val="22"/>
        </w:rPr>
        <w:t>Hvožďanská 2235/2</w:t>
      </w:r>
      <w:r w:rsidRPr="00B136E7">
        <w:rPr>
          <w:rFonts w:asciiTheme="minorHAnsi" w:hAnsiTheme="minorHAnsi" w:cstheme="minorHAnsi"/>
          <w:b/>
          <w:szCs w:val="22"/>
        </w:rPr>
        <w:t xml:space="preserve">, </w:t>
      </w:r>
      <w:r w:rsidR="00125A3E" w:rsidRPr="00125A3E">
        <w:rPr>
          <w:rFonts w:asciiTheme="minorHAnsi" w:hAnsiTheme="minorHAnsi" w:cstheme="minorHAnsi"/>
          <w:b/>
          <w:szCs w:val="22"/>
        </w:rPr>
        <w:t>148 00 Praha 4</w:t>
      </w:r>
      <w:r w:rsidR="00125A3E">
        <w:rPr>
          <w:rFonts w:asciiTheme="minorHAnsi" w:hAnsiTheme="minorHAnsi" w:cstheme="minorHAnsi"/>
          <w:b/>
          <w:szCs w:val="22"/>
        </w:rPr>
        <w:t xml:space="preserve"> </w:t>
      </w:r>
      <w:r w:rsidR="00125A3E" w:rsidRPr="00125A3E">
        <w:rPr>
          <w:rFonts w:asciiTheme="minorHAnsi" w:hAnsiTheme="minorHAnsi" w:cstheme="minorHAnsi"/>
          <w:b/>
          <w:szCs w:val="22"/>
        </w:rPr>
        <w:t>-</w:t>
      </w:r>
      <w:r w:rsidR="00125A3E">
        <w:rPr>
          <w:rFonts w:asciiTheme="minorHAnsi" w:hAnsiTheme="minorHAnsi" w:cstheme="minorHAnsi"/>
          <w:b/>
          <w:szCs w:val="22"/>
        </w:rPr>
        <w:t xml:space="preserve"> </w:t>
      </w:r>
      <w:r w:rsidR="00125A3E" w:rsidRPr="00125A3E">
        <w:rPr>
          <w:rFonts w:asciiTheme="minorHAnsi" w:hAnsiTheme="minorHAnsi" w:cstheme="minorHAnsi"/>
          <w:b/>
          <w:szCs w:val="22"/>
        </w:rPr>
        <w:t>Chodov</w:t>
      </w:r>
    </w:p>
    <w:p w14:paraId="3FC63D86" w14:textId="7956A69A" w:rsidR="0017222B" w:rsidRDefault="0017222B" w:rsidP="0017222B">
      <w:pPr>
        <w:pStyle w:val="ZKLADN"/>
        <w:jc w:val="center"/>
        <w:rPr>
          <w:rStyle w:val="doplnuchazeChar"/>
          <w:rFonts w:asciiTheme="minorHAnsi" w:eastAsiaTheme="minorHAnsi" w:hAnsiTheme="minorHAnsi" w:cstheme="minorHAnsi"/>
          <w:sz w:val="22"/>
          <w:szCs w:val="22"/>
          <w:lang w:val="cs-CZ"/>
        </w:rPr>
      </w:pPr>
      <w:r>
        <w:rPr>
          <w:rFonts w:asciiTheme="minorHAnsi" w:hAnsiTheme="minorHAnsi" w:cstheme="minorHAnsi"/>
          <w:sz w:val="22"/>
          <w:szCs w:val="22"/>
          <w:lang w:val="cs-CZ"/>
        </w:rPr>
        <w:t>IČO</w:t>
      </w:r>
      <w:r w:rsidRPr="001F731D">
        <w:rPr>
          <w:rFonts w:asciiTheme="minorHAnsi" w:hAnsiTheme="minorHAnsi" w:cstheme="minorHAnsi"/>
          <w:sz w:val="22"/>
          <w:szCs w:val="22"/>
          <w:lang w:val="cs-CZ"/>
        </w:rPr>
        <w:t xml:space="preserve">: </w:t>
      </w:r>
      <w:r w:rsidRPr="00B136E7">
        <w:rPr>
          <w:rFonts w:asciiTheme="minorHAnsi" w:hAnsiTheme="minorHAnsi" w:cstheme="minorHAnsi"/>
          <w:b/>
          <w:szCs w:val="22"/>
        </w:rPr>
        <w:t>45279748</w:t>
      </w:r>
      <w:r w:rsidRPr="001F731D">
        <w:rPr>
          <w:rFonts w:asciiTheme="minorHAnsi" w:hAnsiTheme="minorHAnsi" w:cstheme="minorHAnsi"/>
          <w:b/>
          <w:sz w:val="22"/>
          <w:szCs w:val="22"/>
          <w:lang w:val="cs-CZ"/>
        </w:rPr>
        <w:t xml:space="preserve">, </w:t>
      </w:r>
      <w:r w:rsidRPr="001F731D">
        <w:rPr>
          <w:rFonts w:asciiTheme="minorHAnsi" w:hAnsiTheme="minorHAnsi" w:cstheme="minorHAnsi"/>
          <w:sz w:val="22"/>
          <w:szCs w:val="22"/>
          <w:lang w:val="cs-CZ"/>
        </w:rPr>
        <w:t xml:space="preserve">DIČ: </w:t>
      </w:r>
      <w:r w:rsidR="007F3937" w:rsidRPr="007F3937">
        <w:rPr>
          <w:rFonts w:asciiTheme="minorHAnsi" w:hAnsiTheme="minorHAnsi" w:cstheme="minorHAnsi"/>
          <w:b/>
          <w:bCs/>
          <w:szCs w:val="22"/>
          <w:lang w:val="cs-CZ"/>
        </w:rPr>
        <w:t>CZ699008218</w:t>
      </w:r>
    </w:p>
    <w:p w14:paraId="33330F34" w14:textId="77777777" w:rsidR="0017222B" w:rsidRPr="00281FFF" w:rsidRDefault="0017222B" w:rsidP="0017222B">
      <w:pPr>
        <w:pStyle w:val="ZKLADN"/>
        <w:jc w:val="center"/>
        <w:rPr>
          <w:rFonts w:ascii="Calibri" w:hAnsi="Calibri"/>
          <w:sz w:val="22"/>
          <w:szCs w:val="22"/>
          <w:lang w:val="cs-CZ"/>
        </w:rPr>
      </w:pPr>
      <w:r>
        <w:rPr>
          <w:rStyle w:val="doplnuchazeChar"/>
          <w:rFonts w:eastAsiaTheme="minorHAnsi"/>
          <w:sz w:val="22"/>
          <w:szCs w:val="22"/>
          <w:lang w:val="cs-CZ"/>
        </w:rPr>
        <w:t>ID datové schránky</w:t>
      </w:r>
      <w:r w:rsidRPr="00972D01">
        <w:rPr>
          <w:rStyle w:val="doplnuchazeChar"/>
          <w:rFonts w:eastAsiaTheme="minorHAnsi"/>
          <w:sz w:val="22"/>
          <w:szCs w:val="22"/>
          <w:lang w:val="cs-CZ"/>
        </w:rPr>
        <w:t>:</w:t>
      </w:r>
      <w:r>
        <w:rPr>
          <w:rStyle w:val="doplnuchazeChar"/>
          <w:rFonts w:eastAsiaTheme="minorHAnsi"/>
          <w:sz w:val="22"/>
          <w:szCs w:val="22"/>
          <w:lang w:val="cs-CZ"/>
        </w:rPr>
        <w:t xml:space="preserve"> </w:t>
      </w:r>
      <w:proofErr w:type="spellStart"/>
      <w:r w:rsidRPr="00B136E7">
        <w:rPr>
          <w:rFonts w:asciiTheme="minorHAnsi" w:hAnsiTheme="minorHAnsi" w:cstheme="minorHAnsi"/>
          <w:b/>
          <w:szCs w:val="22"/>
        </w:rPr>
        <w:t>yjnerrz</w:t>
      </w:r>
      <w:proofErr w:type="spellEnd"/>
    </w:p>
    <w:p w14:paraId="48DB0958" w14:textId="77777777" w:rsidR="0017222B" w:rsidRPr="001F731D" w:rsidRDefault="0017222B" w:rsidP="0017222B">
      <w:pPr>
        <w:pStyle w:val="RLdajeosmluvnstran"/>
        <w:rPr>
          <w:rFonts w:asciiTheme="minorHAnsi" w:hAnsiTheme="minorHAnsi" w:cstheme="minorHAnsi"/>
          <w:szCs w:val="22"/>
        </w:rPr>
      </w:pPr>
      <w:r w:rsidRPr="001F731D">
        <w:rPr>
          <w:rFonts w:asciiTheme="minorHAnsi" w:hAnsiTheme="minorHAnsi" w:cstheme="minorHAnsi"/>
          <w:szCs w:val="22"/>
        </w:rPr>
        <w:t xml:space="preserve">společnost zapsaná v obchodním rejstříku vedeném </w:t>
      </w:r>
      <w:r w:rsidRPr="00B136E7">
        <w:rPr>
          <w:rFonts w:asciiTheme="minorHAnsi" w:hAnsiTheme="minorHAnsi" w:cstheme="minorHAnsi"/>
          <w:b/>
          <w:szCs w:val="22"/>
        </w:rPr>
        <w:t>Městského soudu v Praze</w:t>
      </w:r>
      <w:r w:rsidRPr="001F731D">
        <w:rPr>
          <w:rFonts w:asciiTheme="minorHAnsi" w:hAnsiTheme="minorHAnsi" w:cstheme="minorHAnsi"/>
          <w:szCs w:val="22"/>
        </w:rPr>
        <w:t xml:space="preserve">, </w:t>
      </w:r>
    </w:p>
    <w:p w14:paraId="16024B70" w14:textId="77777777" w:rsidR="0017222B" w:rsidRPr="001F731D" w:rsidRDefault="0017222B" w:rsidP="0017222B">
      <w:pPr>
        <w:pStyle w:val="RLdajeosmluvnstran"/>
        <w:rPr>
          <w:rFonts w:asciiTheme="minorHAnsi" w:hAnsiTheme="minorHAnsi" w:cstheme="minorHAnsi"/>
          <w:szCs w:val="22"/>
        </w:rPr>
      </w:pPr>
      <w:r w:rsidRPr="001F731D">
        <w:rPr>
          <w:rFonts w:asciiTheme="minorHAnsi" w:hAnsiTheme="minorHAnsi" w:cstheme="minorHAnsi"/>
          <w:szCs w:val="22"/>
        </w:rPr>
        <w:t xml:space="preserve">oddíl </w:t>
      </w:r>
      <w:r>
        <w:rPr>
          <w:rFonts w:asciiTheme="minorHAnsi" w:hAnsiTheme="minorHAnsi" w:cstheme="minorHAnsi"/>
          <w:b/>
          <w:szCs w:val="22"/>
        </w:rPr>
        <w:t xml:space="preserve">B, </w:t>
      </w:r>
      <w:r w:rsidRPr="001F731D">
        <w:rPr>
          <w:rFonts w:asciiTheme="minorHAnsi" w:hAnsiTheme="minorHAnsi" w:cstheme="minorHAnsi"/>
          <w:szCs w:val="22"/>
        </w:rPr>
        <w:t>vložka </w:t>
      </w:r>
      <w:r w:rsidRPr="00B136E7">
        <w:rPr>
          <w:rFonts w:asciiTheme="minorHAnsi" w:hAnsiTheme="minorHAnsi" w:cstheme="minorHAnsi"/>
          <w:b/>
          <w:szCs w:val="22"/>
        </w:rPr>
        <w:t>14892</w:t>
      </w:r>
    </w:p>
    <w:p w14:paraId="7114D2B0" w14:textId="77777777" w:rsidR="0017222B" w:rsidRPr="001F731D" w:rsidRDefault="0017222B" w:rsidP="0017222B">
      <w:pPr>
        <w:pStyle w:val="RLdajeosmluvnstran"/>
        <w:rPr>
          <w:rFonts w:asciiTheme="minorHAnsi" w:hAnsiTheme="minorHAnsi" w:cstheme="minorHAnsi"/>
          <w:szCs w:val="22"/>
        </w:rPr>
      </w:pPr>
      <w:r w:rsidRPr="001F731D">
        <w:rPr>
          <w:rFonts w:asciiTheme="minorHAnsi" w:hAnsiTheme="minorHAnsi" w:cstheme="minorHAnsi"/>
          <w:szCs w:val="22"/>
        </w:rPr>
        <w:t xml:space="preserve">bank. </w:t>
      </w:r>
      <w:r w:rsidRPr="00B136E7">
        <w:rPr>
          <w:rFonts w:asciiTheme="minorHAnsi" w:hAnsiTheme="minorHAnsi" w:cstheme="minorHAnsi"/>
          <w:szCs w:val="22"/>
        </w:rPr>
        <w:t xml:space="preserve">spojení: </w:t>
      </w:r>
      <w:r w:rsidRPr="00B136E7">
        <w:rPr>
          <w:rFonts w:asciiTheme="minorHAnsi" w:hAnsiTheme="minorHAnsi" w:cstheme="minorHAnsi"/>
          <w:b/>
          <w:szCs w:val="22"/>
        </w:rPr>
        <w:t>Československá obchodní banka, a.s.</w:t>
      </w:r>
      <w:r w:rsidRPr="001F731D">
        <w:rPr>
          <w:rFonts w:asciiTheme="minorHAnsi" w:hAnsiTheme="minorHAnsi" w:cstheme="minorHAnsi"/>
          <w:szCs w:val="22"/>
        </w:rPr>
        <w:t xml:space="preserve">, č. účtu: </w:t>
      </w:r>
      <w:r w:rsidRPr="00B136E7">
        <w:rPr>
          <w:rFonts w:asciiTheme="minorHAnsi" w:hAnsiTheme="minorHAnsi" w:cstheme="minorHAnsi"/>
          <w:b/>
          <w:szCs w:val="22"/>
        </w:rPr>
        <w:t>117502303/0300</w:t>
      </w:r>
    </w:p>
    <w:p w14:paraId="46E3A352" w14:textId="77777777" w:rsidR="0017222B" w:rsidRDefault="0017222B" w:rsidP="0017222B">
      <w:pPr>
        <w:pStyle w:val="RLdajeosmluvnstran"/>
        <w:rPr>
          <w:rFonts w:asciiTheme="minorHAnsi" w:hAnsiTheme="minorHAnsi" w:cstheme="minorHAnsi"/>
          <w:b/>
          <w:szCs w:val="22"/>
        </w:rPr>
      </w:pPr>
      <w:r w:rsidRPr="001F731D">
        <w:rPr>
          <w:rFonts w:asciiTheme="minorHAnsi" w:hAnsiTheme="minorHAnsi" w:cstheme="minorHAnsi"/>
          <w:szCs w:val="22"/>
        </w:rPr>
        <w:t xml:space="preserve">zastoupená: </w:t>
      </w:r>
      <w:r>
        <w:rPr>
          <w:rFonts w:asciiTheme="minorHAnsi" w:hAnsiTheme="minorHAnsi" w:cstheme="minorHAnsi"/>
          <w:b/>
          <w:szCs w:val="22"/>
        </w:rPr>
        <w:t>Ing. Jiřím Kolářem, předsedou představenstva;</w:t>
      </w:r>
    </w:p>
    <w:p w14:paraId="25FD6485" w14:textId="77777777" w:rsidR="0017222B" w:rsidRPr="001F731D" w:rsidRDefault="0017222B" w:rsidP="0017222B">
      <w:pPr>
        <w:pStyle w:val="RLdajeosmluvnstran"/>
        <w:rPr>
          <w:rFonts w:asciiTheme="minorHAnsi" w:hAnsiTheme="minorHAnsi" w:cstheme="minorHAnsi"/>
          <w:b/>
          <w:szCs w:val="22"/>
        </w:rPr>
      </w:pPr>
      <w:r>
        <w:rPr>
          <w:rFonts w:asciiTheme="minorHAnsi" w:hAnsiTheme="minorHAnsi" w:cstheme="minorHAnsi"/>
          <w:b/>
          <w:szCs w:val="22"/>
        </w:rPr>
        <w:t xml:space="preserve">Bc. Tomášem </w:t>
      </w:r>
      <w:proofErr w:type="spellStart"/>
      <w:r>
        <w:rPr>
          <w:rFonts w:asciiTheme="minorHAnsi" w:hAnsiTheme="minorHAnsi" w:cstheme="minorHAnsi"/>
          <w:b/>
          <w:szCs w:val="22"/>
        </w:rPr>
        <w:t>Nettlem</w:t>
      </w:r>
      <w:proofErr w:type="spellEnd"/>
      <w:r>
        <w:rPr>
          <w:rFonts w:asciiTheme="minorHAnsi" w:hAnsiTheme="minorHAnsi" w:cstheme="minorHAnsi"/>
          <w:b/>
          <w:szCs w:val="22"/>
        </w:rPr>
        <w:t>, členem představenstva</w:t>
      </w:r>
    </w:p>
    <w:p w14:paraId="05061318" w14:textId="77777777" w:rsidR="0017222B" w:rsidRPr="001F731D" w:rsidRDefault="0017222B" w:rsidP="0017222B">
      <w:pPr>
        <w:pStyle w:val="RLdajeosmluvnstran"/>
        <w:rPr>
          <w:rFonts w:asciiTheme="minorHAnsi" w:hAnsiTheme="minorHAnsi" w:cstheme="minorHAnsi"/>
          <w:szCs w:val="22"/>
        </w:rPr>
      </w:pPr>
      <w:r>
        <w:rPr>
          <w:rFonts w:asciiTheme="minorHAnsi" w:hAnsiTheme="minorHAnsi" w:cstheme="minorHAnsi"/>
          <w:bCs/>
          <w:szCs w:val="22"/>
        </w:rPr>
        <w:t>č</w:t>
      </w:r>
      <w:r w:rsidRPr="00471050">
        <w:rPr>
          <w:rFonts w:asciiTheme="minorHAnsi" w:hAnsiTheme="minorHAnsi" w:cstheme="minorHAnsi"/>
          <w:bCs/>
          <w:szCs w:val="22"/>
        </w:rPr>
        <w:t xml:space="preserve">. smlouvy: </w:t>
      </w:r>
      <w:r w:rsidRPr="00A623CA">
        <w:rPr>
          <w:rFonts w:asciiTheme="minorHAnsi" w:hAnsiTheme="minorHAnsi" w:cstheme="minorHAnsi"/>
          <w:b/>
          <w:szCs w:val="22"/>
        </w:rPr>
        <w:t>SMLD-40/2023</w:t>
      </w:r>
    </w:p>
    <w:p w14:paraId="55172BDA" w14:textId="77777777" w:rsidR="0017222B" w:rsidRDefault="0017222B" w:rsidP="0017222B">
      <w:pPr>
        <w:pStyle w:val="RLdajeosmluvnstran"/>
        <w:rPr>
          <w:szCs w:val="22"/>
        </w:rPr>
      </w:pPr>
      <w:r w:rsidRPr="00281FFF">
        <w:rPr>
          <w:szCs w:val="22"/>
        </w:rPr>
        <w:t>(dále jen „</w:t>
      </w:r>
      <w:r>
        <w:rPr>
          <w:b/>
          <w:szCs w:val="22"/>
        </w:rPr>
        <w:t>Poskytovatel</w:t>
      </w:r>
      <w:r w:rsidRPr="00281FFF">
        <w:rPr>
          <w:szCs w:val="22"/>
        </w:rPr>
        <w:t>“)</w:t>
      </w:r>
    </w:p>
    <w:p w14:paraId="74FA2382" w14:textId="77777777" w:rsidR="0017222B" w:rsidRPr="00261A81" w:rsidRDefault="0017222B" w:rsidP="0017222B">
      <w:pPr>
        <w:pStyle w:val="RLdajeosmluvnstran"/>
        <w:rPr>
          <w:b/>
          <w:szCs w:val="22"/>
        </w:rPr>
      </w:pPr>
      <w:r>
        <w:rPr>
          <w:szCs w:val="22"/>
        </w:rPr>
        <w:t>(společně dále jen “</w:t>
      </w:r>
      <w:r w:rsidRPr="0009692C">
        <w:rPr>
          <w:b/>
          <w:bCs/>
          <w:szCs w:val="22"/>
        </w:rPr>
        <w:t>Smluvní strany</w:t>
      </w:r>
      <w:r>
        <w:rPr>
          <w:szCs w:val="22"/>
        </w:rPr>
        <w:t>“)</w:t>
      </w:r>
    </w:p>
    <w:p w14:paraId="5E3EF8D8" w14:textId="77777777" w:rsidR="00EF38FF" w:rsidRDefault="00EF38FF" w:rsidP="00A84ED5">
      <w:pPr>
        <w:pStyle w:val="RLdajeosmluvnstran"/>
        <w:jc w:val="both"/>
        <w:rPr>
          <w:rFonts w:cs="Calibri"/>
          <w:szCs w:val="22"/>
        </w:rPr>
      </w:pPr>
    </w:p>
    <w:p w14:paraId="6003A9EF" w14:textId="77777777" w:rsidR="0017222B" w:rsidRDefault="0017222B" w:rsidP="00A84ED5">
      <w:pPr>
        <w:pStyle w:val="RLdajeosmluvnstran"/>
        <w:jc w:val="both"/>
        <w:rPr>
          <w:rFonts w:cs="Calibri"/>
          <w:szCs w:val="22"/>
        </w:rPr>
      </w:pPr>
    </w:p>
    <w:p w14:paraId="7796F02E" w14:textId="75018A4E" w:rsidR="00A84ED5" w:rsidRPr="005E38D2" w:rsidRDefault="00A84ED5" w:rsidP="00A84ED5">
      <w:pPr>
        <w:pStyle w:val="RLdajeosmluvnstran"/>
        <w:jc w:val="both"/>
        <w:rPr>
          <w:rFonts w:cs="Calibri"/>
          <w:szCs w:val="22"/>
        </w:rPr>
      </w:pPr>
      <w:r w:rsidRPr="005E38D2">
        <w:rPr>
          <w:rFonts w:cs="Calibri"/>
          <w:szCs w:val="22"/>
        </w:rPr>
        <w:lastRenderedPageBreak/>
        <w:t>Vzhledem k tomu, že:</w:t>
      </w:r>
    </w:p>
    <w:p w14:paraId="40D459AA" w14:textId="7D03E1EC" w:rsidR="0017222B" w:rsidRPr="00DB7719" w:rsidRDefault="00A84ED5" w:rsidP="0017222B">
      <w:pPr>
        <w:pStyle w:val="Odstavecseseznamem"/>
        <w:numPr>
          <w:ilvl w:val="0"/>
          <w:numId w:val="1"/>
        </w:numPr>
        <w:spacing w:after="160" w:line="259" w:lineRule="auto"/>
        <w:jc w:val="both"/>
        <w:rPr>
          <w:rFonts w:cs="Calibri"/>
          <w:szCs w:val="22"/>
          <w14:ligatures w14:val="standardContextual"/>
        </w:rPr>
      </w:pPr>
      <w:r w:rsidRPr="0017222B">
        <w:rPr>
          <w:rFonts w:cs="Calibri"/>
          <w:szCs w:val="22"/>
        </w:rPr>
        <w:t xml:space="preserve">Objednatel a </w:t>
      </w:r>
      <w:r w:rsidR="0017222B" w:rsidRPr="0017222B">
        <w:rPr>
          <w:rFonts w:cs="Calibri"/>
          <w:szCs w:val="22"/>
        </w:rPr>
        <w:t>Poskytovatel</w:t>
      </w:r>
      <w:r w:rsidRPr="0017222B">
        <w:rPr>
          <w:rFonts w:cs="Calibri"/>
          <w:szCs w:val="22"/>
        </w:rPr>
        <w:t xml:space="preserve"> uzavřeli dne </w:t>
      </w:r>
      <w:r w:rsidR="0017222B" w:rsidRPr="0017222B">
        <w:rPr>
          <w:rFonts w:cs="Calibri"/>
          <w:szCs w:val="22"/>
          <w14:ligatures w14:val="standardContextual"/>
        </w:rPr>
        <w:t>23. 08. 2023</w:t>
      </w:r>
      <w:r w:rsidRPr="0017222B">
        <w:rPr>
          <w:rFonts w:cs="Calibri"/>
          <w:szCs w:val="22"/>
          <w14:ligatures w14:val="standardContextual"/>
        </w:rPr>
        <w:t xml:space="preserve"> </w:t>
      </w:r>
      <w:r w:rsidR="00C827B9" w:rsidRPr="0017222B">
        <w:rPr>
          <w:rFonts w:cs="Calibri"/>
          <w:szCs w:val="22"/>
          <w14:ligatures w14:val="standardContextual"/>
        </w:rPr>
        <w:t xml:space="preserve">Rámcovou smlouvu na </w:t>
      </w:r>
      <w:r w:rsidR="0017222B" w:rsidRPr="0017222B">
        <w:rPr>
          <w:rFonts w:asciiTheme="minorHAnsi" w:hAnsiTheme="minorHAnsi" w:cstheme="minorHAnsi"/>
          <w:szCs w:val="22"/>
        </w:rPr>
        <w:t>servis a opravy analogové infrastruktury v sítích MKS a TSK</w:t>
      </w:r>
      <w:r w:rsidRPr="0017222B">
        <w:rPr>
          <w:rFonts w:cs="Calibri"/>
          <w:szCs w:val="22"/>
          <w14:ligatures w14:val="standardContextual"/>
        </w:rPr>
        <w:t xml:space="preserve"> č. </w:t>
      </w:r>
      <w:r w:rsidR="0017222B">
        <w:rPr>
          <w:rFonts w:cs="Calibri"/>
          <w:szCs w:val="22"/>
          <w14:ligatures w14:val="standardContextual"/>
        </w:rPr>
        <w:t>368</w:t>
      </w:r>
      <w:r w:rsidRPr="0017222B">
        <w:rPr>
          <w:rFonts w:cs="Calibri"/>
          <w:szCs w:val="22"/>
          <w14:ligatures w14:val="standardContextual"/>
        </w:rPr>
        <w:t>/2</w:t>
      </w:r>
      <w:r w:rsidR="0017222B">
        <w:rPr>
          <w:rFonts w:cs="Calibri"/>
          <w:szCs w:val="22"/>
          <w14:ligatures w14:val="standardContextual"/>
        </w:rPr>
        <w:t>3</w:t>
      </w:r>
      <w:r w:rsidRPr="0017222B">
        <w:rPr>
          <w:rFonts w:cs="Calibri"/>
          <w:szCs w:val="22"/>
          <w14:ligatures w14:val="standardContextual"/>
        </w:rPr>
        <w:t xml:space="preserve"> </w:t>
      </w:r>
      <w:r w:rsidR="00C827B9" w:rsidRPr="0017222B">
        <w:rPr>
          <w:rFonts w:cs="Calibri"/>
          <w:szCs w:val="22"/>
          <w14:ligatures w14:val="standardContextual"/>
        </w:rPr>
        <w:t>(dále jen „</w:t>
      </w:r>
      <w:r w:rsidR="00C827B9" w:rsidRPr="0017222B">
        <w:rPr>
          <w:rFonts w:cs="Calibri"/>
          <w:b/>
          <w:bCs/>
          <w:szCs w:val="22"/>
          <w14:ligatures w14:val="standardContextual"/>
        </w:rPr>
        <w:t>Smlouva</w:t>
      </w:r>
      <w:r w:rsidR="00C827B9" w:rsidRPr="0017222B">
        <w:rPr>
          <w:rFonts w:cs="Calibri"/>
          <w:szCs w:val="22"/>
          <w14:ligatures w14:val="standardContextual"/>
        </w:rPr>
        <w:t xml:space="preserve">“) týkající </w:t>
      </w:r>
      <w:r w:rsidR="0017222B">
        <w:rPr>
          <w:rFonts w:cs="Calibri"/>
          <w:szCs w:val="22"/>
          <w14:ligatures w14:val="standardContextual"/>
        </w:rPr>
        <w:t xml:space="preserve">se </w:t>
      </w:r>
      <w:r w:rsidR="0017222B" w:rsidRPr="004326C2">
        <w:t xml:space="preserve">poskytování služeb zahrnujících servis a opravy </w:t>
      </w:r>
      <w:r w:rsidR="0017222B" w:rsidRPr="007E611B">
        <w:t>analogové infrastruktury v sítích městského kamerového systému (dále jen „</w:t>
      </w:r>
      <w:r w:rsidR="0017222B" w:rsidRPr="007E611B">
        <w:rPr>
          <w:b/>
          <w:bCs/>
        </w:rPr>
        <w:t>MKS</w:t>
      </w:r>
      <w:r w:rsidR="0017222B" w:rsidRPr="007E611B">
        <w:t xml:space="preserve">“) a </w:t>
      </w:r>
      <w:r w:rsidR="0017222B">
        <w:t xml:space="preserve">kamerového systému </w:t>
      </w:r>
      <w:r w:rsidR="0017222B" w:rsidRPr="007E611B">
        <w:t xml:space="preserve">Technické správy komunikací hl. m. Prahy, a.s., se sídlem </w:t>
      </w:r>
      <w:r w:rsidR="0017222B" w:rsidRPr="00DC7951">
        <w:t>Praha 7, Holešovice, Veletržní 1623/24</w:t>
      </w:r>
      <w:r w:rsidR="0017222B" w:rsidRPr="007E611B">
        <w:t xml:space="preserve">, IČO: 034 47 286, zapsané u </w:t>
      </w:r>
      <w:r w:rsidR="0017222B">
        <w:t xml:space="preserve">Městského soudu </w:t>
      </w:r>
      <w:r w:rsidR="0017222B" w:rsidRPr="007E611B">
        <w:t xml:space="preserve">v Praze, </w:t>
      </w:r>
      <w:r w:rsidR="0017222B" w:rsidRPr="0017222B">
        <w:rPr>
          <w:rFonts w:cs="Calibri"/>
        </w:rPr>
        <w:t>oddíl B, vložka 20059 (dále jen „</w:t>
      </w:r>
      <w:r w:rsidR="0017222B" w:rsidRPr="0017222B">
        <w:rPr>
          <w:rFonts w:cs="Calibri"/>
          <w:b/>
          <w:bCs/>
        </w:rPr>
        <w:t>TSK</w:t>
      </w:r>
      <w:r w:rsidR="0017222B" w:rsidRPr="0017222B">
        <w:rPr>
          <w:rFonts w:cs="Calibri"/>
        </w:rPr>
        <w:t xml:space="preserve">“) včetně dodávek náhradních dílů. </w:t>
      </w:r>
      <w:r w:rsidR="005E38D2" w:rsidRPr="0017222B">
        <w:rPr>
          <w:rFonts w:cs="Calibri"/>
          <w:szCs w:val="22"/>
          <w14:ligatures w14:val="standardContextual"/>
        </w:rPr>
        <w:t>Smlouva byla uzavřena na základě</w:t>
      </w:r>
      <w:r w:rsidR="00C827B9" w:rsidRPr="0017222B">
        <w:rPr>
          <w:rFonts w:cs="Calibri"/>
          <w:szCs w:val="22"/>
          <w14:ligatures w14:val="standardContextual"/>
        </w:rPr>
        <w:t xml:space="preserve"> </w:t>
      </w:r>
      <w:r w:rsidR="0017222B" w:rsidRPr="0017222B">
        <w:rPr>
          <w:rFonts w:cs="Calibri"/>
          <w:szCs w:val="22"/>
        </w:rPr>
        <w:t xml:space="preserve">výběru nejvýhodnější nabídky podané na veřejnou zakázku v otevřeném nadlimitním řízení s názvem </w:t>
      </w:r>
      <w:r w:rsidR="0017222B" w:rsidRPr="0017222B">
        <w:rPr>
          <w:rFonts w:cs="Calibri"/>
          <w:b/>
          <w:szCs w:val="22"/>
        </w:rPr>
        <w:t>„</w:t>
      </w:r>
      <w:bookmarkStart w:id="1" w:name="_Hlk51145475"/>
      <w:r w:rsidR="0017222B" w:rsidRPr="0017222B">
        <w:rPr>
          <w:rFonts w:cs="Calibri"/>
          <w:b/>
          <w:szCs w:val="22"/>
        </w:rPr>
        <w:t>Servis a opravy infrastruktury analogových sítí</w:t>
      </w:r>
      <w:bookmarkEnd w:id="1"/>
      <w:r w:rsidR="0017222B" w:rsidRPr="0017222B">
        <w:rPr>
          <w:rFonts w:cs="Calibri"/>
          <w:b/>
          <w:szCs w:val="22"/>
        </w:rPr>
        <w:t>ch MKS a TSK“</w:t>
      </w:r>
      <w:r w:rsidR="0017222B" w:rsidRPr="0017222B">
        <w:rPr>
          <w:rFonts w:cs="Calibri"/>
          <w:szCs w:val="22"/>
        </w:rPr>
        <w:t xml:space="preserve"> (dále jen „</w:t>
      </w:r>
      <w:r w:rsidR="0017222B" w:rsidRPr="0017222B">
        <w:rPr>
          <w:rStyle w:val="RLProhlensmluvnchstranChar"/>
          <w:rFonts w:eastAsiaTheme="majorEastAsia" w:cs="Calibri"/>
          <w:szCs w:val="22"/>
        </w:rPr>
        <w:t>Veřejná zakázka</w:t>
      </w:r>
      <w:r w:rsidR="0017222B" w:rsidRPr="0017222B">
        <w:rPr>
          <w:rFonts w:cs="Calibri"/>
          <w:szCs w:val="22"/>
        </w:rPr>
        <w:t>“) zákona č. 134/2016 Sb., o zadávání veřejných zakázek, ve znění pozdějších předpisů (též jen „</w:t>
      </w:r>
      <w:r w:rsidR="0017222B" w:rsidRPr="0017222B">
        <w:rPr>
          <w:rFonts w:cs="Calibri"/>
          <w:b/>
          <w:szCs w:val="22"/>
        </w:rPr>
        <w:t>ZZVZ</w:t>
      </w:r>
      <w:r w:rsidR="0017222B" w:rsidRPr="0017222B">
        <w:rPr>
          <w:rFonts w:cs="Calibri"/>
          <w:szCs w:val="22"/>
        </w:rPr>
        <w:t>“), a v souladu se zákonem č. 89/2012 Sb., občanský zákoník, ve znění pozdějších předpisů (též jen „</w:t>
      </w:r>
      <w:r w:rsidR="0017222B" w:rsidRPr="0017222B">
        <w:rPr>
          <w:rFonts w:cs="Calibri"/>
          <w:b/>
          <w:szCs w:val="22"/>
        </w:rPr>
        <w:t xml:space="preserve">Občanský </w:t>
      </w:r>
      <w:r w:rsidR="0017222B" w:rsidRPr="00DB7719">
        <w:rPr>
          <w:rFonts w:cs="Calibri"/>
          <w:b/>
          <w:szCs w:val="22"/>
        </w:rPr>
        <w:t>zákoník</w:t>
      </w:r>
      <w:r w:rsidR="0017222B" w:rsidRPr="00DB7719">
        <w:rPr>
          <w:rFonts w:cs="Calibri"/>
          <w:szCs w:val="22"/>
        </w:rPr>
        <w:t xml:space="preserve">“). </w:t>
      </w:r>
    </w:p>
    <w:p w14:paraId="35EC6927" w14:textId="279DD276" w:rsidR="00A34D9E" w:rsidRPr="00DB7719" w:rsidRDefault="00BF0C2C" w:rsidP="00A84ED5">
      <w:pPr>
        <w:pStyle w:val="RLdajeosmluvnstran"/>
        <w:numPr>
          <w:ilvl w:val="0"/>
          <w:numId w:val="1"/>
        </w:numPr>
        <w:jc w:val="both"/>
        <w:rPr>
          <w:rFonts w:cs="Calibri"/>
          <w:szCs w:val="22"/>
        </w:rPr>
      </w:pPr>
      <w:r w:rsidRPr="00DB7719">
        <w:rPr>
          <w:rFonts w:cs="Calibri"/>
          <w:szCs w:val="22"/>
        </w:rPr>
        <w:t xml:space="preserve">Smlouva byla nastavena s předpokladem ukončení fungování a používání analogových </w:t>
      </w:r>
      <w:r w:rsidR="00A34D9E" w:rsidRPr="00DB7719">
        <w:rPr>
          <w:rFonts w:cs="Calibri"/>
          <w:szCs w:val="22"/>
        </w:rPr>
        <w:t>kamer v sítích MKS a TSK. K uvedenému sice dochází, ale pomaleji, než bylo očekáváno. Zároveň byl nastavený vyšší limit čerpání, než bylo dosud potřeba využít. Jinými slovy Objednatel očekával rychlejší plnění předmětu Smlouvy</w:t>
      </w:r>
      <w:r w:rsidR="005B6036" w:rsidRPr="00DB7719">
        <w:rPr>
          <w:rFonts w:cs="Calibri"/>
          <w:szCs w:val="22"/>
        </w:rPr>
        <w:t>, a tím i rychlejší financování</w:t>
      </w:r>
      <w:r w:rsidR="00A34D9E" w:rsidRPr="00DB7719">
        <w:rPr>
          <w:rFonts w:cs="Calibri"/>
          <w:szCs w:val="22"/>
        </w:rPr>
        <w:t xml:space="preserve">. Na servis a opravy infrastruktury však nemá vliv pouze Objednatel, neboť tuto činnost </w:t>
      </w:r>
      <w:r w:rsidR="005B6036" w:rsidRPr="00DB7719">
        <w:rPr>
          <w:rFonts w:cs="Calibri"/>
          <w:szCs w:val="22"/>
        </w:rPr>
        <w:t xml:space="preserve">pouze </w:t>
      </w:r>
      <w:r w:rsidR="00A34D9E" w:rsidRPr="00DB7719">
        <w:rPr>
          <w:rFonts w:cs="Calibri"/>
          <w:szCs w:val="22"/>
        </w:rPr>
        <w:t xml:space="preserve">zajišťuje pro hlavní město Prahu, příp. pro TSK, </w:t>
      </w:r>
      <w:r w:rsidR="005B6036" w:rsidRPr="00DB7719">
        <w:rPr>
          <w:rFonts w:cs="Calibri"/>
          <w:szCs w:val="22"/>
        </w:rPr>
        <w:t>v souladu s jejich požadavky</w:t>
      </w:r>
      <w:r w:rsidR="00A34D9E" w:rsidRPr="00DB7719">
        <w:rPr>
          <w:rFonts w:cs="Calibri"/>
          <w:szCs w:val="22"/>
        </w:rPr>
        <w:t>. V současné době je vyčerpána ani ne polovina finančního limitu</w:t>
      </w:r>
      <w:r w:rsidR="005B6036" w:rsidRPr="00DB7719">
        <w:rPr>
          <w:rFonts w:cs="Calibri"/>
          <w:szCs w:val="22"/>
        </w:rPr>
        <w:t xml:space="preserve"> Smlouvy</w:t>
      </w:r>
      <w:r w:rsidR="00A34D9E" w:rsidRPr="00DB7719">
        <w:rPr>
          <w:rFonts w:cs="Calibri"/>
          <w:szCs w:val="22"/>
        </w:rPr>
        <w:t xml:space="preserve">.  </w:t>
      </w:r>
    </w:p>
    <w:p w14:paraId="4F7F6810" w14:textId="61CF2EF4" w:rsidR="00A34D9E" w:rsidRPr="00DB7719" w:rsidRDefault="00A34D9E" w:rsidP="00A84ED5">
      <w:pPr>
        <w:pStyle w:val="RLdajeosmluvnstran"/>
        <w:numPr>
          <w:ilvl w:val="0"/>
          <w:numId w:val="1"/>
        </w:numPr>
        <w:jc w:val="both"/>
        <w:rPr>
          <w:rFonts w:cs="Calibri"/>
          <w:szCs w:val="22"/>
        </w:rPr>
      </w:pPr>
      <w:r w:rsidRPr="00DB7719">
        <w:rPr>
          <w:rFonts w:cs="Calibri"/>
          <w:szCs w:val="22"/>
        </w:rPr>
        <w:t xml:space="preserve">Objednatel chce zachovat čerpání finančního limitu, který má na předmětnou Veřejnou zakázku vyčleněný. Dodavatel je ochotný v plnění Smlouvy pokračovat, i přes ceny, které byly nastaveny v roce 2023. Pro Objednatele je tento postup ekonomicky výhodný, mj. s ohledem na skutečnost, kdy na trhu již téměř neexistuje nabídka služeb pro analogové sítě. Poskytovatel je již navíc znalý jak sítí MKS, tak sítí TSK. Na poskytované služby je pohlíženo jako na Důvěrné informace ve smyslu Smlouvy, a není zájmem Objednatele předmětné informace poskytovat dalším osobám. Jedinou změnou Smlouvy by tak bylo pouze prodloužení doby plnění při zachování všech ostatních parametrů. </w:t>
      </w:r>
    </w:p>
    <w:p w14:paraId="4A7D6C0A" w14:textId="2FBFD1F2" w:rsidR="00A84ED5" w:rsidRPr="00DB7719" w:rsidRDefault="00A84ED5" w:rsidP="00A84ED5">
      <w:pPr>
        <w:pStyle w:val="RLdajeosmluvnstran"/>
        <w:numPr>
          <w:ilvl w:val="0"/>
          <w:numId w:val="1"/>
        </w:numPr>
        <w:jc w:val="both"/>
        <w:rPr>
          <w:rFonts w:cs="Calibri"/>
          <w:szCs w:val="22"/>
        </w:rPr>
      </w:pPr>
      <w:r w:rsidRPr="00DB7719">
        <w:rPr>
          <w:rFonts w:cs="Calibri"/>
          <w:szCs w:val="22"/>
        </w:rPr>
        <w:t>Předmět i druh Veřejné zakázky zůstává shodný se Smlouvou, a tedy nedochází ke změně celkové povahy Veřejné zakázky i přes realizaci popsané změny</w:t>
      </w:r>
      <w:r w:rsidR="00A34D9E" w:rsidRPr="00DB7719">
        <w:rPr>
          <w:rFonts w:cs="Calibri"/>
          <w:szCs w:val="22"/>
        </w:rPr>
        <w:t>.</w:t>
      </w:r>
    </w:p>
    <w:p w14:paraId="65B7919C" w14:textId="3B7C7240" w:rsidR="00196A60" w:rsidRPr="00DB7719" w:rsidRDefault="00A34D9E" w:rsidP="00196A60">
      <w:pPr>
        <w:pStyle w:val="RLdajeosmluvnstran"/>
        <w:numPr>
          <w:ilvl w:val="0"/>
          <w:numId w:val="1"/>
        </w:numPr>
        <w:jc w:val="both"/>
        <w:rPr>
          <w:rFonts w:ascii="Arial" w:hAnsi="Arial" w:cs="Arial"/>
          <w:sz w:val="20"/>
          <w:szCs w:val="20"/>
        </w:rPr>
      </w:pPr>
      <w:r w:rsidRPr="00DB7719">
        <w:rPr>
          <w:rFonts w:cs="Calibri"/>
          <w:szCs w:val="22"/>
        </w:rPr>
        <w:t xml:space="preserve">Výše uvedenou změnu tak </w:t>
      </w:r>
      <w:r w:rsidR="00196A60" w:rsidRPr="00DB7719">
        <w:rPr>
          <w:rFonts w:cs="Calibri"/>
          <w:szCs w:val="22"/>
        </w:rPr>
        <w:t xml:space="preserve">lze vztáhnout pod § 222 odst. 5 ZZVZ, tj. povolenou změnu závazku, neboť budou poskytovány shodné služby od téhož dodavatele, změna dodavatele není z ekonomických ani technických důvodů možná a zadavateli by způsobila značné obtíže i výrazné zvýšení nákladů. </w:t>
      </w:r>
    </w:p>
    <w:p w14:paraId="48A69D7D" w14:textId="14CF4AA6" w:rsidR="00A84ED5" w:rsidRPr="00196A60" w:rsidRDefault="00A84ED5" w:rsidP="00A84ED5">
      <w:pPr>
        <w:pStyle w:val="RLdajeosmluvnstran"/>
        <w:numPr>
          <w:ilvl w:val="0"/>
          <w:numId w:val="1"/>
        </w:numPr>
        <w:jc w:val="both"/>
        <w:rPr>
          <w:rFonts w:cs="Calibri"/>
          <w:szCs w:val="22"/>
        </w:rPr>
      </w:pPr>
      <w:r w:rsidRPr="00196A60">
        <w:rPr>
          <w:rFonts w:cs="Calibri"/>
          <w:szCs w:val="22"/>
        </w:rPr>
        <w:t xml:space="preserve">Smluvní strany tímto uzavírají níže uvedeného dne, měsíce a roku postupem dle ustanovení </w:t>
      </w:r>
      <w:r w:rsidRPr="00196A60">
        <w:rPr>
          <w:rFonts w:cs="Calibri"/>
          <w:szCs w:val="22"/>
        </w:rPr>
        <w:br/>
        <w:t>čl. 1</w:t>
      </w:r>
      <w:r w:rsidR="00196A60" w:rsidRPr="00196A60">
        <w:rPr>
          <w:rFonts w:cs="Calibri"/>
          <w:szCs w:val="22"/>
        </w:rPr>
        <w:t>3</w:t>
      </w:r>
      <w:r w:rsidRPr="00196A60">
        <w:rPr>
          <w:rFonts w:cs="Calibri"/>
          <w:szCs w:val="22"/>
        </w:rPr>
        <w:t xml:space="preserve"> odst. 1</w:t>
      </w:r>
      <w:r w:rsidR="00196A60" w:rsidRPr="00196A60">
        <w:rPr>
          <w:rFonts w:cs="Calibri"/>
          <w:szCs w:val="22"/>
        </w:rPr>
        <w:t>3</w:t>
      </w:r>
      <w:r w:rsidR="00CE1AFE" w:rsidRPr="00196A60">
        <w:rPr>
          <w:rFonts w:cs="Calibri"/>
          <w:szCs w:val="22"/>
        </w:rPr>
        <w:t>.1</w:t>
      </w:r>
      <w:r w:rsidR="00196A60" w:rsidRPr="00196A60">
        <w:rPr>
          <w:rFonts w:cs="Calibri"/>
          <w:szCs w:val="22"/>
        </w:rPr>
        <w:t>0</w:t>
      </w:r>
      <w:r w:rsidRPr="00196A60">
        <w:rPr>
          <w:rFonts w:cs="Calibri"/>
          <w:szCs w:val="22"/>
        </w:rPr>
        <w:t xml:space="preserve"> Smlouvy tento Dodatek, jehož předmětem je změna Smlouvy spočívající </w:t>
      </w:r>
      <w:bookmarkStart w:id="2" w:name="_Hlk137452562"/>
      <w:r w:rsidR="00196A60" w:rsidRPr="00196A60">
        <w:rPr>
          <w:rFonts w:cs="Calibri"/>
          <w:szCs w:val="22"/>
        </w:rPr>
        <w:t xml:space="preserve">úpravě doby trvání Smlouvy. </w:t>
      </w:r>
    </w:p>
    <w:p w14:paraId="68FCDF05" w14:textId="77777777" w:rsidR="00196A60" w:rsidRPr="0017222B" w:rsidRDefault="00196A60" w:rsidP="00196A60">
      <w:pPr>
        <w:pStyle w:val="RLdajeosmluvnstran"/>
        <w:ind w:left="720"/>
        <w:jc w:val="both"/>
        <w:rPr>
          <w:rFonts w:cs="Calibri"/>
          <w:color w:val="EE0000"/>
          <w:szCs w:val="22"/>
        </w:rPr>
      </w:pPr>
    </w:p>
    <w:p w14:paraId="3AF4A6CB" w14:textId="77777777" w:rsidR="00A84ED5" w:rsidRPr="005E38D2" w:rsidRDefault="00A84ED5" w:rsidP="00A84ED5">
      <w:pPr>
        <w:pStyle w:val="RLdajeosmluvnstran"/>
        <w:jc w:val="both"/>
        <w:rPr>
          <w:rFonts w:cs="Calibri"/>
          <w:b/>
          <w:bCs/>
          <w:szCs w:val="22"/>
        </w:rPr>
      </w:pPr>
      <w:r w:rsidRPr="005E38D2">
        <w:rPr>
          <w:rFonts w:cs="Calibri"/>
          <w:b/>
          <w:bCs/>
          <w:szCs w:val="22"/>
        </w:rPr>
        <w:t>I. PŘEDMĚT DODATKU</w:t>
      </w:r>
      <w:bookmarkEnd w:id="2"/>
    </w:p>
    <w:p w14:paraId="56AF802D" w14:textId="5D5BBEE8" w:rsidR="00A84ED5" w:rsidRDefault="007F2C74" w:rsidP="00196A60">
      <w:pPr>
        <w:pStyle w:val="RLdajeosmluvnstran"/>
        <w:numPr>
          <w:ilvl w:val="1"/>
          <w:numId w:val="4"/>
        </w:numPr>
        <w:jc w:val="both"/>
        <w:rPr>
          <w:rFonts w:cs="Calibri"/>
          <w:szCs w:val="22"/>
        </w:rPr>
      </w:pPr>
      <w:r>
        <w:rPr>
          <w:rFonts w:cs="Calibri"/>
          <w:szCs w:val="22"/>
        </w:rPr>
        <w:t xml:space="preserve">Tímto Dodatkem dochází </w:t>
      </w:r>
      <w:r w:rsidR="00196A60">
        <w:rPr>
          <w:rFonts w:cs="Calibri"/>
          <w:szCs w:val="22"/>
        </w:rPr>
        <w:t>ke změně čl. 2 DOBA TRVÁNÍ SMLOUVY odst. 2.1</w:t>
      </w:r>
      <w:r w:rsidR="005B6036">
        <w:rPr>
          <w:rFonts w:cs="Calibri"/>
          <w:szCs w:val="22"/>
        </w:rPr>
        <w:t xml:space="preserve"> Smlouvy</w:t>
      </w:r>
      <w:r w:rsidR="00196A60">
        <w:rPr>
          <w:rFonts w:cs="Calibri"/>
          <w:szCs w:val="22"/>
        </w:rPr>
        <w:t xml:space="preserve">, který nově zní: </w:t>
      </w:r>
    </w:p>
    <w:p w14:paraId="6A9B8F5E" w14:textId="39F09B16" w:rsidR="00196A60" w:rsidRPr="005B6036" w:rsidRDefault="00196A60" w:rsidP="00196A60">
      <w:pPr>
        <w:pStyle w:val="RLTextlnkuslovan"/>
        <w:numPr>
          <w:ilvl w:val="0"/>
          <w:numId w:val="0"/>
        </w:numPr>
        <w:tabs>
          <w:tab w:val="num" w:pos="1560"/>
        </w:tabs>
        <w:ind w:left="710"/>
        <w:rPr>
          <w:rFonts w:cs="Calibri"/>
          <w:i/>
          <w:iCs/>
          <w:szCs w:val="22"/>
        </w:rPr>
      </w:pPr>
      <w:r w:rsidRPr="005B6036">
        <w:rPr>
          <w:i/>
          <w:iCs/>
        </w:rPr>
        <w:lastRenderedPageBreak/>
        <w:t xml:space="preserve">2.1 Smlouva se uzavírá na dobu určitou, tj. do okamžiku vyčerpání celkového rámce finančního plnění Smlouvy, resp. celkové možné ceny dle této Smlouvy ve výši </w:t>
      </w:r>
      <w:r w:rsidR="00AD2CD5" w:rsidRPr="005B6036">
        <w:rPr>
          <w:i/>
          <w:iCs/>
        </w:rPr>
        <w:t>6.100.000, -</w:t>
      </w:r>
      <w:r w:rsidRPr="005B6036">
        <w:rPr>
          <w:i/>
          <w:iCs/>
        </w:rPr>
        <w:t xml:space="preserve"> Kč (slovy: šest milionů sto tisíc šest milionů sto tisíc korun českých) bez DPH, nebo nejpozději na dobu v délce </w:t>
      </w:r>
      <w:r w:rsidRPr="00053BF8">
        <w:rPr>
          <w:b/>
          <w:bCs/>
          <w:i/>
          <w:iCs/>
        </w:rPr>
        <w:t xml:space="preserve">trvání </w:t>
      </w:r>
      <w:r w:rsidR="00562A59" w:rsidRPr="00562A59">
        <w:rPr>
          <w:b/>
          <w:bCs/>
          <w:i/>
          <w:iCs/>
        </w:rPr>
        <w:t>šedesáti</w:t>
      </w:r>
      <w:r w:rsidRPr="00562A59">
        <w:rPr>
          <w:b/>
          <w:bCs/>
          <w:i/>
          <w:iCs/>
        </w:rPr>
        <w:t xml:space="preserve"> (</w:t>
      </w:r>
      <w:r w:rsidR="00562A59" w:rsidRPr="00562A59">
        <w:rPr>
          <w:b/>
          <w:bCs/>
          <w:i/>
          <w:iCs/>
        </w:rPr>
        <w:t>6</w:t>
      </w:r>
      <w:r w:rsidR="00053BF8" w:rsidRPr="00562A59">
        <w:rPr>
          <w:b/>
          <w:bCs/>
          <w:i/>
          <w:iCs/>
        </w:rPr>
        <w:t>0</w:t>
      </w:r>
      <w:r w:rsidRPr="00562A59">
        <w:rPr>
          <w:b/>
          <w:bCs/>
          <w:i/>
          <w:iCs/>
        </w:rPr>
        <w:t>) měsíců od účinnosti této Smlouvy</w:t>
      </w:r>
      <w:r w:rsidRPr="00562A59">
        <w:rPr>
          <w:rFonts w:cs="Calibri"/>
          <w:i/>
          <w:iCs/>
          <w:szCs w:val="22"/>
        </w:rPr>
        <w:t>.</w:t>
      </w:r>
      <w:r w:rsidRPr="005B6036">
        <w:rPr>
          <w:rFonts w:cs="Calibri"/>
          <w:i/>
          <w:iCs/>
          <w:szCs w:val="22"/>
        </w:rPr>
        <w:t xml:space="preserve"> </w:t>
      </w:r>
    </w:p>
    <w:p w14:paraId="00557CA6" w14:textId="77777777" w:rsidR="00196A60" w:rsidRPr="005E38D2" w:rsidRDefault="00196A60" w:rsidP="00942AB5">
      <w:pPr>
        <w:pStyle w:val="RLdajeosmluvnstran"/>
        <w:ind w:left="426" w:hanging="426"/>
        <w:jc w:val="both"/>
        <w:rPr>
          <w:rFonts w:cs="Calibri"/>
          <w:szCs w:val="22"/>
        </w:rPr>
      </w:pPr>
    </w:p>
    <w:p w14:paraId="7F5209F6" w14:textId="77777777" w:rsidR="00A84ED5" w:rsidRPr="005E38D2" w:rsidRDefault="00A84ED5" w:rsidP="00A84ED5">
      <w:pPr>
        <w:pStyle w:val="RLdajeosmluvnstran"/>
        <w:jc w:val="both"/>
        <w:rPr>
          <w:rFonts w:cs="Calibri"/>
          <w:b/>
          <w:szCs w:val="22"/>
        </w:rPr>
      </w:pPr>
      <w:r w:rsidRPr="005E38D2">
        <w:rPr>
          <w:rFonts w:cs="Calibri"/>
          <w:b/>
          <w:bCs/>
          <w:szCs w:val="22"/>
        </w:rPr>
        <w:t xml:space="preserve">II. </w:t>
      </w:r>
      <w:r w:rsidRPr="005E38D2">
        <w:rPr>
          <w:rFonts w:cs="Calibri"/>
          <w:b/>
          <w:szCs w:val="22"/>
        </w:rPr>
        <w:t xml:space="preserve">ZÁVĚREČNÁ USTANOVENÍ </w:t>
      </w:r>
      <w:r w:rsidRPr="005E38D2">
        <w:rPr>
          <w:rFonts w:cs="Calibri"/>
          <w:b/>
          <w:szCs w:val="22"/>
        </w:rPr>
        <w:tab/>
      </w:r>
    </w:p>
    <w:p w14:paraId="09552904"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Smluvní strany prohlašují, že postupovaly v souladu se ZZVZ.</w:t>
      </w:r>
    </w:p>
    <w:p w14:paraId="231341AA"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Veškeré pojmy či definice, pokud z kontextu tohoto Dodatku neplyne něco jiného, mají stejný význam jako ve Smlouvě.  </w:t>
      </w:r>
    </w:p>
    <w:p w14:paraId="34CAEDFA"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Ostatní ustanovení Smlouvy zůstávají tímto Dodatkem nezměněná a v platnosti.  </w:t>
      </w:r>
    </w:p>
    <w:p w14:paraId="681853C7"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0852EFD5"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Smluvní 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Objednatel zašle tento Dodatek správci registru smluv k uveřejnění bez zbytečného odkladu, nejpozději však do třiceti (30) dnů od jeho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  </w:t>
      </w:r>
    </w:p>
    <w:p w14:paraId="70C77F7D"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Smluvní strany prohlašují, že skutečnosti uvedené v tomto Dodatku nepovažují za obchodní tajemství ve smyslu § 504 Občanského zákoníku a udělují svolení k jejich užití a zveřejnění bez stanovení jakýchkoli dalších podmínek. </w:t>
      </w:r>
    </w:p>
    <w:p w14:paraId="3072D8B2" w14:textId="77777777" w:rsidR="00A84ED5" w:rsidRPr="005E38D2" w:rsidRDefault="00A84ED5" w:rsidP="00A84ED5">
      <w:pPr>
        <w:pStyle w:val="Odstavecseseznamem"/>
        <w:numPr>
          <w:ilvl w:val="1"/>
          <w:numId w:val="2"/>
        </w:numPr>
        <w:spacing w:after="160" w:line="259" w:lineRule="auto"/>
        <w:contextualSpacing w:val="0"/>
        <w:jc w:val="both"/>
        <w:rPr>
          <w:rFonts w:cs="Calibri"/>
          <w:szCs w:val="22"/>
        </w:rPr>
      </w:pPr>
      <w:r w:rsidRPr="005E38D2">
        <w:rPr>
          <w:rFonts w:cs="Calibri"/>
          <w:szCs w:val="22"/>
        </w:rPr>
        <w:t>Pro případ uzavírání tohoto Dodatku Smluvní strany vylučují použití ustanovení § 1740 odst. 3 Občanského zákoníku. Zhotovitel na sebe přebírá nebezpečí změny okolností dle ustanovení § 1765 odst. 2 Občanského zákoníku.</w:t>
      </w:r>
    </w:p>
    <w:p w14:paraId="40EFE8ED" w14:textId="4A15282C"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Tento Dodatek je vyhotoven ve dvou (2) stejnopisech, z nichž Objednatel obdrží jedno (1) vyhotovení a </w:t>
      </w:r>
      <w:r w:rsidR="0017222B">
        <w:rPr>
          <w:rFonts w:cs="Calibri"/>
          <w:szCs w:val="22"/>
        </w:rPr>
        <w:t>Poskytovatel</w:t>
      </w:r>
      <w:r w:rsidRPr="005E38D2">
        <w:rPr>
          <w:rFonts w:cs="Calibri"/>
          <w:szCs w:val="22"/>
        </w:rPr>
        <w:t xml:space="preserve"> obdrží jedno (1) vyhotovení. V případě, že je tento Dodatek uzavírán elektronicky za využití uznávaných elektronických podpisů, postačí jedno (1) vyhotovení Dodatku, na kterém jsou zaznamenány uznávané elektronické podpisy zástupců Smluvních stran oprávněných tento Dodatek uzavřít.</w:t>
      </w:r>
    </w:p>
    <w:p w14:paraId="61BB359B" w14:textId="4A93331F" w:rsidR="00EF38FF" w:rsidRPr="00EF38FF" w:rsidRDefault="00A84ED5" w:rsidP="00EF38FF">
      <w:pPr>
        <w:pStyle w:val="Odstavecseseznamem"/>
        <w:numPr>
          <w:ilvl w:val="1"/>
          <w:numId w:val="2"/>
        </w:numPr>
        <w:spacing w:before="120" w:after="0" w:line="259" w:lineRule="auto"/>
        <w:contextualSpacing w:val="0"/>
        <w:jc w:val="both"/>
        <w:rPr>
          <w:rFonts w:cs="Calibri"/>
          <w:szCs w:val="22"/>
        </w:rPr>
      </w:pPr>
      <w:r w:rsidRPr="005E38D2">
        <w:rPr>
          <w:rFonts w:cs="Calibri"/>
          <w:szCs w:val="22"/>
        </w:rPr>
        <w:t xml:space="preserve">Smluvní strany prohlašují, že si celý tento Dodatek důkladně a řádně přečetly, jeho obsahu zcela porozuměly, je jim bez pochybností srozumitelný a určitý, že jim nejsou v den uzavření tohoto </w:t>
      </w:r>
      <w:r w:rsidRPr="005E38D2">
        <w:rPr>
          <w:rFonts w:cs="Calibri"/>
          <w:szCs w:val="22"/>
        </w:rPr>
        <w:lastRenderedPageBreak/>
        <w:t>Dodatku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podpisy</w:t>
      </w:r>
      <w:r w:rsidR="00EF38FF">
        <w:rPr>
          <w:rFonts w:cs="Calibri"/>
          <w:szCs w:val="22"/>
        </w:rPr>
        <w:t>.</w:t>
      </w:r>
    </w:p>
    <w:p w14:paraId="6756B2BE" w14:textId="77777777" w:rsidR="00A84ED5" w:rsidRPr="005E38D2" w:rsidRDefault="00A84ED5" w:rsidP="00A84ED5">
      <w:pPr>
        <w:pStyle w:val="Odstavecseseznamem"/>
        <w:spacing w:before="120" w:after="0"/>
        <w:ind w:left="357"/>
        <w:contextualSpacing w:val="0"/>
        <w:jc w:val="both"/>
        <w:rPr>
          <w:rFonts w:cs="Calibri"/>
          <w:szCs w:val="22"/>
        </w:rPr>
      </w:pPr>
    </w:p>
    <w:tbl>
      <w:tblPr>
        <w:tblW w:w="0" w:type="auto"/>
        <w:jc w:val="center"/>
        <w:tblLook w:val="01E0" w:firstRow="1" w:lastRow="1" w:firstColumn="1" w:lastColumn="1" w:noHBand="0" w:noVBand="0"/>
      </w:tblPr>
      <w:tblGrid>
        <w:gridCol w:w="4271"/>
        <w:gridCol w:w="4573"/>
      </w:tblGrid>
      <w:tr w:rsidR="00A84ED5" w:rsidRPr="005E38D2" w14:paraId="750D25C7" w14:textId="77777777" w:rsidTr="008D6E73">
        <w:trPr>
          <w:trHeight w:hRule="exact" w:val="1065"/>
          <w:jc w:val="center"/>
        </w:trPr>
        <w:tc>
          <w:tcPr>
            <w:tcW w:w="4271" w:type="dxa"/>
          </w:tcPr>
          <w:p w14:paraId="04140961" w14:textId="77777777" w:rsidR="00A84ED5" w:rsidRPr="005E38D2" w:rsidRDefault="00A84ED5" w:rsidP="008D6E73">
            <w:pPr>
              <w:jc w:val="center"/>
              <w:rPr>
                <w:rFonts w:cs="Calibri"/>
                <w:b/>
                <w:szCs w:val="22"/>
              </w:rPr>
            </w:pPr>
            <w:r w:rsidRPr="005E38D2">
              <w:rPr>
                <w:rFonts w:cs="Calibri"/>
                <w:b/>
                <w:szCs w:val="22"/>
              </w:rPr>
              <w:t>Objednatel</w:t>
            </w:r>
          </w:p>
        </w:tc>
        <w:tc>
          <w:tcPr>
            <w:tcW w:w="4573" w:type="dxa"/>
          </w:tcPr>
          <w:p w14:paraId="0FB8865D" w14:textId="73ED936B" w:rsidR="00A84ED5" w:rsidRPr="005E38D2" w:rsidRDefault="0017222B" w:rsidP="008D6E73">
            <w:pPr>
              <w:jc w:val="center"/>
              <w:rPr>
                <w:rFonts w:cs="Calibri"/>
                <w:b/>
                <w:szCs w:val="22"/>
              </w:rPr>
            </w:pPr>
            <w:r>
              <w:rPr>
                <w:rFonts w:cs="Calibri"/>
                <w:b/>
                <w:szCs w:val="22"/>
              </w:rPr>
              <w:t>Poskytovatel</w:t>
            </w:r>
          </w:p>
          <w:p w14:paraId="35075323" w14:textId="77777777" w:rsidR="00A84ED5" w:rsidRPr="005E38D2" w:rsidRDefault="00A84ED5" w:rsidP="008D6E73">
            <w:pPr>
              <w:jc w:val="center"/>
              <w:rPr>
                <w:rFonts w:cs="Calibri"/>
                <w:szCs w:val="22"/>
                <w:lang w:eastAsia="en-US"/>
              </w:rPr>
            </w:pPr>
          </w:p>
        </w:tc>
      </w:tr>
      <w:tr w:rsidR="00A84ED5" w:rsidRPr="005E38D2" w14:paraId="47BE46F7" w14:textId="77777777" w:rsidTr="008D6E73">
        <w:trPr>
          <w:trHeight w:val="969"/>
          <w:jc w:val="center"/>
        </w:trPr>
        <w:tc>
          <w:tcPr>
            <w:tcW w:w="4271" w:type="dxa"/>
          </w:tcPr>
          <w:p w14:paraId="146F28C0" w14:textId="77777777" w:rsidR="00A84ED5" w:rsidRPr="005E38D2" w:rsidRDefault="00A84ED5" w:rsidP="008D6E73">
            <w:pPr>
              <w:spacing w:after="0"/>
              <w:rPr>
                <w:rFonts w:cs="Calibri"/>
                <w:szCs w:val="22"/>
                <w:lang w:eastAsia="en-US"/>
              </w:rPr>
            </w:pPr>
          </w:p>
          <w:p w14:paraId="077AFF22" w14:textId="77777777" w:rsidR="00A84ED5" w:rsidRPr="005E38D2" w:rsidRDefault="00A84ED5" w:rsidP="008D6E73">
            <w:pPr>
              <w:spacing w:after="0"/>
              <w:jc w:val="center"/>
              <w:rPr>
                <w:rFonts w:cs="Calibri"/>
                <w:szCs w:val="22"/>
                <w:lang w:eastAsia="en-US"/>
              </w:rPr>
            </w:pPr>
            <w:r w:rsidRPr="005E38D2">
              <w:rPr>
                <w:rFonts w:cs="Calibri"/>
                <w:szCs w:val="22"/>
                <w:lang w:eastAsia="en-US"/>
              </w:rPr>
              <w:t>..................................................................</w:t>
            </w:r>
          </w:p>
          <w:p w14:paraId="149A635E" w14:textId="3D050691" w:rsidR="00A84ED5" w:rsidRPr="005E38D2" w:rsidRDefault="00A84ED5" w:rsidP="008D6E73">
            <w:pPr>
              <w:spacing w:after="0"/>
              <w:jc w:val="center"/>
              <w:rPr>
                <w:rFonts w:cs="Calibri"/>
                <w:b/>
                <w:szCs w:val="22"/>
              </w:rPr>
            </w:pPr>
            <w:r w:rsidRPr="005E38D2">
              <w:rPr>
                <w:rFonts w:cs="Calibri"/>
                <w:b/>
                <w:szCs w:val="22"/>
              </w:rPr>
              <w:t xml:space="preserve">Tomáš </w:t>
            </w:r>
            <w:r w:rsidR="0068109B">
              <w:rPr>
                <w:rFonts w:cs="Calibri"/>
                <w:b/>
                <w:szCs w:val="22"/>
              </w:rPr>
              <w:t>Novotný</w:t>
            </w:r>
          </w:p>
          <w:p w14:paraId="01E2C07A" w14:textId="4A9F8D00" w:rsidR="00A84ED5" w:rsidRPr="005E38D2" w:rsidRDefault="0068109B" w:rsidP="008D6E73">
            <w:pPr>
              <w:pStyle w:val="RLdajeosmluvnstran"/>
              <w:spacing w:after="0"/>
              <w:ind w:firstLine="708"/>
              <w:jc w:val="left"/>
              <w:rPr>
                <w:rFonts w:cs="Calibri"/>
                <w:b/>
                <w:szCs w:val="22"/>
              </w:rPr>
            </w:pPr>
            <w:r w:rsidRPr="0068109B">
              <w:rPr>
                <w:rFonts w:cs="Calibri"/>
                <w:b/>
                <w:szCs w:val="22"/>
              </w:rPr>
              <w:t>místo</w:t>
            </w:r>
            <w:r w:rsidR="00A84ED5" w:rsidRPr="0068109B">
              <w:rPr>
                <w:rFonts w:cs="Calibri"/>
                <w:b/>
                <w:szCs w:val="22"/>
              </w:rPr>
              <w:t>předseda</w:t>
            </w:r>
            <w:r w:rsidR="00A84ED5" w:rsidRPr="005E38D2">
              <w:rPr>
                <w:rFonts w:cs="Calibri"/>
                <w:b/>
                <w:szCs w:val="22"/>
              </w:rPr>
              <w:t xml:space="preserve"> představenstva</w:t>
            </w:r>
          </w:p>
          <w:p w14:paraId="72FECC0D" w14:textId="77777777" w:rsidR="00A84ED5" w:rsidRPr="005E38D2" w:rsidRDefault="00A84ED5" w:rsidP="008D6E73">
            <w:pPr>
              <w:pStyle w:val="RLdajeosmluvnstran"/>
              <w:spacing w:after="0"/>
              <w:rPr>
                <w:rFonts w:cs="Calibri"/>
                <w:szCs w:val="22"/>
              </w:rPr>
            </w:pPr>
            <w:r w:rsidRPr="005E38D2">
              <w:rPr>
                <w:rFonts w:cs="Calibri"/>
                <w:bCs/>
                <w:szCs w:val="22"/>
              </w:rPr>
              <w:t xml:space="preserve"> Technologie hlavního města Prahy, a.s.</w:t>
            </w:r>
            <w:r w:rsidRPr="005E38D2">
              <w:rPr>
                <w:rFonts w:cs="Calibri"/>
                <w:szCs w:val="22"/>
              </w:rPr>
              <w:tab/>
            </w:r>
          </w:p>
        </w:tc>
        <w:tc>
          <w:tcPr>
            <w:tcW w:w="4573" w:type="dxa"/>
          </w:tcPr>
          <w:p w14:paraId="33E716B9" w14:textId="77777777" w:rsidR="00A84ED5" w:rsidRPr="005E38D2" w:rsidRDefault="00A84ED5" w:rsidP="008D6E73">
            <w:pPr>
              <w:spacing w:after="0"/>
              <w:jc w:val="center"/>
              <w:rPr>
                <w:rFonts w:cs="Calibri"/>
                <w:szCs w:val="22"/>
                <w:lang w:eastAsia="en-US"/>
              </w:rPr>
            </w:pPr>
          </w:p>
          <w:p w14:paraId="435F7553" w14:textId="77777777" w:rsidR="00A84ED5" w:rsidRPr="005E38D2" w:rsidRDefault="00A84ED5" w:rsidP="008D6E73">
            <w:pPr>
              <w:spacing w:after="0"/>
              <w:jc w:val="center"/>
              <w:rPr>
                <w:rFonts w:cs="Calibri"/>
                <w:szCs w:val="22"/>
                <w:lang w:eastAsia="en-US"/>
              </w:rPr>
            </w:pPr>
            <w:r w:rsidRPr="005E38D2">
              <w:rPr>
                <w:rFonts w:cs="Calibri"/>
                <w:szCs w:val="22"/>
                <w:lang w:eastAsia="en-US"/>
              </w:rPr>
              <w:t>.....................................................................</w:t>
            </w:r>
          </w:p>
          <w:p w14:paraId="50E36F59" w14:textId="77777777" w:rsidR="0068109B" w:rsidRPr="0017222B" w:rsidRDefault="00A84ED5" w:rsidP="0017222B">
            <w:pPr>
              <w:spacing w:after="0"/>
              <w:jc w:val="center"/>
              <w:rPr>
                <w:rFonts w:cs="Calibri"/>
                <w:b/>
                <w:szCs w:val="22"/>
              </w:rPr>
            </w:pPr>
            <w:r w:rsidRPr="0017222B">
              <w:rPr>
                <w:rFonts w:cs="Calibri"/>
                <w:b/>
                <w:szCs w:val="22"/>
              </w:rPr>
              <w:t xml:space="preserve">Ing. </w:t>
            </w:r>
            <w:r w:rsidR="0068109B" w:rsidRPr="0017222B">
              <w:rPr>
                <w:rFonts w:cs="Calibri"/>
                <w:b/>
                <w:szCs w:val="22"/>
              </w:rPr>
              <w:t>Jiří Kolář</w:t>
            </w:r>
          </w:p>
          <w:p w14:paraId="4024BAE2" w14:textId="21B660A6" w:rsidR="00A84ED5" w:rsidRPr="0017222B" w:rsidRDefault="0068109B" w:rsidP="0017222B">
            <w:pPr>
              <w:spacing w:after="0"/>
              <w:jc w:val="center"/>
              <w:rPr>
                <w:rFonts w:cs="Calibri"/>
                <w:b/>
                <w:szCs w:val="22"/>
              </w:rPr>
            </w:pPr>
            <w:r w:rsidRPr="0017222B">
              <w:rPr>
                <w:rFonts w:cs="Calibri"/>
                <w:b/>
                <w:szCs w:val="22"/>
              </w:rPr>
              <w:t>předseda představenstva</w:t>
            </w:r>
          </w:p>
          <w:p w14:paraId="28F485D0" w14:textId="4005FFD6" w:rsidR="00A84ED5" w:rsidRPr="0017222B" w:rsidRDefault="00302A45" w:rsidP="008D6E73">
            <w:pPr>
              <w:spacing w:after="0"/>
              <w:jc w:val="center"/>
              <w:rPr>
                <w:rFonts w:cs="Calibri"/>
                <w:bCs/>
                <w:szCs w:val="22"/>
                <w:lang w:eastAsia="en-US"/>
              </w:rPr>
            </w:pPr>
            <w:r w:rsidRPr="0017222B">
              <w:rPr>
                <w:rFonts w:cs="Calibri"/>
                <w:bCs/>
                <w:szCs w:val="22"/>
              </w:rPr>
              <w:t>KH servis a.s.</w:t>
            </w:r>
            <w:r w:rsidR="00A84ED5" w:rsidRPr="0017222B">
              <w:rPr>
                <w:rFonts w:cs="Calibri"/>
                <w:bCs/>
                <w:szCs w:val="22"/>
                <w:lang w:eastAsia="en-US"/>
              </w:rPr>
              <w:t xml:space="preserve"> </w:t>
            </w:r>
          </w:p>
        </w:tc>
      </w:tr>
      <w:tr w:rsidR="0068109B" w:rsidRPr="005E38D2" w14:paraId="1CFA5C45" w14:textId="77777777" w:rsidTr="008D6E73">
        <w:trPr>
          <w:trHeight w:val="969"/>
          <w:jc w:val="center"/>
        </w:trPr>
        <w:tc>
          <w:tcPr>
            <w:tcW w:w="4271" w:type="dxa"/>
          </w:tcPr>
          <w:p w14:paraId="69B559BB" w14:textId="77777777" w:rsidR="0068109B" w:rsidRPr="005E38D2" w:rsidRDefault="0068109B" w:rsidP="0068109B">
            <w:pPr>
              <w:rPr>
                <w:rFonts w:cs="Calibri"/>
                <w:b/>
                <w:szCs w:val="22"/>
              </w:rPr>
            </w:pPr>
          </w:p>
          <w:p w14:paraId="6D403944" w14:textId="77777777" w:rsidR="0068109B" w:rsidRPr="005E38D2" w:rsidRDefault="0068109B" w:rsidP="0068109B">
            <w:pPr>
              <w:jc w:val="center"/>
              <w:rPr>
                <w:rFonts w:cs="Calibri"/>
                <w:b/>
                <w:szCs w:val="22"/>
              </w:rPr>
            </w:pPr>
            <w:r w:rsidRPr="005E38D2">
              <w:rPr>
                <w:rFonts w:cs="Calibri"/>
                <w:b/>
                <w:szCs w:val="22"/>
              </w:rPr>
              <w:t>Objednatel</w:t>
            </w:r>
          </w:p>
          <w:p w14:paraId="53E1D9D7" w14:textId="77777777" w:rsidR="0068109B" w:rsidRPr="005E38D2" w:rsidRDefault="0068109B" w:rsidP="0068109B">
            <w:pPr>
              <w:spacing w:after="0"/>
              <w:jc w:val="center"/>
              <w:rPr>
                <w:rFonts w:cs="Calibri"/>
                <w:szCs w:val="22"/>
                <w:lang w:eastAsia="en-US"/>
              </w:rPr>
            </w:pPr>
          </w:p>
        </w:tc>
        <w:tc>
          <w:tcPr>
            <w:tcW w:w="4573" w:type="dxa"/>
          </w:tcPr>
          <w:p w14:paraId="0BB02062" w14:textId="77777777" w:rsidR="0068109B" w:rsidRDefault="0068109B" w:rsidP="0068109B">
            <w:pPr>
              <w:jc w:val="center"/>
              <w:rPr>
                <w:rFonts w:cs="Calibri"/>
                <w:b/>
                <w:szCs w:val="22"/>
              </w:rPr>
            </w:pPr>
          </w:p>
          <w:p w14:paraId="4C6764FE" w14:textId="7C1A4392" w:rsidR="0068109B" w:rsidRPr="005E38D2" w:rsidRDefault="0017222B" w:rsidP="0068109B">
            <w:pPr>
              <w:jc w:val="center"/>
              <w:rPr>
                <w:rFonts w:cs="Calibri"/>
                <w:b/>
                <w:szCs w:val="22"/>
              </w:rPr>
            </w:pPr>
            <w:r>
              <w:rPr>
                <w:rFonts w:cs="Calibri"/>
                <w:b/>
                <w:szCs w:val="22"/>
              </w:rPr>
              <w:t>Poskytovatel</w:t>
            </w:r>
          </w:p>
          <w:p w14:paraId="2EC37F60" w14:textId="77777777" w:rsidR="0068109B" w:rsidRPr="005E38D2" w:rsidRDefault="0068109B" w:rsidP="0068109B">
            <w:pPr>
              <w:jc w:val="center"/>
              <w:rPr>
                <w:rFonts w:cs="Calibri"/>
                <w:szCs w:val="22"/>
                <w:lang w:eastAsia="en-US"/>
              </w:rPr>
            </w:pPr>
          </w:p>
        </w:tc>
      </w:tr>
      <w:tr w:rsidR="0068109B" w:rsidRPr="005E38D2" w14:paraId="029D439E" w14:textId="77777777" w:rsidTr="008D6E73">
        <w:trPr>
          <w:trHeight w:val="969"/>
          <w:jc w:val="center"/>
        </w:trPr>
        <w:tc>
          <w:tcPr>
            <w:tcW w:w="4271" w:type="dxa"/>
          </w:tcPr>
          <w:p w14:paraId="4BB2871A" w14:textId="77777777" w:rsidR="0068109B" w:rsidRPr="005E38D2" w:rsidRDefault="0068109B" w:rsidP="0068109B">
            <w:pPr>
              <w:spacing w:after="0"/>
              <w:jc w:val="center"/>
              <w:rPr>
                <w:rFonts w:cs="Calibri"/>
                <w:szCs w:val="22"/>
                <w:lang w:eastAsia="en-US"/>
              </w:rPr>
            </w:pPr>
          </w:p>
          <w:p w14:paraId="1AF5C797" w14:textId="77777777" w:rsidR="0068109B" w:rsidRPr="005E38D2" w:rsidRDefault="0068109B" w:rsidP="0068109B">
            <w:pPr>
              <w:spacing w:after="0"/>
              <w:rPr>
                <w:rFonts w:cs="Calibri"/>
                <w:szCs w:val="22"/>
                <w:lang w:eastAsia="en-US"/>
              </w:rPr>
            </w:pPr>
          </w:p>
          <w:p w14:paraId="61F6A8D8" w14:textId="77777777" w:rsidR="0068109B" w:rsidRPr="005E38D2" w:rsidRDefault="0068109B" w:rsidP="0068109B">
            <w:pPr>
              <w:spacing w:after="0"/>
              <w:jc w:val="center"/>
              <w:rPr>
                <w:rFonts w:cs="Calibri"/>
                <w:szCs w:val="22"/>
                <w:lang w:eastAsia="en-US"/>
              </w:rPr>
            </w:pPr>
            <w:r w:rsidRPr="005E38D2">
              <w:rPr>
                <w:rFonts w:cs="Calibri"/>
                <w:szCs w:val="22"/>
                <w:lang w:eastAsia="en-US"/>
              </w:rPr>
              <w:t>.........................................................................</w:t>
            </w:r>
          </w:p>
          <w:p w14:paraId="4EB86120" w14:textId="41568EF4" w:rsidR="0068109B" w:rsidRPr="005E38D2" w:rsidRDefault="0068109B" w:rsidP="0068109B">
            <w:pPr>
              <w:spacing w:after="0"/>
              <w:jc w:val="center"/>
              <w:rPr>
                <w:rFonts w:cs="Calibri"/>
                <w:b/>
                <w:szCs w:val="22"/>
              </w:rPr>
            </w:pPr>
            <w:r>
              <w:rPr>
                <w:rFonts w:cs="Calibri"/>
                <w:b/>
                <w:szCs w:val="22"/>
              </w:rPr>
              <w:t>Libor Fiala</w:t>
            </w:r>
          </w:p>
          <w:p w14:paraId="1272EFBB" w14:textId="77777777" w:rsidR="0068109B" w:rsidRPr="005E38D2" w:rsidRDefault="0068109B" w:rsidP="0068109B">
            <w:pPr>
              <w:pStyle w:val="RLdajeosmluvnstran"/>
              <w:spacing w:after="0"/>
              <w:jc w:val="left"/>
              <w:rPr>
                <w:rFonts w:cs="Calibri"/>
                <w:b/>
                <w:szCs w:val="22"/>
              </w:rPr>
            </w:pPr>
            <w:r w:rsidRPr="005E38D2">
              <w:rPr>
                <w:rFonts w:cs="Calibri"/>
                <w:bCs/>
                <w:szCs w:val="22"/>
              </w:rPr>
              <w:t xml:space="preserve">                       </w:t>
            </w:r>
            <w:r w:rsidRPr="005E38D2">
              <w:rPr>
                <w:rFonts w:cs="Calibri"/>
                <w:b/>
                <w:szCs w:val="22"/>
              </w:rPr>
              <w:t xml:space="preserve">člen představenstva </w:t>
            </w:r>
          </w:p>
          <w:p w14:paraId="5E638A03" w14:textId="77777777" w:rsidR="0068109B" w:rsidRPr="005E38D2" w:rsidRDefault="0068109B" w:rsidP="0068109B">
            <w:pPr>
              <w:pStyle w:val="RLdajeosmluvnstran"/>
              <w:spacing w:after="0"/>
              <w:jc w:val="left"/>
              <w:rPr>
                <w:rFonts w:cs="Calibri"/>
                <w:bCs/>
                <w:szCs w:val="22"/>
              </w:rPr>
            </w:pPr>
            <w:r w:rsidRPr="005E38D2">
              <w:rPr>
                <w:rFonts w:cs="Calibri"/>
                <w:bCs/>
                <w:szCs w:val="22"/>
              </w:rPr>
              <w:t xml:space="preserve">     Technologie hlavního města Prahy, a.s.     </w:t>
            </w:r>
          </w:p>
        </w:tc>
        <w:tc>
          <w:tcPr>
            <w:tcW w:w="4573" w:type="dxa"/>
          </w:tcPr>
          <w:p w14:paraId="359A4A1A" w14:textId="77777777" w:rsidR="0068109B" w:rsidRDefault="0068109B" w:rsidP="0068109B">
            <w:pPr>
              <w:spacing w:after="0"/>
              <w:jc w:val="center"/>
              <w:rPr>
                <w:rFonts w:cs="Calibri"/>
                <w:szCs w:val="22"/>
                <w:lang w:eastAsia="en-US"/>
              </w:rPr>
            </w:pPr>
          </w:p>
          <w:p w14:paraId="1ACE9A3B" w14:textId="77777777" w:rsidR="0068109B" w:rsidRPr="005E38D2" w:rsidRDefault="0068109B" w:rsidP="0068109B">
            <w:pPr>
              <w:spacing w:after="0"/>
              <w:jc w:val="center"/>
              <w:rPr>
                <w:rFonts w:cs="Calibri"/>
                <w:szCs w:val="22"/>
                <w:lang w:eastAsia="en-US"/>
              </w:rPr>
            </w:pPr>
          </w:p>
          <w:p w14:paraId="7B199B83" w14:textId="77777777" w:rsidR="0068109B" w:rsidRPr="005E38D2" w:rsidRDefault="0068109B" w:rsidP="0068109B">
            <w:pPr>
              <w:spacing w:after="0"/>
              <w:jc w:val="center"/>
              <w:rPr>
                <w:rFonts w:cs="Calibri"/>
                <w:szCs w:val="22"/>
                <w:lang w:eastAsia="en-US"/>
              </w:rPr>
            </w:pPr>
            <w:r w:rsidRPr="005E38D2">
              <w:rPr>
                <w:rFonts w:cs="Calibri"/>
                <w:szCs w:val="22"/>
                <w:lang w:eastAsia="en-US"/>
              </w:rPr>
              <w:t>.....................................................................</w:t>
            </w:r>
          </w:p>
          <w:p w14:paraId="0152973D" w14:textId="77777777" w:rsidR="00302A45" w:rsidRPr="0017222B" w:rsidRDefault="00302A45" w:rsidP="0017222B">
            <w:pPr>
              <w:spacing w:after="0"/>
              <w:jc w:val="center"/>
              <w:rPr>
                <w:rFonts w:cs="Calibri"/>
                <w:b/>
                <w:szCs w:val="22"/>
              </w:rPr>
            </w:pPr>
            <w:r w:rsidRPr="0017222B">
              <w:rPr>
                <w:rFonts w:cs="Calibri"/>
                <w:b/>
                <w:szCs w:val="22"/>
              </w:rPr>
              <w:t>Bc. Tomáš Nettl</w:t>
            </w:r>
          </w:p>
          <w:p w14:paraId="206FE927" w14:textId="291780D8" w:rsidR="0068109B" w:rsidRPr="00302A45" w:rsidRDefault="00302A45" w:rsidP="0017222B">
            <w:pPr>
              <w:spacing w:after="0"/>
              <w:jc w:val="center"/>
              <w:rPr>
                <w:rFonts w:cs="Calibri"/>
                <w:b/>
                <w:szCs w:val="22"/>
              </w:rPr>
            </w:pPr>
            <w:r w:rsidRPr="00302A45">
              <w:rPr>
                <w:rFonts w:cs="Calibri"/>
                <w:b/>
                <w:szCs w:val="22"/>
              </w:rPr>
              <w:t>člen představenstva</w:t>
            </w:r>
          </w:p>
          <w:p w14:paraId="00503AB0" w14:textId="0A2B6B9B" w:rsidR="00302A45" w:rsidRPr="0017222B" w:rsidRDefault="00302A45" w:rsidP="0017222B">
            <w:pPr>
              <w:spacing w:after="0"/>
              <w:jc w:val="center"/>
              <w:rPr>
                <w:rFonts w:cs="Calibri"/>
                <w:bCs/>
                <w:szCs w:val="22"/>
              </w:rPr>
            </w:pPr>
            <w:r w:rsidRPr="0017222B">
              <w:rPr>
                <w:rFonts w:cs="Calibri"/>
                <w:bCs/>
                <w:szCs w:val="22"/>
              </w:rPr>
              <w:t>KH servis a.s.</w:t>
            </w:r>
          </w:p>
          <w:p w14:paraId="30D1FB2A" w14:textId="05B6AA13" w:rsidR="0068109B" w:rsidRPr="005E38D2" w:rsidRDefault="0068109B" w:rsidP="0068109B">
            <w:pPr>
              <w:spacing w:after="0"/>
              <w:jc w:val="center"/>
              <w:rPr>
                <w:rFonts w:cs="Calibri"/>
                <w:bCs/>
                <w:szCs w:val="22"/>
              </w:rPr>
            </w:pPr>
          </w:p>
        </w:tc>
      </w:tr>
    </w:tbl>
    <w:p w14:paraId="6637B134" w14:textId="77777777" w:rsidR="00A84ED5" w:rsidRPr="005E38D2" w:rsidRDefault="00A84ED5" w:rsidP="00A84ED5">
      <w:pPr>
        <w:rPr>
          <w:rFonts w:cs="Calibri"/>
          <w:szCs w:val="22"/>
        </w:rPr>
      </w:pPr>
    </w:p>
    <w:p w14:paraId="1DB97DA5" w14:textId="77777777" w:rsidR="00A84ED5" w:rsidRPr="005E38D2" w:rsidRDefault="00A84ED5">
      <w:pPr>
        <w:rPr>
          <w:rFonts w:cs="Calibri"/>
          <w:szCs w:val="22"/>
        </w:rPr>
      </w:pPr>
    </w:p>
    <w:sectPr w:rsidR="00A84ED5" w:rsidRPr="005E38D2" w:rsidSect="00EF38FF">
      <w:footerReference w:type="default" r:id="rId7"/>
      <w:pgSz w:w="11906" w:h="16838" w:code="9"/>
      <w:pgMar w:top="1560" w:right="1418" w:bottom="226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F5DF" w14:textId="77777777" w:rsidR="00BC5FD2" w:rsidRDefault="00BC5FD2">
      <w:pPr>
        <w:spacing w:after="0" w:line="240" w:lineRule="auto"/>
      </w:pPr>
      <w:r>
        <w:separator/>
      </w:r>
    </w:p>
  </w:endnote>
  <w:endnote w:type="continuationSeparator" w:id="0">
    <w:p w14:paraId="338F2543" w14:textId="77777777" w:rsidR="00BC5FD2" w:rsidRDefault="00B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00417"/>
      <w:docPartObj>
        <w:docPartGallery w:val="Page Numbers (Bottom of Page)"/>
        <w:docPartUnique/>
      </w:docPartObj>
    </w:sdtPr>
    <w:sdtEndPr/>
    <w:sdtContent>
      <w:p w14:paraId="01960990" w14:textId="77777777" w:rsidR="00A84ED5" w:rsidRDefault="00A84ED5">
        <w:pPr>
          <w:pStyle w:val="Zpat"/>
          <w:jc w:val="right"/>
        </w:pPr>
        <w:r>
          <w:fldChar w:fldCharType="begin"/>
        </w:r>
        <w:r>
          <w:instrText>PAGE   \* MERGEFORMAT</w:instrText>
        </w:r>
        <w:r>
          <w:fldChar w:fldCharType="separate"/>
        </w:r>
        <w:r>
          <w:rPr>
            <w:noProof/>
          </w:rPr>
          <w:t>4</w:t>
        </w:r>
        <w:r>
          <w:fldChar w:fldCharType="end"/>
        </w:r>
      </w:p>
    </w:sdtContent>
  </w:sdt>
  <w:p w14:paraId="73F9927B" w14:textId="77777777" w:rsidR="00A84ED5" w:rsidRDefault="00A84E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A70D" w14:textId="77777777" w:rsidR="00BC5FD2" w:rsidRDefault="00BC5FD2">
      <w:pPr>
        <w:spacing w:after="0" w:line="240" w:lineRule="auto"/>
      </w:pPr>
      <w:r>
        <w:separator/>
      </w:r>
    </w:p>
  </w:footnote>
  <w:footnote w:type="continuationSeparator" w:id="0">
    <w:p w14:paraId="39F3DE24" w14:textId="77777777" w:rsidR="00BC5FD2" w:rsidRDefault="00BC5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DCB"/>
    <w:multiLevelType w:val="multilevel"/>
    <w:tmpl w:val="02D296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62C6FCD"/>
    <w:multiLevelType w:val="multilevel"/>
    <w:tmpl w:val="3BD8342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47"/>
        </w:tabs>
        <w:ind w:left="1447" w:hanging="737"/>
      </w:pPr>
      <w:rPr>
        <w:rFonts w:hint="default"/>
        <w:b/>
      </w:rPr>
    </w:lvl>
    <w:lvl w:ilvl="2">
      <w:start w:val="1"/>
      <w:numFmt w:val="decimal"/>
      <w:lvlText w:val="12.3.%3."/>
      <w:lvlJc w:val="left"/>
      <w:pPr>
        <w:ind w:left="2629" w:hanging="360"/>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B8E6490"/>
    <w:multiLevelType w:val="hybridMultilevel"/>
    <w:tmpl w:val="8C2E3BC8"/>
    <w:lvl w:ilvl="0" w:tplc="E1CA928C">
      <w:start w:val="1"/>
      <w:numFmt w:val="upperLetter"/>
      <w:lvlText w:val="%1."/>
      <w:lvlJc w:val="left"/>
      <w:pPr>
        <w:ind w:left="720" w:hanging="360"/>
      </w:pPr>
      <w:rPr>
        <w:rFonts w:ascii="Calibri" w:eastAsia="Times New Roman" w:hAnsi="Calibri" w:cs="Times New Roman"/>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7853F48"/>
    <w:multiLevelType w:val="multilevel"/>
    <w:tmpl w:val="C0C27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63195881">
    <w:abstractNumId w:val="2"/>
  </w:num>
  <w:num w:numId="2" w16cid:durableId="2045590697">
    <w:abstractNumId w:val="0"/>
  </w:num>
  <w:num w:numId="3" w16cid:durableId="26763298">
    <w:abstractNumId w:val="1"/>
  </w:num>
  <w:num w:numId="4" w16cid:durableId="587346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D5"/>
    <w:rsid w:val="00044612"/>
    <w:rsid w:val="00053BF8"/>
    <w:rsid w:val="00125A3E"/>
    <w:rsid w:val="0017222B"/>
    <w:rsid w:val="00196A60"/>
    <w:rsid w:val="002541B5"/>
    <w:rsid w:val="00263043"/>
    <w:rsid w:val="00302A45"/>
    <w:rsid w:val="00311833"/>
    <w:rsid w:val="0046291C"/>
    <w:rsid w:val="00541BFC"/>
    <w:rsid w:val="00562A59"/>
    <w:rsid w:val="005B6036"/>
    <w:rsid w:val="005E38D2"/>
    <w:rsid w:val="00671A33"/>
    <w:rsid w:val="0068109B"/>
    <w:rsid w:val="00780E9F"/>
    <w:rsid w:val="00796ABE"/>
    <w:rsid w:val="007D12CF"/>
    <w:rsid w:val="007F2C74"/>
    <w:rsid w:val="007F3937"/>
    <w:rsid w:val="008767E4"/>
    <w:rsid w:val="008D0157"/>
    <w:rsid w:val="008E7B45"/>
    <w:rsid w:val="00912E1A"/>
    <w:rsid w:val="00942AB5"/>
    <w:rsid w:val="00A34D9E"/>
    <w:rsid w:val="00A84ED5"/>
    <w:rsid w:val="00AC23C1"/>
    <w:rsid w:val="00AD2CD5"/>
    <w:rsid w:val="00B9431F"/>
    <w:rsid w:val="00BC5FD2"/>
    <w:rsid w:val="00BD1144"/>
    <w:rsid w:val="00BD1CDB"/>
    <w:rsid w:val="00BF0C2C"/>
    <w:rsid w:val="00C827B9"/>
    <w:rsid w:val="00CE1AFE"/>
    <w:rsid w:val="00D708E8"/>
    <w:rsid w:val="00DA17E4"/>
    <w:rsid w:val="00DB7719"/>
    <w:rsid w:val="00DE6B86"/>
    <w:rsid w:val="00E02268"/>
    <w:rsid w:val="00EE6076"/>
    <w:rsid w:val="00EF38FF"/>
    <w:rsid w:val="00F60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7F61"/>
  <w15:chartTrackingRefBased/>
  <w15:docId w15:val="{0BCAF245-00D9-46BF-95C1-D8146063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ED5"/>
    <w:pPr>
      <w:spacing w:after="120" w:line="280" w:lineRule="exact"/>
    </w:pPr>
    <w:rPr>
      <w:rFonts w:ascii="Calibri" w:eastAsia="Times New Roman" w:hAnsi="Calibri" w:cs="Times New Roman"/>
      <w:kern w:val="0"/>
      <w:sz w:val="22"/>
      <w:lang w:eastAsia="cs-CZ"/>
      <w14:ligatures w14:val="none"/>
    </w:rPr>
  </w:style>
  <w:style w:type="paragraph" w:styleId="Nadpis1">
    <w:name w:val="heading 1"/>
    <w:basedOn w:val="Normln"/>
    <w:next w:val="Normln"/>
    <w:link w:val="Nadpis1Char"/>
    <w:uiPriority w:val="9"/>
    <w:qFormat/>
    <w:rsid w:val="00A84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84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84ED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84ED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84ED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84ED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84ED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84ED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84ED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4ED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84ED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84ED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84ED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84ED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84ED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84ED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84ED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84ED5"/>
    <w:rPr>
      <w:rFonts w:eastAsiaTheme="majorEastAsia" w:cstheme="majorBidi"/>
      <w:color w:val="272727" w:themeColor="text1" w:themeTint="D8"/>
    </w:rPr>
  </w:style>
  <w:style w:type="paragraph" w:styleId="Nzev">
    <w:name w:val="Title"/>
    <w:basedOn w:val="Normln"/>
    <w:next w:val="Normln"/>
    <w:link w:val="NzevChar"/>
    <w:uiPriority w:val="10"/>
    <w:qFormat/>
    <w:rsid w:val="00A8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84ED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4ED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84ED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84ED5"/>
    <w:pPr>
      <w:spacing w:before="160"/>
      <w:jc w:val="center"/>
    </w:pPr>
    <w:rPr>
      <w:i/>
      <w:iCs/>
      <w:color w:val="404040" w:themeColor="text1" w:themeTint="BF"/>
    </w:rPr>
  </w:style>
  <w:style w:type="character" w:customStyle="1" w:styleId="CittChar">
    <w:name w:val="Citát Char"/>
    <w:basedOn w:val="Standardnpsmoodstavce"/>
    <w:link w:val="Citt"/>
    <w:uiPriority w:val="29"/>
    <w:rsid w:val="00A84ED5"/>
    <w:rPr>
      <w:i/>
      <w:iCs/>
      <w:color w:val="404040" w:themeColor="text1" w:themeTint="BF"/>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A84ED5"/>
    <w:pPr>
      <w:ind w:left="720"/>
      <w:contextualSpacing/>
    </w:pPr>
  </w:style>
  <w:style w:type="character" w:styleId="Zdraznnintenzivn">
    <w:name w:val="Intense Emphasis"/>
    <w:basedOn w:val="Standardnpsmoodstavce"/>
    <w:uiPriority w:val="21"/>
    <w:qFormat/>
    <w:rsid w:val="00A84ED5"/>
    <w:rPr>
      <w:i/>
      <w:iCs/>
      <w:color w:val="0F4761" w:themeColor="accent1" w:themeShade="BF"/>
    </w:rPr>
  </w:style>
  <w:style w:type="paragraph" w:styleId="Vrazncitt">
    <w:name w:val="Intense Quote"/>
    <w:basedOn w:val="Normln"/>
    <w:next w:val="Normln"/>
    <w:link w:val="VrazncittChar"/>
    <w:uiPriority w:val="30"/>
    <w:qFormat/>
    <w:rsid w:val="00A84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84ED5"/>
    <w:rPr>
      <w:i/>
      <w:iCs/>
      <w:color w:val="0F4761" w:themeColor="accent1" w:themeShade="BF"/>
    </w:rPr>
  </w:style>
  <w:style w:type="character" w:styleId="Odkazintenzivn">
    <w:name w:val="Intense Reference"/>
    <w:basedOn w:val="Standardnpsmoodstavce"/>
    <w:uiPriority w:val="32"/>
    <w:qFormat/>
    <w:rsid w:val="00A84ED5"/>
    <w:rPr>
      <w:b/>
      <w:bCs/>
      <w:smallCaps/>
      <w:color w:val="0F4761" w:themeColor="accent1" w:themeShade="BF"/>
      <w:spacing w:val="5"/>
    </w:rPr>
  </w:style>
  <w:style w:type="paragraph" w:customStyle="1" w:styleId="RLdajeosmluvnstran">
    <w:name w:val="RL  údaje o smluvní straně"/>
    <w:basedOn w:val="Normln"/>
    <w:rsid w:val="00A84ED5"/>
    <w:pPr>
      <w:jc w:val="center"/>
    </w:pPr>
    <w:rPr>
      <w:lang w:eastAsia="en-US"/>
    </w:rPr>
  </w:style>
  <w:style w:type="paragraph" w:customStyle="1" w:styleId="RLnzevsmlouvy">
    <w:name w:val="RL název smlouvy"/>
    <w:basedOn w:val="Normln"/>
    <w:next w:val="Normln"/>
    <w:rsid w:val="00A84ED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84ED5"/>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A84ED5"/>
    <w:rPr>
      <w:rFonts w:ascii="Calibri" w:eastAsia="Times New Roman" w:hAnsi="Calibri" w:cs="Times New Roman"/>
      <w:color w:val="808080"/>
      <w:kern w:val="0"/>
      <w:sz w:val="16"/>
      <w:lang w:eastAsia="cs-CZ"/>
      <w14:ligatures w14:val="none"/>
    </w:rPr>
  </w:style>
  <w:style w:type="character" w:customStyle="1" w:styleId="ZKLADNChar">
    <w:name w:val="ZÁKLADNÍ Char"/>
    <w:link w:val="ZKLADN"/>
    <w:locked/>
    <w:rsid w:val="00A84ED5"/>
    <w:rPr>
      <w:rFonts w:ascii="Garamond" w:hAnsi="Garamond"/>
      <w:lang w:val="x-none" w:eastAsia="x-none"/>
    </w:rPr>
  </w:style>
  <w:style w:type="paragraph" w:customStyle="1" w:styleId="ZKLADN">
    <w:name w:val="ZÁKLADNÍ"/>
    <w:basedOn w:val="Zkladntext"/>
    <w:link w:val="ZKLADNChar"/>
    <w:rsid w:val="00A84ED5"/>
    <w:pPr>
      <w:widowControl w:val="0"/>
      <w:spacing w:before="120" w:line="280" w:lineRule="atLeast"/>
      <w:jc w:val="both"/>
    </w:pPr>
    <w:rPr>
      <w:rFonts w:ascii="Garamond" w:eastAsiaTheme="minorHAnsi" w:hAnsi="Garamond" w:cstheme="minorBidi"/>
      <w:kern w:val="2"/>
      <w:sz w:val="24"/>
      <w:lang w:val="x-none" w:eastAsia="x-none"/>
      <w14:ligatures w14:val="standardContextual"/>
    </w:rPr>
  </w:style>
  <w:style w:type="paragraph" w:customStyle="1" w:styleId="doplnuchaze">
    <w:name w:val="doplní uchazeč"/>
    <w:basedOn w:val="Normln"/>
    <w:link w:val="doplnuchazeChar"/>
    <w:qFormat/>
    <w:rsid w:val="00A84ED5"/>
    <w:pPr>
      <w:jc w:val="center"/>
    </w:pPr>
    <w:rPr>
      <w:b/>
      <w:snapToGrid w:val="0"/>
      <w:sz w:val="20"/>
      <w:szCs w:val="20"/>
      <w:lang w:val="x-none" w:eastAsia="x-none"/>
    </w:rPr>
  </w:style>
  <w:style w:type="character" w:customStyle="1" w:styleId="doplnuchazeChar">
    <w:name w:val="doplní uchazeč Char"/>
    <w:link w:val="doplnuchaze"/>
    <w:rsid w:val="00A84ED5"/>
    <w:rPr>
      <w:rFonts w:ascii="Calibri" w:eastAsia="Times New Roman" w:hAnsi="Calibri" w:cs="Times New Roman"/>
      <w:b/>
      <w:snapToGrid w:val="0"/>
      <w:kern w:val="0"/>
      <w:sz w:val="20"/>
      <w:szCs w:val="20"/>
      <w:lang w:val="x-none" w:eastAsia="x-none"/>
      <w14:ligatures w14:val="none"/>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uiPriority w:val="34"/>
    <w:rsid w:val="00A84ED5"/>
  </w:style>
  <w:style w:type="paragraph" w:styleId="Zkladntext">
    <w:name w:val="Body Text"/>
    <w:basedOn w:val="Normln"/>
    <w:link w:val="ZkladntextChar"/>
    <w:uiPriority w:val="99"/>
    <w:semiHidden/>
    <w:unhideWhenUsed/>
    <w:rsid w:val="00A84ED5"/>
  </w:style>
  <w:style w:type="character" w:customStyle="1" w:styleId="ZkladntextChar">
    <w:name w:val="Základní text Char"/>
    <w:basedOn w:val="Standardnpsmoodstavce"/>
    <w:link w:val="Zkladntext"/>
    <w:uiPriority w:val="99"/>
    <w:semiHidden/>
    <w:rsid w:val="00A84ED5"/>
    <w:rPr>
      <w:rFonts w:ascii="Calibri" w:eastAsia="Times New Roman" w:hAnsi="Calibri" w:cs="Times New Roman"/>
      <w:kern w:val="0"/>
      <w:sz w:val="22"/>
      <w:lang w:eastAsia="cs-CZ"/>
      <w14:ligatures w14:val="none"/>
    </w:rPr>
  </w:style>
  <w:style w:type="paragraph" w:customStyle="1" w:styleId="RLProhlensmluvnchstran">
    <w:name w:val="RL Prohlášení smluvních stran"/>
    <w:basedOn w:val="Normln"/>
    <w:link w:val="RLProhlensmluvnchstranChar"/>
    <w:rsid w:val="0017222B"/>
    <w:pPr>
      <w:jc w:val="center"/>
    </w:pPr>
    <w:rPr>
      <w:b/>
    </w:rPr>
  </w:style>
  <w:style w:type="character" w:customStyle="1" w:styleId="RLProhlensmluvnchstranChar">
    <w:name w:val="RL Prohlášení smluvních stran Char"/>
    <w:basedOn w:val="Standardnpsmoodstavce"/>
    <w:link w:val="RLProhlensmluvnchstran"/>
    <w:rsid w:val="0017222B"/>
    <w:rPr>
      <w:rFonts w:ascii="Calibri" w:eastAsia="Times New Roman" w:hAnsi="Calibri" w:cs="Times New Roman"/>
      <w:b/>
      <w:kern w:val="0"/>
      <w:sz w:val="22"/>
      <w:lang w:eastAsia="cs-CZ"/>
      <w14:ligatures w14:val="none"/>
    </w:rPr>
  </w:style>
  <w:style w:type="paragraph" w:customStyle="1" w:styleId="l3">
    <w:name w:val="l3"/>
    <w:basedOn w:val="Normln"/>
    <w:rsid w:val="00A34D9E"/>
    <w:pPr>
      <w:spacing w:before="100" w:beforeAutospacing="1" w:after="100" w:afterAutospacing="1" w:line="240" w:lineRule="auto"/>
    </w:pPr>
    <w:rPr>
      <w:rFonts w:ascii="Times New Roman" w:hAnsi="Times New Roman"/>
      <w:sz w:val="24"/>
    </w:rPr>
  </w:style>
  <w:style w:type="character" w:styleId="PromnnHTML">
    <w:name w:val="HTML Variable"/>
    <w:basedOn w:val="Standardnpsmoodstavce"/>
    <w:uiPriority w:val="99"/>
    <w:semiHidden/>
    <w:unhideWhenUsed/>
    <w:rsid w:val="00A34D9E"/>
    <w:rPr>
      <w:i/>
      <w:iCs/>
    </w:rPr>
  </w:style>
  <w:style w:type="paragraph" w:customStyle="1" w:styleId="l4">
    <w:name w:val="l4"/>
    <w:basedOn w:val="Normln"/>
    <w:rsid w:val="00A34D9E"/>
    <w:pPr>
      <w:spacing w:before="100" w:beforeAutospacing="1" w:after="100" w:afterAutospacing="1" w:line="240" w:lineRule="auto"/>
    </w:pPr>
    <w:rPr>
      <w:rFonts w:ascii="Times New Roman" w:hAnsi="Times New Roman"/>
      <w:sz w:val="24"/>
    </w:rPr>
  </w:style>
  <w:style w:type="paragraph" w:customStyle="1" w:styleId="RLTextlnkuslovan">
    <w:name w:val="RL Text článku číslovaný"/>
    <w:basedOn w:val="Normln"/>
    <w:link w:val="RLTextlnkuslovanChar"/>
    <w:qFormat/>
    <w:rsid w:val="00196A60"/>
    <w:pPr>
      <w:numPr>
        <w:ilvl w:val="1"/>
        <w:numId w:val="3"/>
      </w:numPr>
      <w:jc w:val="both"/>
    </w:pPr>
  </w:style>
  <w:style w:type="paragraph" w:customStyle="1" w:styleId="RLlneksmlouvy">
    <w:name w:val="RL Článek smlouvy"/>
    <w:basedOn w:val="Normln"/>
    <w:next w:val="RLTextlnkuslovan"/>
    <w:qFormat/>
    <w:rsid w:val="00196A60"/>
    <w:pPr>
      <w:keepNext/>
      <w:numPr>
        <w:numId w:val="3"/>
      </w:numPr>
      <w:suppressAutoHyphens/>
      <w:spacing w:before="360"/>
      <w:jc w:val="both"/>
      <w:outlineLvl w:val="0"/>
    </w:pPr>
    <w:rPr>
      <w:b/>
      <w:lang w:eastAsia="en-US"/>
    </w:rPr>
  </w:style>
  <w:style w:type="character" w:customStyle="1" w:styleId="RLTextlnkuslovanChar">
    <w:name w:val="RL Text článku číslovaný Char"/>
    <w:basedOn w:val="Standardnpsmoodstavce"/>
    <w:link w:val="RLTextlnkuslovan"/>
    <w:qFormat/>
    <w:rsid w:val="00196A60"/>
    <w:rPr>
      <w:rFonts w:ascii="Calibri" w:eastAsia="Times New Roman" w:hAnsi="Calibri" w:cs="Times New Roman"/>
      <w:kern w:val="0"/>
      <w:sz w:val="22"/>
      <w:lang w:eastAsia="cs-CZ"/>
      <w14:ligatures w14:val="none"/>
    </w:rPr>
  </w:style>
  <w:style w:type="character" w:styleId="Odkaznakoment">
    <w:name w:val="annotation reference"/>
    <w:basedOn w:val="Standardnpsmoodstavce"/>
    <w:uiPriority w:val="99"/>
    <w:semiHidden/>
    <w:unhideWhenUsed/>
    <w:rsid w:val="00196A60"/>
    <w:rPr>
      <w:sz w:val="16"/>
      <w:szCs w:val="16"/>
    </w:rPr>
  </w:style>
  <w:style w:type="paragraph" w:styleId="Textkomente">
    <w:name w:val="annotation text"/>
    <w:basedOn w:val="Normln"/>
    <w:link w:val="TextkomenteChar"/>
    <w:uiPriority w:val="99"/>
    <w:unhideWhenUsed/>
    <w:rsid w:val="00196A60"/>
    <w:pPr>
      <w:spacing w:line="240" w:lineRule="auto"/>
    </w:pPr>
    <w:rPr>
      <w:sz w:val="20"/>
      <w:szCs w:val="20"/>
    </w:rPr>
  </w:style>
  <w:style w:type="character" w:customStyle="1" w:styleId="TextkomenteChar">
    <w:name w:val="Text komentáře Char"/>
    <w:basedOn w:val="Standardnpsmoodstavce"/>
    <w:link w:val="Textkomente"/>
    <w:uiPriority w:val="99"/>
    <w:rsid w:val="00196A60"/>
    <w:rPr>
      <w:rFonts w:ascii="Calibri" w:eastAsia="Times New Roman" w:hAnsi="Calibr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96A60"/>
    <w:rPr>
      <w:b/>
      <w:bCs/>
    </w:rPr>
  </w:style>
  <w:style w:type="character" w:customStyle="1" w:styleId="PedmtkomenteChar">
    <w:name w:val="Předmět komentáře Char"/>
    <w:basedOn w:val="TextkomenteChar"/>
    <w:link w:val="Pedmtkomente"/>
    <w:uiPriority w:val="99"/>
    <w:semiHidden/>
    <w:rsid w:val="00196A60"/>
    <w:rPr>
      <w:rFonts w:ascii="Calibri" w:eastAsia="Times New Roman" w:hAnsi="Calibri"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6974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Liška Laura</dc:creator>
  <cp:keywords/>
  <dc:description/>
  <cp:lastModifiedBy>Vítová Petra</cp:lastModifiedBy>
  <cp:revision>4</cp:revision>
  <dcterms:created xsi:type="dcterms:W3CDTF">2026-03-16T08:29:00Z</dcterms:created>
  <dcterms:modified xsi:type="dcterms:W3CDTF">2026-03-17T06:46:00Z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2026-01-09T10:37:48Z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2ff3754b-3581-41e5-a126-50ccc6aca802</vt:lpwstr>
  </property>
  <property fmtid="{D5CDD505-2E9C-101B-9397-08002B2CF9AE}" pid="8" name="MSIP_Label_53b2c928-728b-4698-a3fd-c5d03555aa71_ContentBits">
    <vt:lpwstr>0</vt:lpwstr>
  </property>
  <property fmtid="{D5CDD505-2E9C-101B-9397-08002B2CF9AE}" pid="9" name="MSIP_Label_53b2c928-728b-4698-a3fd-c5d03555aa71_Tag">
    <vt:lpwstr>10, 3, 0, 1</vt:lpwstr>
  </property>
</Properties>
</file>