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4994" w14:textId="77777777" w:rsidR="00A412EE" w:rsidRPr="001D599B" w:rsidRDefault="003439D5">
      <w:pPr>
        <w:pStyle w:val="Zkladntext1"/>
        <w:spacing w:line="305" w:lineRule="auto"/>
        <w:ind w:left="900" w:hanging="900"/>
        <w:rPr>
          <w:b/>
          <w:bCs/>
          <w:sz w:val="24"/>
          <w:szCs w:val="24"/>
        </w:rPr>
      </w:pPr>
      <w:r w:rsidRPr="001D599B">
        <w:rPr>
          <w:b/>
          <w:bCs/>
          <w:noProof/>
        </w:rPr>
        <w:drawing>
          <wp:anchor distT="97790" distB="0" distL="100965" distR="88900" simplePos="0" relativeHeight="125829378" behindDoc="0" locked="0" layoutInCell="1" allowOverlap="1" wp14:anchorId="566CFBD4" wp14:editId="2E05E9E1">
            <wp:simplePos x="0" y="0"/>
            <wp:positionH relativeFrom="page">
              <wp:posOffset>707390</wp:posOffset>
            </wp:positionH>
            <wp:positionV relativeFrom="paragraph">
              <wp:posOffset>110490</wp:posOffset>
            </wp:positionV>
            <wp:extent cx="1481455" cy="3232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814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99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3EA2BDD" wp14:editId="39A18FEF">
                <wp:simplePos x="0" y="0"/>
                <wp:positionH relativeFrom="page">
                  <wp:posOffset>695325</wp:posOffset>
                </wp:positionH>
                <wp:positionV relativeFrom="paragraph">
                  <wp:posOffset>12700</wp:posOffset>
                </wp:positionV>
                <wp:extent cx="1469390" cy="977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57247" w14:textId="77777777" w:rsidR="00A412EE" w:rsidRDefault="003439D5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i/>
                                <w:iCs/>
                              </w:rPr>
                              <w:t xml:space="preserve">bezpečnost </w:t>
                            </w: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  <w:i/>
                                <w:iCs/>
                              </w:rPr>
                              <w:t>práce - požární</w:t>
                            </w:r>
                            <w:proofErr w:type="gramEnd"/>
                            <w:r>
                              <w:rPr>
                                <w:rStyle w:val="Titulekobrzku"/>
                                <w:b/>
                                <w:bCs/>
                                <w:i/>
                                <w:iCs/>
                              </w:rPr>
                              <w:t xml:space="preserve"> ochrana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EA2BD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4.75pt;margin-top:1pt;width:115.7pt;height:7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" filled="f" stroked="f">
                <v:textbox inset="0,0,0,0">
                  <w:txbxContent>
                    <w:p w14:paraId="05A57247" w14:textId="77777777" w:rsidR="00A412EE" w:rsidRDefault="003439D5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  <w:i/>
                          <w:iCs/>
                        </w:rPr>
                        <w:t xml:space="preserve">bezpečnost </w:t>
                      </w:r>
                      <w:proofErr w:type="gramStart"/>
                      <w:r>
                        <w:rPr>
                          <w:rStyle w:val="Titulekobrzku"/>
                          <w:b/>
                          <w:bCs/>
                          <w:i/>
                          <w:iCs/>
                        </w:rPr>
                        <w:t>práce - požární</w:t>
                      </w:r>
                      <w:proofErr w:type="gramEnd"/>
                      <w:r>
                        <w:rPr>
                          <w:rStyle w:val="Titulekobrzku"/>
                          <w:b/>
                          <w:bCs/>
                          <w:i/>
                          <w:iCs/>
                        </w:rPr>
                        <w:t xml:space="preserve"> ochrana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599B">
        <w:rPr>
          <w:rStyle w:val="Zkladntext"/>
          <w:b/>
          <w:bCs/>
          <w:smallCaps/>
          <w:sz w:val="20"/>
          <w:szCs w:val="20"/>
        </w:rPr>
        <w:t>Smlouva o poskytování služeb v oblasti bezpečnosti a ochrany zdraví při práci</w:t>
      </w:r>
      <w:r w:rsidRPr="001D599B">
        <w:rPr>
          <w:rStyle w:val="Zkladntext"/>
          <w:b/>
          <w:bCs/>
          <w:sz w:val="24"/>
          <w:szCs w:val="24"/>
        </w:rPr>
        <w:t xml:space="preserve"> (BOZP) </w:t>
      </w:r>
      <w:r w:rsidRPr="001D599B">
        <w:rPr>
          <w:rStyle w:val="Zkladntext"/>
          <w:b/>
          <w:bCs/>
          <w:smallCaps/>
          <w:sz w:val="20"/>
          <w:szCs w:val="20"/>
        </w:rPr>
        <w:t>a v oblasti požární ochrany</w:t>
      </w:r>
      <w:r w:rsidRPr="001D599B">
        <w:rPr>
          <w:rStyle w:val="Zkladntext"/>
          <w:b/>
          <w:bCs/>
          <w:sz w:val="24"/>
          <w:szCs w:val="24"/>
        </w:rPr>
        <w:t xml:space="preserve"> (PO)</w:t>
      </w:r>
    </w:p>
    <w:p w14:paraId="02AB918E" w14:textId="77777777" w:rsidR="00A412EE" w:rsidRDefault="003439D5">
      <w:pPr>
        <w:pStyle w:val="Zkladntext30"/>
      </w:pPr>
      <w:r>
        <w:rPr>
          <w:rStyle w:val="Zkladntext3"/>
        </w:rPr>
        <w:t>uzavřená níže uvedeného dne dle § 1746 odst. 2 občanského zákoníku mezi:</w:t>
      </w:r>
    </w:p>
    <w:p w14:paraId="0AFB9F73" w14:textId="77777777" w:rsidR="00A412EE" w:rsidRDefault="003439D5">
      <w:pPr>
        <w:pStyle w:val="Zkladntext1"/>
        <w:spacing w:line="240" w:lineRule="auto"/>
      </w:pPr>
      <w:proofErr w:type="spellStart"/>
      <w:r w:rsidRPr="001D599B">
        <w:rPr>
          <w:rStyle w:val="Zkladntext"/>
          <w:b/>
          <w:bCs/>
          <w:sz w:val="20"/>
          <w:szCs w:val="20"/>
        </w:rPr>
        <w:t>Vestta</w:t>
      </w:r>
      <w:proofErr w:type="spellEnd"/>
      <w:r w:rsidRPr="001D599B">
        <w:rPr>
          <w:rStyle w:val="Zkladntext"/>
          <w:b/>
          <w:bCs/>
          <w:sz w:val="20"/>
          <w:szCs w:val="20"/>
        </w:rPr>
        <w:t xml:space="preserve"> BOZP s.r.o.</w:t>
      </w:r>
      <w:r>
        <w:rPr>
          <w:rStyle w:val="Zkladntext"/>
        </w:rPr>
        <w:t xml:space="preserve">, </w:t>
      </w:r>
      <w:r>
        <w:rPr>
          <w:rStyle w:val="Zkladntext"/>
        </w:rPr>
        <w:t>IČO 057 75 264</w:t>
      </w:r>
    </w:p>
    <w:p w14:paraId="7220AE5B" w14:textId="77777777" w:rsidR="00A412EE" w:rsidRDefault="003439D5">
      <w:pPr>
        <w:pStyle w:val="Zkladntext1"/>
        <w:spacing w:line="240" w:lineRule="auto"/>
      </w:pPr>
      <w:r>
        <w:rPr>
          <w:rStyle w:val="Zkladntext"/>
        </w:rPr>
        <w:t>se sídlem Palackého 143, 282 01 Český Brod</w:t>
      </w:r>
    </w:p>
    <w:p w14:paraId="6ACDD700" w14:textId="77777777" w:rsidR="00A412EE" w:rsidRDefault="003439D5">
      <w:pPr>
        <w:pStyle w:val="Zkladntext1"/>
        <w:spacing w:line="240" w:lineRule="auto"/>
      </w:pPr>
      <w:r>
        <w:rPr>
          <w:rStyle w:val="Zkladntext"/>
        </w:rPr>
        <w:t>zapsaná v obchodním rejstříku vedeném Městským soudem v Praze, oddíl C, vložka 334723</w:t>
      </w:r>
    </w:p>
    <w:p w14:paraId="75BE18F4" w14:textId="77777777" w:rsidR="00A412EE" w:rsidRDefault="003439D5">
      <w:pPr>
        <w:pStyle w:val="Zkladntext1"/>
        <w:spacing w:line="240" w:lineRule="auto"/>
      </w:pPr>
      <w:r>
        <w:rPr>
          <w:rStyle w:val="Zkladntext"/>
        </w:rPr>
        <w:t xml:space="preserve">zastoupená: Radkou </w:t>
      </w:r>
      <w:proofErr w:type="spellStart"/>
      <w:r>
        <w:rPr>
          <w:rStyle w:val="Zkladntext"/>
        </w:rPr>
        <w:t>Folberovou</w:t>
      </w:r>
      <w:proofErr w:type="spellEnd"/>
      <w:r>
        <w:rPr>
          <w:rStyle w:val="Zkladntext"/>
        </w:rPr>
        <w:t>, na základě plné moci</w:t>
      </w:r>
    </w:p>
    <w:p w14:paraId="18D02F85" w14:textId="43AEB16B" w:rsidR="00A412EE" w:rsidRDefault="003439D5">
      <w:pPr>
        <w:pStyle w:val="Zkladntext1"/>
        <w:spacing w:line="240" w:lineRule="auto"/>
      </w:pPr>
      <w:r>
        <w:rPr>
          <w:rStyle w:val="Zkladntext"/>
        </w:rPr>
        <w:t xml:space="preserve">č. účtu: </w:t>
      </w:r>
      <w:proofErr w:type="spellStart"/>
      <w:r w:rsidR="001D599B">
        <w:rPr>
          <w:rStyle w:val="Zkladntext"/>
        </w:rPr>
        <w:t>xxxxx</w:t>
      </w:r>
      <w:proofErr w:type="spellEnd"/>
    </w:p>
    <w:p w14:paraId="68BAB9CA" w14:textId="77777777" w:rsidR="001D599B" w:rsidRDefault="003439D5">
      <w:pPr>
        <w:pStyle w:val="Zkladntext1"/>
        <w:spacing w:after="280" w:line="240" w:lineRule="auto"/>
        <w:rPr>
          <w:rStyle w:val="Zkladntext"/>
        </w:rPr>
      </w:pPr>
      <w:r>
        <w:rPr>
          <w:rStyle w:val="Zkladntext"/>
        </w:rPr>
        <w:t xml:space="preserve">(jako </w:t>
      </w:r>
      <w:r w:rsidRPr="001D599B">
        <w:rPr>
          <w:rStyle w:val="Zkladntext"/>
          <w:b/>
          <w:bCs/>
        </w:rPr>
        <w:t>„</w:t>
      </w:r>
      <w:r w:rsidRPr="001D599B">
        <w:rPr>
          <w:rStyle w:val="Zkladntext"/>
          <w:b/>
          <w:bCs/>
          <w:sz w:val="20"/>
          <w:szCs w:val="20"/>
        </w:rPr>
        <w:t>Poskytovatel</w:t>
      </w:r>
      <w:r w:rsidRPr="001D599B">
        <w:rPr>
          <w:rStyle w:val="Zkladntext"/>
          <w:b/>
          <w:bCs/>
        </w:rPr>
        <w:t>“</w:t>
      </w:r>
      <w:r>
        <w:rPr>
          <w:rStyle w:val="Zkladntext"/>
        </w:rPr>
        <w:t xml:space="preserve">) </w:t>
      </w:r>
    </w:p>
    <w:p w14:paraId="05BBC3EE" w14:textId="1FD92705" w:rsidR="00A412EE" w:rsidRDefault="003439D5">
      <w:pPr>
        <w:pStyle w:val="Zkladntext1"/>
        <w:spacing w:after="280" w:line="240" w:lineRule="auto"/>
      </w:pPr>
      <w:r>
        <w:rPr>
          <w:rStyle w:val="Zkladntext"/>
        </w:rPr>
        <w:t>a</w:t>
      </w:r>
    </w:p>
    <w:p w14:paraId="0F58474C" w14:textId="77777777" w:rsidR="00A412EE" w:rsidRDefault="003439D5">
      <w:pPr>
        <w:pStyle w:val="Zkladntext1"/>
        <w:tabs>
          <w:tab w:val="left" w:pos="1668"/>
        </w:tabs>
        <w:spacing w:line="254" w:lineRule="auto"/>
      </w:pPr>
      <w:r w:rsidRPr="001D599B">
        <w:rPr>
          <w:rStyle w:val="Zkladntext"/>
          <w:b/>
          <w:bCs/>
          <w:sz w:val="20"/>
          <w:szCs w:val="20"/>
        </w:rPr>
        <w:t>Subjekt:</w:t>
      </w:r>
      <w:r>
        <w:rPr>
          <w:rStyle w:val="Zkladntext"/>
          <w:sz w:val="20"/>
          <w:szCs w:val="20"/>
        </w:rPr>
        <w:tab/>
      </w:r>
      <w:r>
        <w:rPr>
          <w:rStyle w:val="Zkladntext"/>
        </w:rPr>
        <w:t>Gymnázium, Praha 9, Českolipská 373</w:t>
      </w:r>
    </w:p>
    <w:p w14:paraId="48B3ED2D" w14:textId="77777777" w:rsidR="00A412EE" w:rsidRDefault="003439D5">
      <w:pPr>
        <w:pStyle w:val="Zkladntext1"/>
        <w:tabs>
          <w:tab w:val="left" w:pos="1668"/>
        </w:tabs>
      </w:pPr>
      <w:r>
        <w:rPr>
          <w:rStyle w:val="Zkladntext"/>
        </w:rPr>
        <w:t>IČO:</w:t>
      </w:r>
      <w:r>
        <w:rPr>
          <w:rStyle w:val="Zkladntext"/>
        </w:rPr>
        <w:tab/>
        <w:t>60445475</w:t>
      </w:r>
    </w:p>
    <w:p w14:paraId="399EA486" w14:textId="77777777" w:rsidR="00A412EE" w:rsidRDefault="003439D5">
      <w:pPr>
        <w:pStyle w:val="Zkladntext1"/>
        <w:tabs>
          <w:tab w:val="left" w:pos="1668"/>
          <w:tab w:val="center" w:pos="4234"/>
          <w:tab w:val="right" w:pos="5410"/>
        </w:tabs>
      </w:pPr>
      <w:r>
        <w:rPr>
          <w:rStyle w:val="Zkladntext"/>
        </w:rPr>
        <w:t>Sídlo:</w:t>
      </w:r>
      <w:r>
        <w:rPr>
          <w:rStyle w:val="Zkladntext"/>
        </w:rPr>
        <w:tab/>
        <w:t>Českolipská 373/27, 190 00,</w:t>
      </w:r>
      <w:r>
        <w:rPr>
          <w:rStyle w:val="Zkladntext"/>
        </w:rPr>
        <w:tab/>
        <w:t>Praha</w:t>
      </w:r>
      <w:r>
        <w:rPr>
          <w:rStyle w:val="Zkladntext"/>
        </w:rPr>
        <w:tab/>
        <w:t>9 - Střížkov</w:t>
      </w:r>
    </w:p>
    <w:p w14:paraId="161A85F8" w14:textId="77777777" w:rsidR="00A412EE" w:rsidRDefault="003439D5">
      <w:pPr>
        <w:pStyle w:val="Zkladntext1"/>
        <w:tabs>
          <w:tab w:val="left" w:pos="1668"/>
        </w:tabs>
      </w:pPr>
      <w:r>
        <w:rPr>
          <w:rStyle w:val="Zkladntext"/>
        </w:rPr>
        <w:t>Zastoupen:</w:t>
      </w:r>
      <w:r>
        <w:rPr>
          <w:rStyle w:val="Zkladntext"/>
        </w:rPr>
        <w:tab/>
        <w:t>PaeDr. Věra JEŽKOVÁ</w:t>
      </w:r>
    </w:p>
    <w:p w14:paraId="1292340B" w14:textId="56A11F5C" w:rsidR="00A412EE" w:rsidRDefault="003439D5">
      <w:pPr>
        <w:pStyle w:val="Zkladntext1"/>
        <w:tabs>
          <w:tab w:val="left" w:pos="1668"/>
        </w:tabs>
      </w:pPr>
      <w:r>
        <w:rPr>
          <w:rStyle w:val="Zkladntext"/>
        </w:rPr>
        <w:t>kontakt:</w:t>
      </w:r>
      <w:r>
        <w:rPr>
          <w:rStyle w:val="Zkladntext"/>
        </w:rPr>
        <w:tab/>
      </w:r>
      <w:proofErr w:type="spellStart"/>
      <w:r w:rsidR="001D599B">
        <w:rPr>
          <w:rStyle w:val="Zkladntext"/>
        </w:rPr>
        <w:t>xxxxx</w:t>
      </w:r>
      <w:proofErr w:type="spellEnd"/>
      <w:r>
        <w:rPr>
          <w:rStyle w:val="Zkladntext"/>
        </w:rPr>
        <w:t xml:space="preserve"> mail: </w:t>
      </w:r>
      <w:hyperlink r:id="rId8" w:history="1">
        <w:proofErr w:type="spellStart"/>
        <w:r w:rsidR="001D599B">
          <w:rPr>
            <w:rStyle w:val="Zkladntext"/>
          </w:rPr>
          <w:t>xxxxx</w:t>
        </w:r>
        <w:proofErr w:type="spellEnd"/>
      </w:hyperlink>
    </w:p>
    <w:p w14:paraId="0DE33F46" w14:textId="77777777" w:rsidR="00A412EE" w:rsidRDefault="003439D5">
      <w:pPr>
        <w:pStyle w:val="Zkladntext1"/>
        <w:spacing w:after="240" w:line="254" w:lineRule="auto"/>
      </w:pPr>
      <w:r>
        <w:rPr>
          <w:rStyle w:val="Zkladntext"/>
        </w:rPr>
        <w:t xml:space="preserve">(jako </w:t>
      </w:r>
      <w:r w:rsidRPr="001D599B">
        <w:rPr>
          <w:rStyle w:val="Zkladntext"/>
          <w:b/>
          <w:bCs/>
        </w:rPr>
        <w:t>„</w:t>
      </w:r>
      <w:r w:rsidRPr="001D599B">
        <w:rPr>
          <w:rStyle w:val="Zkladntext"/>
          <w:b/>
          <w:bCs/>
          <w:sz w:val="20"/>
          <w:szCs w:val="20"/>
        </w:rPr>
        <w:t>Zákazník</w:t>
      </w:r>
      <w:r w:rsidRPr="001D599B">
        <w:rPr>
          <w:rStyle w:val="Zkladntext"/>
          <w:b/>
          <w:bCs/>
        </w:rPr>
        <w:t>“</w:t>
      </w:r>
      <w:r>
        <w:rPr>
          <w:rStyle w:val="Zkladntext"/>
        </w:rPr>
        <w:t>)</w:t>
      </w:r>
    </w:p>
    <w:p w14:paraId="001598A1" w14:textId="578D10E8" w:rsidR="001D599B" w:rsidRPr="001D599B" w:rsidRDefault="003439D5" w:rsidP="001D599B">
      <w:pPr>
        <w:pStyle w:val="Zkladntext1"/>
        <w:numPr>
          <w:ilvl w:val="0"/>
          <w:numId w:val="5"/>
        </w:numPr>
        <w:spacing w:after="240" w:line="262" w:lineRule="auto"/>
        <w:rPr>
          <w:rStyle w:val="Zkladntext"/>
          <w:b/>
          <w:bCs/>
          <w:sz w:val="20"/>
          <w:szCs w:val="20"/>
        </w:rPr>
      </w:pPr>
      <w:r w:rsidRPr="001D599B">
        <w:rPr>
          <w:rStyle w:val="Zkladntext"/>
          <w:b/>
          <w:bCs/>
          <w:sz w:val="20"/>
          <w:szCs w:val="20"/>
        </w:rPr>
        <w:t xml:space="preserve">Předmět smlouvy </w:t>
      </w:r>
    </w:p>
    <w:p w14:paraId="61FF1986" w14:textId="7E3CDDCA" w:rsidR="00A412EE" w:rsidRDefault="003439D5" w:rsidP="001D599B">
      <w:pPr>
        <w:pStyle w:val="Zkladntext1"/>
        <w:spacing w:after="240" w:line="262" w:lineRule="auto"/>
      </w:pPr>
      <w:r>
        <w:rPr>
          <w:rStyle w:val="Zkladntext"/>
        </w:rPr>
        <w:t>Poskytovatel se zavazuje poskytnout zákazníkovi následující vyznačené služby:</w:t>
      </w:r>
    </w:p>
    <w:p w14:paraId="12831342" w14:textId="77777777" w:rsidR="00A412EE" w:rsidRPr="001D599B" w:rsidRDefault="003439D5">
      <w:pPr>
        <w:pStyle w:val="Zkladntext1"/>
        <w:spacing w:line="254" w:lineRule="auto"/>
        <w:rPr>
          <w:b/>
          <w:bCs/>
          <w:sz w:val="20"/>
          <w:szCs w:val="20"/>
        </w:rPr>
      </w:pPr>
      <w:r w:rsidRPr="001D599B">
        <w:rPr>
          <w:rStyle w:val="Zkladntext"/>
          <w:b/>
          <w:bCs/>
          <w:sz w:val="20"/>
          <w:szCs w:val="20"/>
        </w:rPr>
        <w:t>V oblasti BOZP:</w:t>
      </w:r>
    </w:p>
    <w:p w14:paraId="49867BD4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64" w:lineRule="auto"/>
        <w:ind w:left="280" w:hanging="280"/>
      </w:pPr>
      <w:r>
        <w:rPr>
          <w:rStyle w:val="Zkladntext"/>
        </w:rPr>
        <w:t xml:space="preserve">Pravidelná roční prověrka dodržování bezpečnosti a ochrany zdraví při práci zaměstnanců a vedoucích zaměstnanců v souladu s § 108 zákona č. 262/2006 Sb. ve znění pozdějších předpisů, včetně zápisu zpracování z této kontroly pro </w:t>
      </w:r>
      <w:r>
        <w:rPr>
          <w:rStyle w:val="Zkladntext"/>
          <w:sz w:val="20"/>
          <w:szCs w:val="20"/>
        </w:rPr>
        <w:t xml:space="preserve">1 </w:t>
      </w:r>
      <w:r>
        <w:rPr>
          <w:rStyle w:val="Zkladntext"/>
        </w:rPr>
        <w:t>objekt/y/ů.</w:t>
      </w:r>
    </w:p>
    <w:p w14:paraId="47495E57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62" w:lineRule="auto"/>
        <w:ind w:left="280" w:hanging="280"/>
      </w:pPr>
      <w:r>
        <w:rPr>
          <w:rStyle w:val="Zkladntext"/>
        </w:rPr>
        <w:t>Vypracování osnovy pro periodická školení bezpečnosti a ochrany zdraví při práci zaměstnanců a vedoucích zaměstnanců v souladu s § 103 odst. 2 a 3 zákona č. 262/2006 Sb. ve znění pozdějších předpisů.</w:t>
      </w:r>
    </w:p>
    <w:p w14:paraId="64B4FFC7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54" w:lineRule="auto"/>
      </w:pPr>
      <w:r>
        <w:rPr>
          <w:rStyle w:val="Zkladntext"/>
        </w:rPr>
        <w:t>Periodické roční školení bezpečnosti a ochrany zdraví při práci zaměstnanců a vedoucích zaměstnanců.</w:t>
      </w:r>
    </w:p>
    <w:p w14:paraId="0EC55CC6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62" w:lineRule="auto"/>
        <w:ind w:left="280" w:hanging="280"/>
      </w:pPr>
      <w:r>
        <w:rPr>
          <w:rStyle w:val="Zkladntext"/>
        </w:rPr>
        <w:t>Vyhledávání a vyhodnocení rizik na pracovišti v souladu s § 102 odst. 3 a 4 zákona č. 262/2006 Sb. ve znění pozdějších předpisů.</w:t>
      </w:r>
    </w:p>
    <w:p w14:paraId="4484C57C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54" w:lineRule="auto"/>
      </w:pPr>
      <w:r>
        <w:rPr>
          <w:rStyle w:val="Zkladntext"/>
        </w:rPr>
        <w:t>Odborná pomoc a konzultace při kontrole oblastním inspektorátem práce bez časového omezení.</w:t>
      </w:r>
    </w:p>
    <w:p w14:paraId="349910AC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54" w:lineRule="auto"/>
      </w:pPr>
      <w:r>
        <w:rPr>
          <w:rStyle w:val="Zkladntext"/>
        </w:rPr>
        <w:t>Konzultace a poradenství v oblasti bezpečnosti a ochrany zdraví při práci při změnách právní úpravy.</w:t>
      </w:r>
    </w:p>
    <w:p w14:paraId="6F215C2A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after="240" w:line="254" w:lineRule="auto"/>
      </w:pPr>
      <w:r>
        <w:rPr>
          <w:rStyle w:val="Zkladntext"/>
        </w:rPr>
        <w:t>Certifikát o absolvovaném periodickém školení zaměstnanců a vedoucích zaměstnanců.</w:t>
      </w:r>
    </w:p>
    <w:p w14:paraId="6DD9B49C" w14:textId="77777777" w:rsidR="00A412EE" w:rsidRPr="001D599B" w:rsidRDefault="003439D5">
      <w:pPr>
        <w:pStyle w:val="Zkladntext1"/>
        <w:spacing w:line="257" w:lineRule="auto"/>
        <w:rPr>
          <w:b/>
          <w:bCs/>
          <w:sz w:val="20"/>
          <w:szCs w:val="20"/>
        </w:rPr>
      </w:pPr>
      <w:r w:rsidRPr="001D599B">
        <w:rPr>
          <w:rStyle w:val="Zkladntext"/>
          <w:b/>
          <w:bCs/>
          <w:sz w:val="20"/>
          <w:szCs w:val="20"/>
        </w:rPr>
        <w:t>V oblasti PO:</w:t>
      </w:r>
    </w:p>
    <w:p w14:paraId="53F2C087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62" w:lineRule="auto"/>
        <w:ind w:left="280" w:hanging="280"/>
      </w:pPr>
      <w:r>
        <w:rPr>
          <w:rStyle w:val="Zkladntext"/>
        </w:rPr>
        <w:t xml:space="preserve">Preventivní prohlídka objektů Zákazníka a návrh </w:t>
      </w:r>
      <w:r>
        <w:rPr>
          <w:rStyle w:val="Zkladntext"/>
        </w:rPr>
        <w:t>přijatých opatření v souladu s § 5 odst. 1 písm. e) zákona č. 133/1985 Sb. ve znění pozdějších předpisů.</w:t>
      </w:r>
    </w:p>
    <w:p w14:paraId="22D0DEA0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62" w:lineRule="auto"/>
        <w:ind w:left="280" w:hanging="280"/>
      </w:pPr>
      <w:r>
        <w:rPr>
          <w:rStyle w:val="Zkladntext"/>
        </w:rPr>
        <w:t>Periodické roční školení zaměstnanců a vedoucích zaměstnanců v oblasti požární ochrany v souladu s § 16 zákona č. 133/1985 Sb. ve znění pozdějších předpisů.</w:t>
      </w:r>
    </w:p>
    <w:p w14:paraId="41F962F6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57" w:lineRule="auto"/>
      </w:pPr>
      <w:r>
        <w:rPr>
          <w:rStyle w:val="Zkladntext"/>
        </w:rPr>
        <w:t>Vypracování a aktualizace plánu periodického školení zaměstnanců o požární ochraně.</w:t>
      </w:r>
    </w:p>
    <w:p w14:paraId="1756521C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57" w:lineRule="auto"/>
      </w:pPr>
      <w:r>
        <w:rPr>
          <w:rStyle w:val="Zkladntext"/>
        </w:rPr>
        <w:t>Odborná pomoc a konzultace při kontrole státního požárního dozoru bez časového omezení.</w:t>
      </w:r>
    </w:p>
    <w:p w14:paraId="6598AE5F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57" w:lineRule="auto"/>
      </w:pPr>
      <w:r>
        <w:rPr>
          <w:rStyle w:val="Zkladntext"/>
        </w:rPr>
        <w:t>Konzultace a poradenství v oblasti požární ochrany při změnách právní úpravy.</w:t>
      </w:r>
    </w:p>
    <w:p w14:paraId="2D66672D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after="240" w:line="257" w:lineRule="auto"/>
      </w:pPr>
      <w:r>
        <w:rPr>
          <w:rStyle w:val="Zkladntext"/>
        </w:rPr>
        <w:t>Certifikát o absolvovaném periodickém školení zaměstnanců a vedoucích zaměstnanců.</w:t>
      </w:r>
    </w:p>
    <w:p w14:paraId="4C90FC11" w14:textId="77777777" w:rsidR="00A412EE" w:rsidRPr="001D599B" w:rsidRDefault="003439D5">
      <w:pPr>
        <w:pStyle w:val="Zkladntext1"/>
        <w:spacing w:line="254" w:lineRule="auto"/>
        <w:rPr>
          <w:b/>
          <w:bCs/>
          <w:sz w:val="20"/>
          <w:szCs w:val="20"/>
        </w:rPr>
      </w:pPr>
      <w:r w:rsidRPr="001D599B">
        <w:rPr>
          <w:rStyle w:val="Zkladntext"/>
          <w:b/>
          <w:bCs/>
          <w:sz w:val="20"/>
          <w:szCs w:val="20"/>
        </w:rPr>
        <w:t>V oblasti PO neposkytujeme tyto služby:</w:t>
      </w:r>
    </w:p>
    <w:p w14:paraId="71230665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line="254" w:lineRule="auto"/>
      </w:pPr>
      <w:r>
        <w:rPr>
          <w:rStyle w:val="Zkladntext"/>
        </w:rPr>
        <w:t>Tvorbu grafických únikových plánů.</w:t>
      </w:r>
    </w:p>
    <w:p w14:paraId="67B931F2" w14:textId="77777777" w:rsidR="00A412EE" w:rsidRDefault="003439D5">
      <w:pPr>
        <w:pStyle w:val="Zkladntext1"/>
        <w:numPr>
          <w:ilvl w:val="0"/>
          <w:numId w:val="1"/>
        </w:numPr>
        <w:tabs>
          <w:tab w:val="left" w:pos="288"/>
        </w:tabs>
        <w:spacing w:after="240" w:line="254" w:lineRule="auto"/>
      </w:pPr>
      <w:r>
        <w:rPr>
          <w:rStyle w:val="Zkladntext"/>
        </w:rPr>
        <w:t>Zpracování dokumentace zdolávání požáru.</w:t>
      </w:r>
    </w:p>
    <w:p w14:paraId="46BE086D" w14:textId="77777777" w:rsidR="00A412EE" w:rsidRPr="001D599B" w:rsidRDefault="003439D5">
      <w:pPr>
        <w:pStyle w:val="Zkladntext1"/>
        <w:spacing w:line="254" w:lineRule="auto"/>
        <w:rPr>
          <w:b/>
          <w:bCs/>
          <w:sz w:val="20"/>
          <w:szCs w:val="20"/>
        </w:rPr>
      </w:pPr>
      <w:r w:rsidRPr="001D599B">
        <w:rPr>
          <w:rStyle w:val="Zkladntext"/>
          <w:b/>
          <w:bCs/>
          <w:sz w:val="20"/>
          <w:szCs w:val="20"/>
        </w:rPr>
        <w:t>Školení:</w:t>
      </w:r>
    </w:p>
    <w:p w14:paraId="03560C93" w14:textId="55893A94" w:rsidR="00A412EE" w:rsidRDefault="003439D5">
      <w:pPr>
        <w:pStyle w:val="Zkladntext1"/>
        <w:tabs>
          <w:tab w:val="left" w:leader="underscore" w:pos="4426"/>
        </w:tabs>
        <w:spacing w:line="240" w:lineRule="auto"/>
      </w:pPr>
      <w:r>
        <w:rPr>
          <w:rStyle w:val="Zkladntext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Zkladntext"/>
        </w:rPr>
        <w:t xml:space="preserve">Školení práce s křovinořezy a </w:t>
      </w:r>
      <w:r>
        <w:rPr>
          <w:rStyle w:val="Zkladntext"/>
        </w:rPr>
        <w:t>motorovou pilou</w:t>
      </w:r>
      <w:r w:rsidR="001D599B">
        <w:rPr>
          <w:rStyle w:val="Zkladntext"/>
        </w:rPr>
        <w:t xml:space="preserve"> 2 </w:t>
      </w:r>
      <w:r>
        <w:rPr>
          <w:rStyle w:val="Zkladntext"/>
        </w:rPr>
        <w:t>zaměstnanců, v částce 250Kč bez DPH za 1 zaměstnance.</w:t>
      </w:r>
    </w:p>
    <w:p w14:paraId="172D281D" w14:textId="172FC79D" w:rsidR="00A412EE" w:rsidRDefault="003439D5">
      <w:pPr>
        <w:pStyle w:val="Zkladntext1"/>
        <w:spacing w:line="240" w:lineRule="auto"/>
      </w:pPr>
      <w:r>
        <w:rPr>
          <w:rStyle w:val="Zkladntext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Zkladntext"/>
        </w:rPr>
        <w:t>Školení práce s vysokozdvižnými vozíky pro</w:t>
      </w:r>
      <w:r w:rsidR="001D599B">
        <w:rPr>
          <w:rStyle w:val="Zkladntext"/>
        </w:rPr>
        <w:t xml:space="preserve"> </w:t>
      </w:r>
      <w:r>
        <w:rPr>
          <w:rStyle w:val="Zkladntext"/>
        </w:rPr>
        <w:t>0</w:t>
      </w:r>
      <w:r w:rsidR="001D599B">
        <w:rPr>
          <w:rStyle w:val="Zkladntext"/>
        </w:rPr>
        <w:t xml:space="preserve"> </w:t>
      </w:r>
      <w:r>
        <w:rPr>
          <w:rStyle w:val="Zkladntext"/>
        </w:rPr>
        <w:t>zaměstnanců, v částce 250Kč bez DPH za 1 zaměstnance.</w:t>
      </w:r>
    </w:p>
    <w:p w14:paraId="3A68A9AA" w14:textId="3D2A010B" w:rsidR="00A412EE" w:rsidRDefault="003439D5">
      <w:pPr>
        <w:pStyle w:val="Zkladntext1"/>
        <w:tabs>
          <w:tab w:val="left" w:leader="underscore" w:pos="2995"/>
        </w:tabs>
        <w:spacing w:line="240" w:lineRule="auto"/>
      </w:pPr>
      <w:r>
        <w:rPr>
          <w:rStyle w:val="Zkladntext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Zkladntext"/>
        </w:rPr>
        <w:t>Školení práce ve výškách pro</w:t>
      </w:r>
      <w:r w:rsidR="001D599B">
        <w:rPr>
          <w:rStyle w:val="Zkladntext"/>
        </w:rPr>
        <w:t xml:space="preserve"> 2 </w:t>
      </w:r>
      <w:r>
        <w:rPr>
          <w:rStyle w:val="Zkladntext"/>
        </w:rPr>
        <w:t>zaměstnanců, v částce 250Kč bez DPH za 1 zaměstnance.</w:t>
      </w:r>
    </w:p>
    <w:p w14:paraId="5C41C363" w14:textId="524B87F2" w:rsidR="00A412EE" w:rsidRDefault="003439D5">
      <w:pPr>
        <w:pStyle w:val="Zkladntext1"/>
        <w:tabs>
          <w:tab w:val="left" w:leader="underscore" w:pos="2078"/>
        </w:tabs>
        <w:spacing w:after="240" w:line="240" w:lineRule="auto"/>
      </w:pPr>
      <w:r>
        <w:rPr>
          <w:rStyle w:val="Zkladntext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Zkladntext"/>
        </w:rPr>
        <w:t>Školení řidičů pro</w:t>
      </w:r>
      <w:r w:rsidR="001D599B">
        <w:rPr>
          <w:rStyle w:val="Zkladntext"/>
        </w:rPr>
        <w:t xml:space="preserve"> 3 </w:t>
      </w:r>
      <w:r>
        <w:rPr>
          <w:rStyle w:val="Zkladntext"/>
        </w:rPr>
        <w:t>zaměstnanců, v částce 250Kč bez DPH za 1 zaměstnance.</w:t>
      </w:r>
    </w:p>
    <w:p w14:paraId="61F184A1" w14:textId="77777777" w:rsidR="00A412EE" w:rsidRPr="001D599B" w:rsidRDefault="003439D5">
      <w:pPr>
        <w:pStyle w:val="Zkladntext1"/>
        <w:spacing w:after="240" w:line="254" w:lineRule="auto"/>
        <w:rPr>
          <w:b/>
          <w:bCs/>
          <w:sz w:val="20"/>
          <w:szCs w:val="20"/>
        </w:rPr>
        <w:sectPr w:rsidR="00A412EE" w:rsidRPr="001D599B">
          <w:footerReference w:type="default" r:id="rId9"/>
          <w:pgSz w:w="11900" w:h="16840"/>
          <w:pgMar w:top="687" w:right="1377" w:bottom="1167" w:left="1105" w:header="259" w:footer="3" w:gutter="0"/>
          <w:pgNumType w:start="1"/>
          <w:cols w:space="720"/>
          <w:noEndnote/>
          <w:docGrid w:linePitch="360"/>
        </w:sectPr>
      </w:pPr>
      <w:r w:rsidRPr="001D599B">
        <w:rPr>
          <w:rStyle w:val="Zkladntext"/>
          <w:b/>
          <w:bCs/>
          <w:sz w:val="20"/>
          <w:szCs w:val="20"/>
        </w:rPr>
        <w:t>Termín školení byl sjednán na den 27.8.26 v 9:00 hodin, na adrese Českolipská 373/27, Praha 9</w:t>
      </w:r>
    </w:p>
    <w:p w14:paraId="097A0243" w14:textId="77777777" w:rsidR="00A412EE" w:rsidRPr="001D599B" w:rsidRDefault="003439D5">
      <w:pPr>
        <w:pStyle w:val="Zkladntext1"/>
        <w:numPr>
          <w:ilvl w:val="0"/>
          <w:numId w:val="2"/>
        </w:numPr>
        <w:tabs>
          <w:tab w:val="left" w:pos="275"/>
        </w:tabs>
        <w:spacing w:line="254" w:lineRule="auto"/>
        <w:jc w:val="center"/>
        <w:rPr>
          <w:b/>
          <w:bCs/>
          <w:sz w:val="20"/>
          <w:szCs w:val="20"/>
        </w:rPr>
      </w:pPr>
      <w:r w:rsidRPr="001D599B">
        <w:rPr>
          <w:rStyle w:val="Zkladntext"/>
          <w:b/>
          <w:bCs/>
          <w:sz w:val="20"/>
          <w:szCs w:val="20"/>
        </w:rPr>
        <w:lastRenderedPageBreak/>
        <w:t>Cena služeb</w:t>
      </w:r>
    </w:p>
    <w:p w14:paraId="28B57BCA" w14:textId="77777777" w:rsidR="00A412EE" w:rsidRDefault="003439D5">
      <w:pPr>
        <w:pStyle w:val="Zkladntext1"/>
        <w:numPr>
          <w:ilvl w:val="0"/>
          <w:numId w:val="3"/>
        </w:numPr>
        <w:tabs>
          <w:tab w:val="left" w:pos="275"/>
        </w:tabs>
        <w:ind w:left="280" w:hanging="280"/>
        <w:jc w:val="both"/>
      </w:pPr>
      <w:r>
        <w:rPr>
          <w:rStyle w:val="Zkladntext"/>
        </w:rPr>
        <w:t>Zákazník se zavazuje služby uvedené v čl. I. této Smlouvy od Poskytovatele přijmout, poskytnout Poskytovateli potřebnou součinnost k poskytnutí služeb a zaplatit mu za služby dále uvedenou cenu.</w:t>
      </w:r>
    </w:p>
    <w:p w14:paraId="555AB7BE" w14:textId="77777777" w:rsidR="00A412EE" w:rsidRDefault="003439D5">
      <w:pPr>
        <w:pStyle w:val="Zkladntext1"/>
        <w:numPr>
          <w:ilvl w:val="0"/>
          <w:numId w:val="3"/>
        </w:numPr>
        <w:tabs>
          <w:tab w:val="left" w:pos="275"/>
        </w:tabs>
        <w:ind w:left="280" w:hanging="280"/>
        <w:jc w:val="both"/>
      </w:pPr>
      <w:r w:rsidRPr="001D599B">
        <w:rPr>
          <w:rStyle w:val="Zkladntext"/>
          <w:b/>
          <w:bCs/>
          <w:sz w:val="20"/>
          <w:szCs w:val="20"/>
        </w:rPr>
        <w:t>Cena</w:t>
      </w:r>
      <w:r>
        <w:rPr>
          <w:rStyle w:val="Zkladntext"/>
          <w:sz w:val="20"/>
          <w:szCs w:val="20"/>
        </w:rPr>
        <w:t xml:space="preserve"> </w:t>
      </w:r>
      <w:r>
        <w:rPr>
          <w:rStyle w:val="Zkladntext"/>
        </w:rPr>
        <w:t xml:space="preserve">za služby činí </w:t>
      </w:r>
      <w:proofErr w:type="gramStart"/>
      <w:r w:rsidRPr="001D599B">
        <w:rPr>
          <w:rStyle w:val="Zkladntext"/>
          <w:b/>
          <w:bCs/>
          <w:sz w:val="20"/>
          <w:szCs w:val="20"/>
        </w:rPr>
        <w:t>30.000,-</w:t>
      </w:r>
      <w:proofErr w:type="gramEnd"/>
      <w:r w:rsidRPr="001D599B">
        <w:rPr>
          <w:rStyle w:val="Zkladntext"/>
          <w:b/>
          <w:bCs/>
          <w:sz w:val="20"/>
          <w:szCs w:val="20"/>
        </w:rPr>
        <w:t>Kč</w:t>
      </w:r>
      <w:r>
        <w:rPr>
          <w:rStyle w:val="Zkladntext"/>
          <w:sz w:val="20"/>
          <w:szCs w:val="20"/>
        </w:rPr>
        <w:t xml:space="preserve"> </w:t>
      </w:r>
      <w:r>
        <w:rPr>
          <w:rStyle w:val="Zkladntext"/>
        </w:rPr>
        <w:t>bez DPH</w:t>
      </w:r>
      <w:r>
        <w:rPr>
          <w:rStyle w:val="Zkladntext"/>
          <w:sz w:val="20"/>
          <w:szCs w:val="20"/>
        </w:rPr>
        <w:t xml:space="preserve">. </w:t>
      </w:r>
      <w:r>
        <w:rPr>
          <w:rStyle w:val="Zkladntext"/>
        </w:rPr>
        <w:t>Tato cena je cenou za služby poskytované v období 12 po sobě následujících měsíců, počínaje dnem připsání úhrady na účet poskytovatele, viz čl. III. odst. 2. této Smlouvy.</w:t>
      </w:r>
    </w:p>
    <w:p w14:paraId="1447D92E" w14:textId="77777777" w:rsidR="00A412EE" w:rsidRDefault="003439D5">
      <w:pPr>
        <w:pStyle w:val="Zkladntext1"/>
        <w:numPr>
          <w:ilvl w:val="0"/>
          <w:numId w:val="3"/>
        </w:numPr>
        <w:tabs>
          <w:tab w:val="left" w:pos="275"/>
        </w:tabs>
        <w:ind w:left="280" w:hanging="280"/>
        <w:jc w:val="both"/>
      </w:pPr>
      <w:r>
        <w:rPr>
          <w:rStyle w:val="Zkladntext"/>
        </w:rPr>
        <w:t>Cena je splatná v hotovosti při podpisu této Smlouvy, nebo převodem na účet, a to do 7 dnů od podpisu této Smlouvy. V případě platby na účet není Poskytovatel povinen započíst poskytování jakékoliv služby před připsáním platby na jeho účet. Veškerá rizika a újmy spojené s nabízenými službami před započetím jejich poskytování Poskytovatelem nese výhradně Zákazník a není oprávněn případné újmy vymáhat po Poskytovateli.</w:t>
      </w:r>
    </w:p>
    <w:p w14:paraId="2363756E" w14:textId="77777777" w:rsidR="00A412EE" w:rsidRDefault="003439D5">
      <w:pPr>
        <w:pStyle w:val="Zkladntext1"/>
        <w:numPr>
          <w:ilvl w:val="0"/>
          <w:numId w:val="3"/>
        </w:numPr>
        <w:tabs>
          <w:tab w:val="left" w:pos="275"/>
        </w:tabs>
        <w:ind w:left="280" w:hanging="280"/>
        <w:jc w:val="both"/>
      </w:pPr>
      <w:r>
        <w:rPr>
          <w:rStyle w:val="Zkladntext"/>
        </w:rPr>
        <w:t>V případě nedodržení stanoveného termínu splatnosti ze strany Klienta Poskytovatel zruší sjednaný termín školení a náhradní termín školení bude Klientovi poskytnut po zaplacení služeb Klientem dle možných volných termínů Poskytovatele v daném období.</w:t>
      </w:r>
    </w:p>
    <w:p w14:paraId="399CCDE2" w14:textId="77777777" w:rsidR="00A412EE" w:rsidRDefault="003439D5">
      <w:pPr>
        <w:pStyle w:val="Zkladntext1"/>
        <w:numPr>
          <w:ilvl w:val="0"/>
          <w:numId w:val="3"/>
        </w:numPr>
        <w:tabs>
          <w:tab w:val="left" w:pos="275"/>
        </w:tabs>
        <w:ind w:left="280" w:hanging="280"/>
        <w:jc w:val="both"/>
      </w:pPr>
      <w:r>
        <w:rPr>
          <w:rStyle w:val="Zkladntext"/>
        </w:rPr>
        <w:t>Poskytovateli náleží cena za služby v plné výši i v případě, kdy Zákazník neposkytne součinnost k poskytovaným službám, zejména nezajistí možnost vstupu do objektu, nezajistí účast zaměstnanců a vedoucích zaměstnanců na dohodnutém termínu školeni.</w:t>
      </w:r>
    </w:p>
    <w:p w14:paraId="4F933789" w14:textId="77777777" w:rsidR="00A412EE" w:rsidRDefault="003439D5">
      <w:pPr>
        <w:pStyle w:val="Zkladntext1"/>
        <w:numPr>
          <w:ilvl w:val="0"/>
          <w:numId w:val="3"/>
        </w:numPr>
        <w:tabs>
          <w:tab w:val="left" w:pos="275"/>
        </w:tabs>
        <w:spacing w:after="220"/>
        <w:ind w:left="280" w:hanging="280"/>
        <w:jc w:val="both"/>
      </w:pPr>
      <w:r>
        <w:rPr>
          <w:rStyle w:val="Zkladntext"/>
        </w:rPr>
        <w:t xml:space="preserve">Pro případ zrušení termínu školení Zákazníkem 48 hodin před termínem, na kterém se s Poskytovatelem dle této smlouvy dohodli, se sjednává smluvní pokuta ve výši </w:t>
      </w:r>
      <w:proofErr w:type="gramStart"/>
      <w:r>
        <w:rPr>
          <w:rStyle w:val="Zkladntext"/>
        </w:rPr>
        <w:t>5.000,-</w:t>
      </w:r>
      <w:proofErr w:type="gramEnd"/>
      <w:r>
        <w:rPr>
          <w:rStyle w:val="Zkladntext"/>
        </w:rPr>
        <w:t xml:space="preserve"> Kč. Poskytovatel uplatní nárok na smluvní pokutu a její výši písemnou výzvou u Zákazníka na jeho adrese pro doručování. Zákazník je povinen zaplatit uplatněnou smluvní pokutu do 10 dnů od doručení této výzvy. V případě pochybností o datu doručení se má za to, že dnem doručení se rozumí třetí den od odeslání vyúčtování Zákazníkovi.</w:t>
      </w:r>
    </w:p>
    <w:p w14:paraId="5DC653D7" w14:textId="77777777" w:rsidR="00A412EE" w:rsidRPr="001D599B" w:rsidRDefault="003439D5">
      <w:pPr>
        <w:pStyle w:val="Zkladntext1"/>
        <w:numPr>
          <w:ilvl w:val="0"/>
          <w:numId w:val="2"/>
        </w:numPr>
        <w:tabs>
          <w:tab w:val="left" w:pos="322"/>
        </w:tabs>
        <w:spacing w:line="254" w:lineRule="auto"/>
        <w:jc w:val="center"/>
        <w:rPr>
          <w:b/>
          <w:bCs/>
          <w:sz w:val="20"/>
          <w:szCs w:val="20"/>
        </w:rPr>
      </w:pPr>
      <w:r w:rsidRPr="001D599B">
        <w:rPr>
          <w:rStyle w:val="Zkladntext"/>
          <w:b/>
          <w:bCs/>
          <w:sz w:val="20"/>
          <w:szCs w:val="20"/>
        </w:rPr>
        <w:t>Ostatní ujednání</w:t>
      </w:r>
    </w:p>
    <w:p w14:paraId="1C8B4D7A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</w:pPr>
      <w:r>
        <w:rPr>
          <w:rStyle w:val="Zkladntext"/>
        </w:rPr>
        <w:t>V případě prodlení Zákazníka se zaplacením ceny za služby náleží Poskytovateli úrok z prodlení ve výši stanoveném občanským zákoníkem, který činí ke dni podpisu Smlouvy 8,05 % ročně. Poskytovatel je dále oprávněn požadovat náhradu újmy, a to v plném rozsahu nad rámec zaplaceného úroku z prodlení.</w:t>
      </w:r>
    </w:p>
    <w:p w14:paraId="27280A27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</w:pPr>
      <w:r>
        <w:rPr>
          <w:rStyle w:val="Zkladntext"/>
        </w:rPr>
        <w:t>Tato Smlouva je uzavřena na dobu určitou, a to 1 roku od jejího uzavření, počínaje dnem připsání úhrady na účet Poskytovatele. Smlouva se automaticky prodlužuje o další období, tj. o další 1 rok, pokud Zákazník nezašle Poskytovali písemnou výpověď smlouvy nejméně 14 dní před koncem platnosti smlouvy.</w:t>
      </w:r>
    </w:p>
    <w:p w14:paraId="461A42EC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</w:pPr>
      <w:r>
        <w:rPr>
          <w:rStyle w:val="Zkladntext"/>
        </w:rPr>
        <w:t>Tato Smlouva a právní poměry z ní vzešlé a s ní související se řídí právními předpisy České republiky, zejména ustanoveními zákona č. 89/2012 Sb., občanský zákoník, ve znění pozdějších předpisů.</w:t>
      </w:r>
    </w:p>
    <w:p w14:paraId="78863FE2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</w:pPr>
      <w:r>
        <w:rPr>
          <w:rStyle w:val="Zkladntext"/>
        </w:rPr>
        <w:t xml:space="preserve">Všechny případné spory vyplývající z této smlouvy nebo v souvislosti s ní vzniklé, budou smluvní strany řešit především vzájemnou dohodou. Pokud by nedošlo k vyřešení </w:t>
      </w:r>
      <w:r>
        <w:rPr>
          <w:rStyle w:val="Zkladntext"/>
        </w:rPr>
        <w:t>sporu vzájemnou dohodou, bude spor předán k řešení příslušnému soudu ČR.</w:t>
      </w:r>
    </w:p>
    <w:p w14:paraId="514DAD5F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</w:pPr>
      <w:r>
        <w:rPr>
          <w:rStyle w:val="Zkladntext"/>
        </w:rPr>
        <w:t>Tuto Smlouvu lze měnit, doplňovat nebo rušit pouze písemně, nikoliv ovšem prostřednictvím elektronických zpráv bez zaručeného elektronického podpisu ve smyslu zákona č. 297/2016 Sb., o službách vytvářejících důvěru pro elektronické transakce a nařízení Evropského parlamentu a Rady (EU) č. 910/2014 ze dne 23. července 2014 o elektronické identifikaci a službách vytvářejících důvěru pro elektronické transakce na vnitřním trhu a o zrušení směrnice 1999/93/ES.</w:t>
      </w:r>
    </w:p>
    <w:p w14:paraId="2C01017C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</w:pPr>
      <w:r>
        <w:rPr>
          <w:rStyle w:val="Zkladntext"/>
        </w:rPr>
        <w:t>Smluvní strany vylučují úpravu Smlouvy odkazem na obchodní podmínky. Smluvní strany dále vylučují, aby byla smlouva uzavřena postupem podle ustanovení § 1740 a § 1757 občanského zákoníku, tzn. uzavření Smlouvy s dodatkem nebo odchylkou, která podstatně nemění podmínky této Smlouvy, stejně tak vylučují postup podle ustanovení § 1765 občanského zákoníku, tzn. právo domáhat se obnovení jednání o Smlouvě v případě vzniku zvlášť hrubého nepoměru neúměrným snížením hodnoty předmětu Smlouvy nebo neúměrným zvýšením</w:t>
      </w:r>
      <w:r>
        <w:rPr>
          <w:rStyle w:val="Zkladntext"/>
        </w:rPr>
        <w:t xml:space="preserve"> nákladů plnění.</w:t>
      </w:r>
    </w:p>
    <w:p w14:paraId="3DA2C212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  <w:rPr>
          <w:sz w:val="20"/>
          <w:szCs w:val="20"/>
        </w:rPr>
      </w:pPr>
      <w:r>
        <w:rPr>
          <w:rStyle w:val="Zkladntext"/>
        </w:rPr>
        <w:t>Smluvní strany výslovně sjednávají, že uveřejnění této Smlouvy a všech případných dodatků v registru smluv dle zákona č. 340/2015 Sb., o zvláštních podmínkách účinnosti některých smluv, uveřejňování těchto smluv a registru smluv (zákon o registru smluv), zajistí Zákazník</w:t>
      </w:r>
      <w:r>
        <w:rPr>
          <w:rStyle w:val="Zkladntext"/>
          <w:sz w:val="20"/>
          <w:szCs w:val="20"/>
        </w:rPr>
        <w:t>.</w:t>
      </w:r>
    </w:p>
    <w:p w14:paraId="27FC0615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ind w:left="660" w:hanging="360"/>
        <w:jc w:val="both"/>
      </w:pPr>
      <w:r>
        <w:rPr>
          <w:rStyle w:val="Zkladntext"/>
        </w:rPr>
        <w:t>Tato Smlouva se vyhotovuje ve dvou stejnopisech s platností originálu, po jednom pro každou ze Smluvních stran.</w:t>
      </w:r>
    </w:p>
    <w:p w14:paraId="0A82096E" w14:textId="77777777" w:rsidR="00A412EE" w:rsidRDefault="003439D5">
      <w:pPr>
        <w:pStyle w:val="Zkladntext1"/>
        <w:numPr>
          <w:ilvl w:val="0"/>
          <w:numId w:val="4"/>
        </w:numPr>
        <w:tabs>
          <w:tab w:val="left" w:pos="646"/>
        </w:tabs>
        <w:spacing w:after="300"/>
        <w:ind w:left="660" w:hanging="360"/>
        <w:jc w:val="both"/>
      </w:pPr>
      <w:r>
        <w:rPr>
          <w:rStyle w:val="Zkladntext"/>
        </w:rPr>
        <w:t xml:space="preserve">Smluvní strany prohlašují, že si tuto Smlouvu přečetly, a že byla ujednána podle </w:t>
      </w:r>
      <w:r>
        <w:rPr>
          <w:rStyle w:val="Zkladntext"/>
        </w:rPr>
        <w:t>jejich svobodné vůle, určitě, vážně a srozumitelně, nikoliv v tísni za nápadně nevýhodných podmínek, na důkaz čehož připojují své podpisy.</w:t>
      </w:r>
    </w:p>
    <w:p w14:paraId="39B08479" w14:textId="0336BCFF" w:rsidR="00A412EE" w:rsidRDefault="003439D5">
      <w:pPr>
        <w:pStyle w:val="Zkladntext1"/>
        <w:tabs>
          <w:tab w:val="left" w:leader="underscore" w:pos="2347"/>
          <w:tab w:val="left" w:leader="underscore" w:pos="4541"/>
        </w:tabs>
        <w:jc w:val="both"/>
        <w:sectPr w:rsidR="00A412EE">
          <w:footerReference w:type="default" r:id="rId10"/>
          <w:pgSz w:w="11900" w:h="16840"/>
          <w:pgMar w:top="644" w:right="1373" w:bottom="756" w:left="1110" w:header="216" w:footer="328" w:gutter="0"/>
          <w:cols w:space="720"/>
          <w:noEndnote/>
          <w:docGrid w:linePitch="360"/>
        </w:sectPr>
      </w:pPr>
      <w:r>
        <w:rPr>
          <w:rStyle w:val="Zkladntext"/>
        </w:rPr>
        <w:t xml:space="preserve">V </w:t>
      </w:r>
      <w:r w:rsidR="001D599B">
        <w:rPr>
          <w:rStyle w:val="Zkladntext"/>
        </w:rPr>
        <w:t>Praze</w:t>
      </w:r>
      <w:r>
        <w:rPr>
          <w:rStyle w:val="Zkladntext"/>
        </w:rPr>
        <w:t xml:space="preserve"> dne </w:t>
      </w:r>
      <w:r w:rsidR="001D599B">
        <w:rPr>
          <w:rStyle w:val="Zkladntext"/>
        </w:rPr>
        <w:t>16. 3. 2026</w:t>
      </w:r>
    </w:p>
    <w:p w14:paraId="43D6E2AF" w14:textId="77777777" w:rsidR="00A412EE" w:rsidRDefault="00A412EE">
      <w:pPr>
        <w:spacing w:line="159" w:lineRule="exact"/>
        <w:rPr>
          <w:sz w:val="13"/>
          <w:szCs w:val="13"/>
        </w:rPr>
      </w:pPr>
    </w:p>
    <w:p w14:paraId="25C32D6A" w14:textId="77777777" w:rsidR="00A412EE" w:rsidRDefault="00A412EE">
      <w:pPr>
        <w:spacing w:line="1" w:lineRule="exact"/>
        <w:sectPr w:rsidR="00A412EE">
          <w:type w:val="continuous"/>
          <w:pgSz w:w="11900" w:h="16840"/>
          <w:pgMar w:top="644" w:right="0" w:bottom="756" w:left="0" w:header="0" w:footer="3" w:gutter="0"/>
          <w:cols w:space="720"/>
          <w:noEndnote/>
          <w:docGrid w:linePitch="360"/>
        </w:sectPr>
      </w:pPr>
    </w:p>
    <w:p w14:paraId="4BB20D2E" w14:textId="77777777" w:rsidR="00A412EE" w:rsidRDefault="003439D5">
      <w:pPr>
        <w:pStyle w:val="Zkladntext1"/>
        <w:framePr w:w="2683" w:h="1075" w:wrap="none" w:vAnchor="text" w:hAnchor="page" w:x="1120" w:y="21"/>
        <w:spacing w:after="80" w:line="202" w:lineRule="auto"/>
      </w:pPr>
      <w:r>
        <w:rPr>
          <w:rStyle w:val="Zkladntext"/>
        </w:rPr>
        <w:t>Poskytovatel:</w:t>
      </w:r>
    </w:p>
    <w:p w14:paraId="08B0771B" w14:textId="77777777" w:rsidR="00A412EE" w:rsidRDefault="003439D5">
      <w:pPr>
        <w:pStyle w:val="Zkladntext50"/>
        <w:framePr w:w="2683" w:h="1075" w:wrap="none" w:vAnchor="text" w:hAnchor="page" w:x="1120" w:y="21"/>
      </w:pPr>
      <w:r>
        <w:rPr>
          <w:rStyle w:val="Zkladntext5"/>
        </w:rPr>
        <w:t xml:space="preserve">VESTTA BOZP </w:t>
      </w:r>
      <w:proofErr w:type="spellStart"/>
      <w:r>
        <w:rPr>
          <w:rStyle w:val="Zkladntext5"/>
        </w:rPr>
        <w:t>s.r.o</w:t>
      </w:r>
      <w:proofErr w:type="spellEnd"/>
    </w:p>
    <w:p w14:paraId="74D5EEAB" w14:textId="77777777" w:rsidR="00A412EE" w:rsidRDefault="003439D5">
      <w:pPr>
        <w:pStyle w:val="Zkladntext40"/>
        <w:framePr w:w="2683" w:h="1075" w:wrap="none" w:vAnchor="text" w:hAnchor="page" w:x="1120" w:y="21"/>
        <w:spacing w:after="0"/>
        <w:ind w:left="1280"/>
        <w:jc w:val="left"/>
      </w:pPr>
      <w:r>
        <w:rPr>
          <w:rStyle w:val="Zkladntext4"/>
        </w:rPr>
        <w:t>Palackého 143</w:t>
      </w:r>
    </w:p>
    <w:p w14:paraId="4E32083D" w14:textId="77777777" w:rsidR="00A412EE" w:rsidRDefault="003439D5">
      <w:pPr>
        <w:pStyle w:val="Zkladntext40"/>
        <w:framePr w:w="2683" w:h="1075" w:wrap="none" w:vAnchor="text" w:hAnchor="page" w:x="1120" w:y="21"/>
        <w:ind w:left="0"/>
      </w:pPr>
      <w:r>
        <w:rPr>
          <w:rStyle w:val="Zkladntext4"/>
        </w:rPr>
        <w:t>282 01 Český Brod</w:t>
      </w:r>
      <w:r>
        <w:rPr>
          <w:rStyle w:val="Zkladntext4"/>
        </w:rPr>
        <w:br/>
        <w:t>IČ:</w:t>
      </w:r>
      <w:r>
        <w:rPr>
          <w:rStyle w:val="Zkladntext4"/>
          <w:color w:val="474846"/>
        </w:rPr>
        <w:t>05775264</w:t>
      </w:r>
    </w:p>
    <w:p w14:paraId="7072D836" w14:textId="77777777" w:rsidR="00A412EE" w:rsidRDefault="003439D5">
      <w:pPr>
        <w:pStyle w:val="Zkladntext1"/>
        <w:framePr w:w="787" w:h="264" w:wrap="none" w:vAnchor="text" w:hAnchor="page" w:x="6352" w:y="21"/>
        <w:spacing w:line="240" w:lineRule="auto"/>
      </w:pPr>
      <w:r>
        <w:rPr>
          <w:rStyle w:val="Zkladntext"/>
        </w:rPr>
        <w:t>Zákazník:</w:t>
      </w:r>
    </w:p>
    <w:p w14:paraId="00DD7779" w14:textId="77777777" w:rsidR="00A412EE" w:rsidRDefault="003439D5">
      <w:pPr>
        <w:pStyle w:val="Nadpis10"/>
        <w:keepNext/>
        <w:keepLines/>
        <w:framePr w:w="1378" w:h="341" w:wrap="none" w:vAnchor="text" w:hAnchor="page" w:x="6506" w:y="395"/>
      </w:pPr>
      <w:bookmarkStart w:id="0" w:name="bookmark0"/>
      <w:r>
        <w:rPr>
          <w:rStyle w:val="Nadpis1"/>
        </w:rPr>
        <w:t>PaedDr. Věra</w:t>
      </w:r>
      <w:bookmarkEnd w:id="0"/>
    </w:p>
    <w:p w14:paraId="4B3D0724" w14:textId="77777777" w:rsidR="00A412EE" w:rsidRDefault="003439D5">
      <w:pPr>
        <w:pStyle w:val="Zkladntext20"/>
        <w:framePr w:w="1310" w:h="370" w:wrap="none" w:vAnchor="text" w:hAnchor="page" w:x="7879" w:y="371"/>
      </w:pPr>
      <w:r>
        <w:rPr>
          <w:rStyle w:val="Zkladntext2"/>
        </w:rPr>
        <w:t>Digitálně podepsal</w:t>
      </w:r>
    </w:p>
    <w:p w14:paraId="7F47D408" w14:textId="77777777" w:rsidR="00A412EE" w:rsidRDefault="003439D5">
      <w:pPr>
        <w:pStyle w:val="Zkladntext20"/>
        <w:framePr w:w="1310" w:h="370" w:wrap="none" w:vAnchor="text" w:hAnchor="page" w:x="7879" w:y="371"/>
      </w:pPr>
      <w:r>
        <w:rPr>
          <w:rStyle w:val="Zkladntext2"/>
        </w:rPr>
        <w:t>PaedDr. Věra Ježková</w:t>
      </w:r>
    </w:p>
    <w:p w14:paraId="019E280D" w14:textId="77777777" w:rsidR="00A412EE" w:rsidRDefault="003439D5">
      <w:pPr>
        <w:pStyle w:val="Nadpis10"/>
        <w:keepNext/>
        <w:keepLines/>
        <w:framePr w:w="869" w:h="341" w:wrap="none" w:vAnchor="text" w:hAnchor="page" w:x="6491" w:y="745"/>
        <w:jc w:val="right"/>
      </w:pPr>
      <w:bookmarkStart w:id="1" w:name="bookmark2"/>
      <w:r>
        <w:rPr>
          <w:rStyle w:val="Nadpis1"/>
        </w:rPr>
        <w:t>Ježková</w:t>
      </w:r>
      <w:bookmarkEnd w:id="1"/>
    </w:p>
    <w:p w14:paraId="2B7338FD" w14:textId="77777777" w:rsidR="00A412EE" w:rsidRDefault="003439D5">
      <w:pPr>
        <w:pStyle w:val="Zkladntext20"/>
        <w:framePr w:w="1162" w:h="365" w:wrap="none" w:vAnchor="text" w:hAnchor="page" w:x="7879" w:y="745"/>
      </w:pPr>
      <w:r>
        <w:rPr>
          <w:rStyle w:val="Zkladntext2"/>
        </w:rPr>
        <w:t>Datum: 2026.02.22 15:44:25 +01'00'</w:t>
      </w:r>
    </w:p>
    <w:p w14:paraId="7E5E1993" w14:textId="77777777" w:rsidR="00A412EE" w:rsidRDefault="00A412EE">
      <w:pPr>
        <w:spacing w:line="360" w:lineRule="exact"/>
      </w:pPr>
    </w:p>
    <w:p w14:paraId="7B0815AC" w14:textId="77777777" w:rsidR="00A412EE" w:rsidRDefault="00A412EE">
      <w:pPr>
        <w:spacing w:line="360" w:lineRule="exact"/>
      </w:pPr>
    </w:p>
    <w:p w14:paraId="0034540F" w14:textId="77777777" w:rsidR="00A412EE" w:rsidRDefault="00A412EE">
      <w:pPr>
        <w:spacing w:after="388" w:line="1" w:lineRule="exact"/>
      </w:pPr>
    </w:p>
    <w:p w14:paraId="72897E91" w14:textId="77777777" w:rsidR="00A412EE" w:rsidRDefault="00A412EE">
      <w:pPr>
        <w:spacing w:line="1" w:lineRule="exact"/>
        <w:sectPr w:rsidR="00A412EE">
          <w:type w:val="continuous"/>
          <w:pgSz w:w="11900" w:h="16840"/>
          <w:pgMar w:top="644" w:right="1373" w:bottom="756" w:left="1110" w:header="0" w:footer="3" w:gutter="0"/>
          <w:cols w:space="720"/>
          <w:noEndnote/>
          <w:docGrid w:linePitch="360"/>
        </w:sectPr>
      </w:pPr>
    </w:p>
    <w:p w14:paraId="1FC96695" w14:textId="77777777" w:rsidR="00A412EE" w:rsidRDefault="003439D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61B84B7" wp14:editId="68BF1F7E">
                <wp:simplePos x="0" y="0"/>
                <wp:positionH relativeFrom="page">
                  <wp:posOffset>704850</wp:posOffset>
                </wp:positionH>
                <wp:positionV relativeFrom="paragraph">
                  <wp:posOffset>12700</wp:posOffset>
                </wp:positionV>
                <wp:extent cx="975360" cy="1676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E86D1D" w14:textId="77777777" w:rsidR="00A412EE" w:rsidRDefault="003439D5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Vestta</w:t>
                            </w:r>
                            <w:proofErr w:type="spellEnd"/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 xml:space="preserve"> BOZP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1B84B7" id="Shape 7" o:spid="_x0000_s1027" type="#_x0000_t202" style="position:absolute;margin-left:55.5pt;margin-top:1pt;width:76.8pt;height:13.2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" filled="f" stroked="f">
                <v:textbox inset="0,0,0,0">
                  <w:txbxContent>
                    <w:p w14:paraId="0AE86D1D" w14:textId="77777777" w:rsidR="00A412EE" w:rsidRDefault="003439D5">
                      <w:pPr>
                        <w:pStyle w:val="Zkladntext1"/>
                        <w:pBdr>
                          <w:top w:val="single" w:sz="4" w:space="0" w:color="auto"/>
                        </w:pBd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Style w:val="Zkladntext"/>
                          <w:sz w:val="20"/>
                          <w:szCs w:val="20"/>
                        </w:rPr>
                        <w:t>Vestta</w:t>
                      </w:r>
                      <w:proofErr w:type="spellEnd"/>
                      <w:r>
                        <w:rPr>
                          <w:rStyle w:val="Zkladntext"/>
                          <w:sz w:val="20"/>
                          <w:szCs w:val="20"/>
                        </w:rPr>
                        <w:t xml:space="preserve"> BOZP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712531" w14:textId="77777777" w:rsidR="00A412EE" w:rsidRDefault="003439D5">
      <w:pPr>
        <w:pStyle w:val="Zkladntext1"/>
        <w:pBdr>
          <w:top w:val="single" w:sz="4" w:space="0" w:color="auto"/>
        </w:pBdr>
        <w:spacing w:line="240" w:lineRule="auto"/>
        <w:jc w:val="center"/>
        <w:rPr>
          <w:sz w:val="20"/>
          <w:szCs w:val="20"/>
        </w:rPr>
      </w:pPr>
      <w:r>
        <w:rPr>
          <w:rStyle w:val="Zkladntext"/>
          <w:sz w:val="20"/>
          <w:szCs w:val="20"/>
        </w:rPr>
        <w:t>Zákazník</w:t>
      </w:r>
    </w:p>
    <w:p w14:paraId="6BAC9214" w14:textId="77777777" w:rsidR="00A412EE" w:rsidRDefault="003439D5">
      <w:pPr>
        <w:pStyle w:val="Zkladntext1"/>
        <w:spacing w:line="240" w:lineRule="auto"/>
        <w:jc w:val="center"/>
      </w:pPr>
      <w:r>
        <w:rPr>
          <w:rStyle w:val="Zkladntext"/>
        </w:rPr>
        <w:t>Stránka 2 z 2</w:t>
      </w:r>
    </w:p>
    <w:sectPr w:rsidR="00A412EE">
      <w:type w:val="continuous"/>
      <w:pgSz w:w="11900" w:h="16840"/>
      <w:pgMar w:top="644" w:right="1373" w:bottom="644" w:left="2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A2F5" w14:textId="77777777" w:rsidR="003439D5" w:rsidRDefault="003439D5">
      <w:r>
        <w:separator/>
      </w:r>
    </w:p>
  </w:endnote>
  <w:endnote w:type="continuationSeparator" w:id="0">
    <w:p w14:paraId="4A1F263E" w14:textId="77777777" w:rsidR="003439D5" w:rsidRDefault="0034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E479" w14:textId="77777777" w:rsidR="00A412EE" w:rsidRDefault="003439D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84AB89" wp14:editId="5AB5A5C6">
              <wp:simplePos x="0" y="0"/>
              <wp:positionH relativeFrom="page">
                <wp:posOffset>3453765</wp:posOffset>
              </wp:positionH>
              <wp:positionV relativeFrom="page">
                <wp:posOffset>9952355</wp:posOffset>
              </wp:positionV>
              <wp:extent cx="643255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B1E6FF" w14:textId="77777777" w:rsidR="00A412EE" w:rsidRDefault="003439D5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sz w:val="19"/>
                              <w:szCs w:val="19"/>
                            </w:rPr>
                            <w:t>Stránka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4AB89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71.95pt;margin-top:783.65pt;width:50.6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gQEAAP4CAAAOAAAAZHJzL2Uyb0RvYy54bWysUsFOwzAMvSPxD1HurNtg01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" filled="f" stroked="f">
              <v:textbox style="mso-fit-shape-to-text:t" inset="0,0,0,0">
                <w:txbxContent>
                  <w:p w14:paraId="61B1E6FF" w14:textId="77777777" w:rsidR="00A412EE" w:rsidRDefault="003439D5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Zhlavnebozpat2"/>
                        <w:sz w:val="19"/>
                        <w:szCs w:val="19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8A5D" w14:textId="77777777" w:rsidR="00A412EE" w:rsidRDefault="00A412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CC67" w14:textId="77777777" w:rsidR="00A412EE" w:rsidRDefault="00A412EE"/>
  </w:footnote>
  <w:footnote w:type="continuationSeparator" w:id="0">
    <w:p w14:paraId="733CBB8A" w14:textId="77777777" w:rsidR="00A412EE" w:rsidRDefault="00A412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055A"/>
    <w:multiLevelType w:val="multilevel"/>
    <w:tmpl w:val="12A49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340CB"/>
    <w:multiLevelType w:val="hybridMultilevel"/>
    <w:tmpl w:val="B6D248F2"/>
    <w:lvl w:ilvl="0" w:tplc="5C964D24">
      <w:start w:val="1"/>
      <w:numFmt w:val="upperRoman"/>
      <w:lvlText w:val="%1."/>
      <w:lvlJc w:val="left"/>
      <w:pPr>
        <w:ind w:left="45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0" w:hanging="360"/>
      </w:pPr>
    </w:lvl>
    <w:lvl w:ilvl="2" w:tplc="0405001B" w:tentative="1">
      <w:start w:val="1"/>
      <w:numFmt w:val="lowerRoman"/>
      <w:lvlText w:val="%3."/>
      <w:lvlJc w:val="right"/>
      <w:pPr>
        <w:ind w:left="5620" w:hanging="180"/>
      </w:pPr>
    </w:lvl>
    <w:lvl w:ilvl="3" w:tplc="0405000F" w:tentative="1">
      <w:start w:val="1"/>
      <w:numFmt w:val="decimal"/>
      <w:lvlText w:val="%4."/>
      <w:lvlJc w:val="left"/>
      <w:pPr>
        <w:ind w:left="6340" w:hanging="360"/>
      </w:pPr>
    </w:lvl>
    <w:lvl w:ilvl="4" w:tplc="04050019" w:tentative="1">
      <w:start w:val="1"/>
      <w:numFmt w:val="lowerLetter"/>
      <w:lvlText w:val="%5."/>
      <w:lvlJc w:val="left"/>
      <w:pPr>
        <w:ind w:left="7060" w:hanging="360"/>
      </w:pPr>
    </w:lvl>
    <w:lvl w:ilvl="5" w:tplc="0405001B" w:tentative="1">
      <w:start w:val="1"/>
      <w:numFmt w:val="lowerRoman"/>
      <w:lvlText w:val="%6."/>
      <w:lvlJc w:val="right"/>
      <w:pPr>
        <w:ind w:left="7780" w:hanging="180"/>
      </w:pPr>
    </w:lvl>
    <w:lvl w:ilvl="6" w:tplc="0405000F" w:tentative="1">
      <w:start w:val="1"/>
      <w:numFmt w:val="decimal"/>
      <w:lvlText w:val="%7."/>
      <w:lvlJc w:val="left"/>
      <w:pPr>
        <w:ind w:left="8500" w:hanging="360"/>
      </w:pPr>
    </w:lvl>
    <w:lvl w:ilvl="7" w:tplc="04050019" w:tentative="1">
      <w:start w:val="1"/>
      <w:numFmt w:val="lowerLetter"/>
      <w:lvlText w:val="%8."/>
      <w:lvlJc w:val="left"/>
      <w:pPr>
        <w:ind w:left="9220" w:hanging="360"/>
      </w:pPr>
    </w:lvl>
    <w:lvl w:ilvl="8" w:tplc="0405001B" w:tentative="1">
      <w:start w:val="1"/>
      <w:numFmt w:val="lowerRoman"/>
      <w:lvlText w:val="%9."/>
      <w:lvlJc w:val="right"/>
      <w:pPr>
        <w:ind w:left="9940" w:hanging="180"/>
      </w:pPr>
    </w:lvl>
  </w:abstractNum>
  <w:abstractNum w:abstractNumId="2" w15:restartNumberingAfterBreak="0">
    <w:nsid w:val="46D233C6"/>
    <w:multiLevelType w:val="multilevel"/>
    <w:tmpl w:val="C94870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BA12E3"/>
    <w:multiLevelType w:val="multilevel"/>
    <w:tmpl w:val="5F105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162F1F"/>
    <w:multiLevelType w:val="multilevel"/>
    <w:tmpl w:val="CC56B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4547433">
    <w:abstractNumId w:val="0"/>
  </w:num>
  <w:num w:numId="2" w16cid:durableId="387918593">
    <w:abstractNumId w:val="2"/>
  </w:num>
  <w:num w:numId="3" w16cid:durableId="1157497690">
    <w:abstractNumId w:val="4"/>
  </w:num>
  <w:num w:numId="4" w16cid:durableId="277376974">
    <w:abstractNumId w:val="3"/>
  </w:num>
  <w:num w:numId="5" w16cid:durableId="197440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EE"/>
    <w:rsid w:val="001D599B"/>
    <w:rsid w:val="00206258"/>
    <w:rsid w:val="003439D5"/>
    <w:rsid w:val="00A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0A36"/>
  <w15:docId w15:val="{F429D4CB-A55F-4269-BFC5-60E6315E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color w:val="1A94BA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74846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46463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i/>
      <w:iCs/>
      <w:color w:val="1A94BA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line="26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240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pacing w:line="211" w:lineRule="auto"/>
      <w:jc w:val="right"/>
    </w:pPr>
    <w:rPr>
      <w:rFonts w:ascii="Arial" w:eastAsia="Arial" w:hAnsi="Arial" w:cs="Arial"/>
      <w:color w:val="474846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40"/>
      <w:ind w:left="640"/>
      <w:jc w:val="center"/>
    </w:pPr>
    <w:rPr>
      <w:rFonts w:ascii="Arial" w:eastAsia="Arial" w:hAnsi="Arial" w:cs="Arial"/>
      <w:color w:val="646463"/>
      <w:sz w:val="16"/>
      <w:szCs w:val="16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zkova.v@ceskolips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1117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GymnÃ¡zium Ä„eskolipskÃ¡</dc:title>
  <dc:subject/>
  <dc:creator>Radka Folberova</dc:creator>
  <cp:keywords/>
  <cp:lastModifiedBy>Veronika Matějková</cp:lastModifiedBy>
  <cp:revision>3</cp:revision>
  <dcterms:created xsi:type="dcterms:W3CDTF">2026-03-16T14:48:00Z</dcterms:created>
  <dcterms:modified xsi:type="dcterms:W3CDTF">2026-03-16T15:19:00Z</dcterms:modified>
</cp:coreProperties>
</file>