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L268011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CSL BEHRING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CZ24139769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16.03.2026 8:12:44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BERIPLEX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47722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BERIPLEX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60 000,00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67 200,00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L268011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