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55" w:rsidRDefault="00233A55" w:rsidP="006A07E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DODATEK č. 3</w:t>
      </w:r>
    </w:p>
    <w:p w:rsidR="00233A55" w:rsidRDefault="00233A55" w:rsidP="006A07E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 smlouvě o nájmu nebytových prostor</w:t>
      </w:r>
    </w:p>
    <w:p w:rsidR="00233A55" w:rsidRDefault="00233A55" w:rsidP="006A07E7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„Dodatek č. 3“)</w:t>
      </w:r>
    </w:p>
    <w:p w:rsidR="00233A55" w:rsidRDefault="00233A55" w:rsidP="004E7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A55" w:rsidRDefault="00233A55" w:rsidP="004E7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dne 20. 2. 2009, ve znění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sz w:val="24"/>
            <w:szCs w:val="24"/>
          </w:rPr>
          <w:t>1 a</w:t>
        </w:r>
      </w:smartTag>
      <w:r>
        <w:rPr>
          <w:rFonts w:ascii="Times New Roman" w:hAnsi="Times New Roman"/>
          <w:sz w:val="24"/>
          <w:szCs w:val="24"/>
        </w:rPr>
        <w:t xml:space="preserve"> Dodatku č. 2, uzavřené mezi smluvními stranami: 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A55" w:rsidRDefault="00233A55" w:rsidP="006A07E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Česká republika – Generální finanční ředitelství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se sídlem:                Lazarská 15/7, 117 22 Praha 1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zastoupená:             Ing. Martinem Janečkem, generálním ředitelem 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IČO:                       72080043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DIČ:                       CZ72080043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(dále jen „pronajímatel“)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jedné straně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a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233A55" w:rsidRDefault="00233A55" w:rsidP="006A07E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Městská část Praha 7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se sídlem:              nábř. Kpt. Jaroše 1000, 170 00 Praha 7</w:t>
      </w:r>
    </w:p>
    <w:p w:rsidR="00233A55" w:rsidRDefault="00233A55" w:rsidP="004E71FA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zastoupená:           Mgr. Janem Čižinským, starostou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IČO:                      00063754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DIČ:                      CZ00063754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(dále jen „nájemce“)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straně druhé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6A07E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I.</w:t>
      </w:r>
    </w:p>
    <w:p w:rsidR="00233A55" w:rsidRDefault="00233A55" w:rsidP="004E7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sz w:val="24"/>
          <w:szCs w:val="24"/>
          <w:u w:val="single"/>
          <w:lang w:eastAsia="cs-CZ"/>
        </w:rPr>
        <w:t>Úvodní ustanovení</w:t>
      </w:r>
    </w:p>
    <w:p w:rsidR="00233A55" w:rsidRDefault="00233A55" w:rsidP="004E71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3A55" w:rsidRDefault="00233A55" w:rsidP="004E71FA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Česká republika – Finanční ředitelství pro hlavní město Prahu, jehož právním nástupcem je Česká republika – Generální finanční ředitelství (dále jen „pronajímatel“), a nájemce uzavřeli dne 20. 2. 2009 smlouvu o nájmu nebytových prostor (dále jen „smlouva“), </w:t>
      </w:r>
      <w:r>
        <w:rPr>
          <w:szCs w:val="24"/>
        </w:rPr>
        <w:br/>
        <w:t>na jejímž základě pronajímatel pronajal nájemci nebytové prostory (specifikované v čl. III, odst. 3.2 smlouvy) v budově č. p. 1000, která je součástí  pozemku parc. č. 1260 v ulici nábř. Kpt. Jaroše 1000/7, 170 00 Praha 7, zapsané v katastru nemovitostí vedeném Katastrálním úřadem pro hlavní město Prahu, Katastrální pracoviště Praha, pro obec Praha, katastrální území Holešovice, na LV č. 7144.</w:t>
      </w:r>
    </w:p>
    <w:p w:rsidR="00233A55" w:rsidRDefault="00233A55" w:rsidP="00514787">
      <w:pPr>
        <w:pStyle w:val="Odstavecseseznamem"/>
        <w:ind w:left="284"/>
        <w:jc w:val="both"/>
        <w:rPr>
          <w:szCs w:val="24"/>
        </w:rPr>
      </w:pPr>
    </w:p>
    <w:p w:rsidR="00233A55" w:rsidRDefault="00233A55" w:rsidP="004E71FA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>
        <w:rPr>
          <w:szCs w:val="24"/>
        </w:rPr>
        <w:t>Smluvní strany Dodatkem č. 3 mění smlouvu zúžením předmětu nájmu, změnou výše celkového nájemného  a změnou výše záloh na služby spojené s užíváním předmětu nájmu.</w:t>
      </w:r>
    </w:p>
    <w:p w:rsidR="00233A55" w:rsidRDefault="00233A55" w:rsidP="00514787">
      <w:pPr>
        <w:pStyle w:val="Odstavecseseznamem"/>
        <w:rPr>
          <w:szCs w:val="24"/>
        </w:rPr>
      </w:pPr>
    </w:p>
    <w:p w:rsidR="00233A55" w:rsidRDefault="00233A55" w:rsidP="00514787">
      <w:pPr>
        <w:pStyle w:val="Odstavecseseznamem"/>
        <w:ind w:left="284"/>
        <w:jc w:val="center"/>
        <w:rPr>
          <w:b/>
          <w:szCs w:val="24"/>
        </w:rPr>
      </w:pPr>
    </w:p>
    <w:p w:rsidR="00233A55" w:rsidRDefault="00233A55" w:rsidP="00514787">
      <w:pPr>
        <w:pStyle w:val="Odstavecseseznamem"/>
        <w:ind w:left="284"/>
        <w:jc w:val="center"/>
        <w:rPr>
          <w:b/>
          <w:szCs w:val="24"/>
        </w:rPr>
      </w:pPr>
    </w:p>
    <w:p w:rsidR="00233A55" w:rsidRDefault="00233A55" w:rsidP="00514787">
      <w:pPr>
        <w:pStyle w:val="Odstavecseseznamem"/>
        <w:ind w:left="284"/>
        <w:jc w:val="center"/>
        <w:rPr>
          <w:b/>
          <w:szCs w:val="24"/>
        </w:rPr>
      </w:pPr>
    </w:p>
    <w:p w:rsidR="00233A55" w:rsidRDefault="00233A55" w:rsidP="00514787">
      <w:pPr>
        <w:pStyle w:val="Odstavecseseznamem"/>
        <w:ind w:left="284"/>
        <w:jc w:val="center"/>
        <w:rPr>
          <w:b/>
          <w:szCs w:val="24"/>
        </w:rPr>
      </w:pPr>
    </w:p>
    <w:p w:rsidR="00233A55" w:rsidRDefault="00233A55" w:rsidP="006A07E7">
      <w:pPr>
        <w:pStyle w:val="Odstavecseseznamem"/>
        <w:ind w:left="284"/>
        <w:jc w:val="center"/>
        <w:outlineLvl w:val="0"/>
        <w:rPr>
          <w:b/>
          <w:szCs w:val="24"/>
        </w:rPr>
      </w:pPr>
      <w:r>
        <w:rPr>
          <w:b/>
          <w:szCs w:val="24"/>
        </w:rPr>
        <w:t>II.</w:t>
      </w:r>
    </w:p>
    <w:p w:rsidR="00233A55" w:rsidRDefault="00233A55" w:rsidP="00514787">
      <w:pPr>
        <w:pStyle w:val="Odstavecseseznamem"/>
        <w:ind w:left="284"/>
        <w:jc w:val="center"/>
        <w:rPr>
          <w:szCs w:val="24"/>
        </w:rPr>
      </w:pPr>
      <w:r>
        <w:rPr>
          <w:b/>
          <w:szCs w:val="24"/>
          <w:u w:val="single"/>
        </w:rPr>
        <w:t>Předmět dodatku</w:t>
      </w:r>
    </w:p>
    <w:p w:rsidR="00233A55" w:rsidRDefault="00233A55" w:rsidP="00514787">
      <w:pPr>
        <w:pStyle w:val="Odstavecseseznamem"/>
        <w:ind w:left="284"/>
        <w:jc w:val="both"/>
        <w:rPr>
          <w:szCs w:val="24"/>
        </w:rPr>
      </w:pPr>
    </w:p>
    <w:p w:rsidR="00233A55" w:rsidRPr="00514787" w:rsidRDefault="00233A55" w:rsidP="00514787">
      <w:pPr>
        <w:pStyle w:val="Odstavecseseznamem"/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  <w:u w:val="single"/>
        </w:rPr>
        <w:t>Předmět nájmu</w:t>
      </w:r>
    </w:p>
    <w:p w:rsidR="00233A55" w:rsidRDefault="00233A55" w:rsidP="00514787">
      <w:pPr>
        <w:pStyle w:val="Odstavecseseznamem"/>
        <w:ind w:left="284"/>
        <w:jc w:val="both"/>
        <w:rPr>
          <w:szCs w:val="24"/>
          <w:u w:val="single"/>
        </w:rPr>
      </w:pPr>
    </w:p>
    <w:p w:rsidR="00233A55" w:rsidRDefault="00233A55" w:rsidP="00514787">
      <w:pPr>
        <w:pStyle w:val="Odstavecseseznamem"/>
        <w:ind w:left="284"/>
        <w:jc w:val="both"/>
        <w:rPr>
          <w:szCs w:val="24"/>
        </w:rPr>
      </w:pPr>
      <w:r>
        <w:rPr>
          <w:szCs w:val="24"/>
        </w:rPr>
        <w:t xml:space="preserve">Pronajímatel a nájemce ode dne účinnosti tohoto Dodatku č. 3 mění předmět nájmu </w:t>
      </w:r>
      <w:r>
        <w:rPr>
          <w:szCs w:val="24"/>
        </w:rPr>
        <w:br/>
        <w:t xml:space="preserve">a dosavadní znění článku III. odst. 3.2 smlouvy se proto ruší a nahrazuje následovně: </w:t>
      </w:r>
    </w:p>
    <w:p w:rsidR="00233A55" w:rsidRDefault="00233A55" w:rsidP="00514787">
      <w:pPr>
        <w:pStyle w:val="Odstavecseseznamem"/>
        <w:ind w:left="284"/>
        <w:jc w:val="both"/>
        <w:rPr>
          <w:szCs w:val="24"/>
        </w:rPr>
      </w:pPr>
    </w:p>
    <w:p w:rsidR="00233A55" w:rsidRPr="00C937BB" w:rsidRDefault="00233A55" w:rsidP="0075362C">
      <w:pPr>
        <w:pStyle w:val="Odstavecseseznamem"/>
        <w:ind w:left="284"/>
        <w:jc w:val="both"/>
        <w:rPr>
          <w:color w:val="FFFF00"/>
          <w:szCs w:val="24"/>
        </w:rPr>
      </w:pPr>
      <w:r>
        <w:rPr>
          <w:szCs w:val="24"/>
        </w:rPr>
        <w:t>3.2. Pronajímatel tímto pronajímá nájemci níže uvedené nebytové prostory:</w:t>
      </w:r>
    </w:p>
    <w:p w:rsidR="00233A55" w:rsidRDefault="00233A55" w:rsidP="00514787">
      <w:pPr>
        <w:pStyle w:val="Odstavecseseznamem"/>
        <w:ind w:left="284"/>
        <w:jc w:val="both"/>
        <w:rPr>
          <w:szCs w:val="24"/>
        </w:rPr>
      </w:pPr>
    </w:p>
    <w:tbl>
      <w:tblPr>
        <w:tblW w:w="0" w:type="auto"/>
        <w:jc w:val="center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3"/>
        <w:gridCol w:w="2010"/>
        <w:gridCol w:w="4883"/>
      </w:tblGrid>
      <w:tr w:rsidR="00233A55" w:rsidTr="00E316AC">
        <w:trPr>
          <w:trHeight w:val="622"/>
          <w:jc w:val="center"/>
        </w:trPr>
        <w:tc>
          <w:tcPr>
            <w:tcW w:w="183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Umístění</w:t>
            </w:r>
          </w:p>
          <w:p w:rsidR="00233A55" w:rsidRPr="00E316AC" w:rsidRDefault="00233A55" w:rsidP="00E316AC">
            <w:pPr>
              <w:pStyle w:val="Odstavecseseznamem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316AC">
              <w:rPr>
                <w:b/>
                <w:sz w:val="22"/>
                <w:szCs w:val="22"/>
              </w:rPr>
              <w:t>Plocha v m</w:t>
            </w:r>
            <w:r w:rsidRPr="00E316AC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Členění</w:t>
            </w:r>
          </w:p>
        </w:tc>
      </w:tr>
      <w:tr w:rsidR="00233A55" w:rsidTr="00E316AC">
        <w:trPr>
          <w:trHeight w:val="248"/>
          <w:jc w:val="center"/>
        </w:trPr>
        <w:tc>
          <w:tcPr>
            <w:tcW w:w="183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Suterén</w:t>
            </w:r>
          </w:p>
        </w:tc>
        <w:tc>
          <w:tcPr>
            <w:tcW w:w="2010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322,26</w:t>
            </w:r>
          </w:p>
        </w:tc>
        <w:tc>
          <w:tcPr>
            <w:tcW w:w="488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ostatní plocha</w:t>
            </w:r>
          </w:p>
        </w:tc>
      </w:tr>
      <w:tr w:rsidR="00233A55" w:rsidTr="00E316AC">
        <w:trPr>
          <w:trHeight w:val="432"/>
          <w:jc w:val="center"/>
        </w:trPr>
        <w:tc>
          <w:tcPr>
            <w:tcW w:w="183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Přízemí</w:t>
            </w:r>
          </w:p>
        </w:tc>
        <w:tc>
          <w:tcPr>
            <w:tcW w:w="2010" w:type="dxa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244,68</w:t>
            </w:r>
          </w:p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91,75</w:t>
            </w:r>
          </w:p>
        </w:tc>
        <w:tc>
          <w:tcPr>
            <w:tcW w:w="4883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kancelářské plochy</w:t>
            </w:r>
          </w:p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ostatní plochy</w:t>
            </w:r>
          </w:p>
        </w:tc>
      </w:tr>
      <w:tr w:rsidR="00233A55" w:rsidTr="00E316AC">
        <w:trPr>
          <w:trHeight w:val="330"/>
          <w:jc w:val="center"/>
        </w:trPr>
        <w:tc>
          <w:tcPr>
            <w:tcW w:w="183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1. patro</w:t>
            </w:r>
          </w:p>
        </w:tc>
        <w:tc>
          <w:tcPr>
            <w:tcW w:w="2010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     546,8</w:t>
            </w:r>
          </w:p>
        </w:tc>
        <w:tc>
          <w:tcPr>
            <w:tcW w:w="4883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kancelářské plochy</w:t>
            </w:r>
          </w:p>
        </w:tc>
      </w:tr>
      <w:tr w:rsidR="00233A55" w:rsidTr="00E316AC">
        <w:trPr>
          <w:trHeight w:val="443"/>
          <w:jc w:val="center"/>
        </w:trPr>
        <w:tc>
          <w:tcPr>
            <w:tcW w:w="1833" w:type="dxa"/>
            <w:vAlign w:val="center"/>
          </w:tcPr>
          <w:p w:rsidR="00233A55" w:rsidRPr="00E316AC" w:rsidRDefault="00233A55" w:rsidP="00E316AC">
            <w:pPr>
              <w:spacing w:after="0"/>
              <w:jc w:val="center"/>
              <w:rPr>
                <w:rFonts w:ascii="Times New Roman" w:hAnsi="Times New Roman"/>
              </w:rPr>
            </w:pPr>
            <w:r w:rsidRPr="00E316AC">
              <w:rPr>
                <w:rFonts w:ascii="Times New Roman" w:hAnsi="Times New Roman"/>
              </w:rPr>
              <w:t>2. patro</w:t>
            </w:r>
          </w:p>
        </w:tc>
        <w:tc>
          <w:tcPr>
            <w:tcW w:w="2010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     2049,8</w:t>
            </w:r>
          </w:p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149,35</w:t>
            </w:r>
          </w:p>
        </w:tc>
        <w:tc>
          <w:tcPr>
            <w:tcW w:w="4883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kancelářské plochy</w:t>
            </w:r>
          </w:p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ostatní plochy</w:t>
            </w:r>
          </w:p>
        </w:tc>
      </w:tr>
      <w:tr w:rsidR="00233A55" w:rsidTr="00E316AC">
        <w:trPr>
          <w:trHeight w:val="535"/>
          <w:jc w:val="center"/>
        </w:trPr>
        <w:tc>
          <w:tcPr>
            <w:tcW w:w="183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Celkem</w:t>
            </w:r>
          </w:p>
        </w:tc>
        <w:tc>
          <w:tcPr>
            <w:tcW w:w="2010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     2841,28</w:t>
            </w:r>
          </w:p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563,36</w:t>
            </w:r>
          </w:p>
        </w:tc>
        <w:tc>
          <w:tcPr>
            <w:tcW w:w="4883" w:type="dxa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kancelářské plochy</w:t>
            </w:r>
          </w:p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ostatní plochy – soc. zařízení, chodby, sklady apod.</w:t>
            </w:r>
          </w:p>
        </w:tc>
      </w:tr>
    </w:tbl>
    <w:p w:rsidR="00233A55" w:rsidRDefault="00233A55" w:rsidP="00514787">
      <w:pPr>
        <w:pStyle w:val="Odstavecseseznamem"/>
        <w:ind w:left="284"/>
        <w:jc w:val="both"/>
        <w:rPr>
          <w:szCs w:val="24"/>
        </w:rPr>
      </w:pPr>
    </w:p>
    <w:p w:rsidR="00233A55" w:rsidRDefault="00233A55" w:rsidP="00754D99">
      <w:pPr>
        <w:pStyle w:val="Odstavecseseznamem"/>
        <w:ind w:left="142" w:hanging="142"/>
        <w:jc w:val="both"/>
        <w:rPr>
          <w:szCs w:val="24"/>
          <w:u w:val="single"/>
        </w:rPr>
      </w:pPr>
      <w:r>
        <w:rPr>
          <w:szCs w:val="24"/>
        </w:rPr>
        <w:t xml:space="preserve">2. </w:t>
      </w:r>
      <w:r>
        <w:rPr>
          <w:szCs w:val="24"/>
          <w:u w:val="single"/>
        </w:rPr>
        <w:t>Nájemné</w:t>
      </w:r>
    </w:p>
    <w:p w:rsidR="00233A55" w:rsidRPr="00754D99" w:rsidRDefault="00233A55" w:rsidP="00754D99">
      <w:pPr>
        <w:pStyle w:val="Odstavecseseznamem"/>
        <w:ind w:left="142" w:hanging="142"/>
        <w:jc w:val="both"/>
        <w:rPr>
          <w:szCs w:val="24"/>
          <w:u w:val="single"/>
        </w:rPr>
      </w:pPr>
    </w:p>
    <w:p w:rsidR="00233A55" w:rsidRDefault="00233A55" w:rsidP="00574D34">
      <w:pPr>
        <w:pStyle w:val="Odstavecseseznamem"/>
        <w:ind w:left="284"/>
        <w:jc w:val="both"/>
        <w:rPr>
          <w:szCs w:val="24"/>
        </w:rPr>
      </w:pPr>
      <w:r>
        <w:rPr>
          <w:szCs w:val="24"/>
        </w:rPr>
        <w:t>Pronajímatel a nájemce upravují v návaznosti na změnu předmětu nájmu dle článku II. odst. 1. tohoto Dodatku č. 3 nájemné a dosavadní znění článku IV. odst. 4.1 smlouvy se proto ruší a nahrazuje následovně:</w:t>
      </w:r>
    </w:p>
    <w:p w:rsidR="00233A55" w:rsidRDefault="00233A55" w:rsidP="00574D34">
      <w:pPr>
        <w:pStyle w:val="Odstavecseseznamem"/>
        <w:ind w:left="284"/>
        <w:jc w:val="both"/>
        <w:rPr>
          <w:szCs w:val="24"/>
        </w:rPr>
      </w:pPr>
    </w:p>
    <w:p w:rsidR="00233A55" w:rsidRDefault="00233A55" w:rsidP="00574D34">
      <w:pPr>
        <w:pStyle w:val="Odstavecseseznamem"/>
        <w:ind w:left="284"/>
        <w:jc w:val="both"/>
        <w:rPr>
          <w:szCs w:val="24"/>
        </w:rPr>
      </w:pPr>
      <w:r>
        <w:rPr>
          <w:szCs w:val="24"/>
        </w:rPr>
        <w:t>4.1. Nájemné se sjednává v Kč takto:</w:t>
      </w:r>
    </w:p>
    <w:p w:rsidR="00233A55" w:rsidRDefault="00233A55" w:rsidP="00574D34">
      <w:pPr>
        <w:pStyle w:val="Odstavecseseznamem"/>
        <w:ind w:left="284"/>
        <w:jc w:val="both"/>
        <w:rPr>
          <w:szCs w:val="24"/>
        </w:rPr>
      </w:pPr>
    </w:p>
    <w:p w:rsidR="00233A55" w:rsidRDefault="00233A55" w:rsidP="00574D34">
      <w:pPr>
        <w:pStyle w:val="Odstavecseseznamem"/>
        <w:ind w:left="284"/>
        <w:jc w:val="both"/>
        <w:rPr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3"/>
        <w:gridCol w:w="1385"/>
        <w:gridCol w:w="1522"/>
        <w:gridCol w:w="1522"/>
        <w:gridCol w:w="2320"/>
      </w:tblGrid>
      <w:tr w:rsidR="00233A55" w:rsidRPr="00574D34" w:rsidTr="00E316AC">
        <w:trPr>
          <w:trHeight w:val="502"/>
        </w:trPr>
        <w:tc>
          <w:tcPr>
            <w:tcW w:w="204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316AC">
              <w:rPr>
                <w:b/>
                <w:sz w:val="22"/>
                <w:szCs w:val="22"/>
              </w:rPr>
              <w:t>Plocha v m</w:t>
            </w:r>
            <w:r w:rsidRPr="00E316AC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316AC">
              <w:rPr>
                <w:b/>
                <w:sz w:val="22"/>
                <w:szCs w:val="22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E316AC">
                <w:rPr>
                  <w:b/>
                  <w:sz w:val="22"/>
                  <w:szCs w:val="22"/>
                </w:rPr>
                <w:t>1 m</w:t>
              </w:r>
              <w:r w:rsidRPr="00E316AC">
                <w:rPr>
                  <w:b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Částka v Kč/rok</w:t>
            </w:r>
          </w:p>
        </w:tc>
        <w:tc>
          <w:tcPr>
            <w:tcW w:w="2320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Částka v Kč/čtvrtletí</w:t>
            </w:r>
          </w:p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233A55" w:rsidRPr="00574D34" w:rsidTr="00E316AC">
        <w:trPr>
          <w:trHeight w:val="310"/>
        </w:trPr>
        <w:tc>
          <w:tcPr>
            <w:tcW w:w="204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Kancelářské plochy</w:t>
            </w:r>
          </w:p>
        </w:tc>
        <w:tc>
          <w:tcPr>
            <w:tcW w:w="1385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2 841,28</w:t>
            </w: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2 765,48</w:t>
            </w: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7 857 500</w:t>
            </w:r>
          </w:p>
        </w:tc>
        <w:tc>
          <w:tcPr>
            <w:tcW w:w="2320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1 964 375</w:t>
            </w:r>
          </w:p>
        </w:tc>
      </w:tr>
      <w:tr w:rsidR="00233A55" w:rsidRPr="00574D34" w:rsidTr="00E316AC">
        <w:trPr>
          <w:trHeight w:val="222"/>
        </w:trPr>
        <w:tc>
          <w:tcPr>
            <w:tcW w:w="204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Ostatní plochy</w:t>
            </w:r>
          </w:p>
        </w:tc>
        <w:tc>
          <w:tcPr>
            <w:tcW w:w="1385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563,36</w:t>
            </w: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588,70</w:t>
            </w: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331 650   </w:t>
            </w:r>
          </w:p>
        </w:tc>
        <w:tc>
          <w:tcPr>
            <w:tcW w:w="2320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     82 913   </w:t>
            </w:r>
          </w:p>
        </w:tc>
      </w:tr>
      <w:tr w:rsidR="00233A55" w:rsidRPr="00574D34" w:rsidTr="00E316AC">
        <w:trPr>
          <w:trHeight w:val="256"/>
        </w:trPr>
        <w:tc>
          <w:tcPr>
            <w:tcW w:w="2043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Celkem</w:t>
            </w:r>
          </w:p>
        </w:tc>
        <w:tc>
          <w:tcPr>
            <w:tcW w:w="1385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3 404,64</w:t>
            </w: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8 189 150</w:t>
            </w:r>
          </w:p>
        </w:tc>
        <w:tc>
          <w:tcPr>
            <w:tcW w:w="2320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2 047 288</w:t>
            </w:r>
          </w:p>
        </w:tc>
      </w:tr>
    </w:tbl>
    <w:p w:rsidR="00233A55" w:rsidRPr="00574D34" w:rsidRDefault="00233A55" w:rsidP="00574D34">
      <w:pPr>
        <w:pStyle w:val="Odstavecseseznamem"/>
        <w:ind w:left="142" w:hanging="142"/>
        <w:jc w:val="both"/>
        <w:rPr>
          <w:szCs w:val="24"/>
        </w:rPr>
      </w:pPr>
    </w:p>
    <w:p w:rsidR="00233A55" w:rsidRDefault="00233A55" w:rsidP="00B70B3B">
      <w:pPr>
        <w:pStyle w:val="Odstavecseseznamem"/>
        <w:ind w:left="284"/>
        <w:jc w:val="both"/>
        <w:rPr>
          <w:szCs w:val="24"/>
          <w:u w:val="single"/>
        </w:rPr>
      </w:pPr>
      <w:r>
        <w:rPr>
          <w:szCs w:val="24"/>
        </w:rPr>
        <w:t xml:space="preserve">3. </w:t>
      </w:r>
      <w:r>
        <w:rPr>
          <w:szCs w:val="24"/>
          <w:u w:val="single"/>
        </w:rPr>
        <w:t>Změna výše záloh za služby spojené s užíváním předmětu nájmu</w:t>
      </w:r>
    </w:p>
    <w:p w:rsidR="00233A55" w:rsidRDefault="00233A55" w:rsidP="00754D99">
      <w:pPr>
        <w:pStyle w:val="Odstavecseseznamem"/>
        <w:ind w:left="142" w:hanging="142"/>
        <w:jc w:val="both"/>
        <w:rPr>
          <w:szCs w:val="24"/>
        </w:rPr>
      </w:pPr>
    </w:p>
    <w:p w:rsidR="00233A55" w:rsidRDefault="00233A55" w:rsidP="00D961CF">
      <w:pPr>
        <w:pStyle w:val="Odstavecseseznamem"/>
        <w:ind w:left="284" w:hanging="142"/>
        <w:jc w:val="both"/>
        <w:rPr>
          <w:szCs w:val="24"/>
        </w:rPr>
      </w:pPr>
      <w:r>
        <w:rPr>
          <w:szCs w:val="24"/>
        </w:rPr>
        <w:t xml:space="preserve">  Pronajímatel a nájemce se dohodli na změně smlouvy a dosavadní znění článku V. odst. 5.2 smlouvy se proto ruší a nahrazuje následovně:</w:t>
      </w:r>
    </w:p>
    <w:p w:rsidR="00233A55" w:rsidRDefault="00233A55" w:rsidP="00754D99">
      <w:pPr>
        <w:pStyle w:val="Odstavecseseznamem"/>
        <w:ind w:left="142" w:hanging="142"/>
        <w:jc w:val="both"/>
        <w:rPr>
          <w:szCs w:val="24"/>
        </w:rPr>
      </w:pPr>
    </w:p>
    <w:p w:rsidR="00233A55" w:rsidRPr="00D53691" w:rsidRDefault="00233A55" w:rsidP="00D961CF">
      <w:pPr>
        <w:pStyle w:val="Odstavecseseznamem"/>
        <w:ind w:left="284"/>
        <w:jc w:val="both"/>
        <w:rPr>
          <w:szCs w:val="24"/>
        </w:rPr>
      </w:pPr>
      <w:r>
        <w:rPr>
          <w:szCs w:val="24"/>
        </w:rPr>
        <w:t>5.2 Náklady za poskytované služby se nájemce zavazuje hradit pronajímateli formou čtvrtletních, ročně zúčtovatelných záloh ve výši</w:t>
      </w:r>
    </w:p>
    <w:p w:rsidR="00233A55" w:rsidRPr="00754D99" w:rsidRDefault="00233A55" w:rsidP="00754D99">
      <w:pPr>
        <w:pStyle w:val="Odstavecseseznamem"/>
        <w:ind w:left="142" w:hanging="142"/>
        <w:jc w:val="both"/>
        <w:rPr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8"/>
        <w:gridCol w:w="2654"/>
        <w:gridCol w:w="3038"/>
      </w:tblGrid>
      <w:tr w:rsidR="00233A55" w:rsidTr="00E316AC">
        <w:trPr>
          <w:trHeight w:val="318"/>
        </w:trPr>
        <w:tc>
          <w:tcPr>
            <w:tcW w:w="3318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Druh služby</w:t>
            </w:r>
          </w:p>
        </w:tc>
        <w:tc>
          <w:tcPr>
            <w:tcW w:w="2654" w:type="dxa"/>
            <w:vAlign w:val="center"/>
          </w:tcPr>
          <w:p w:rsidR="00233A55" w:rsidRPr="00E316AC" w:rsidRDefault="00233A55" w:rsidP="00E316AC">
            <w:pPr>
              <w:pStyle w:val="Odstavecseseznamem"/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Výše ročních záloh (Kč)</w:t>
            </w:r>
          </w:p>
        </w:tc>
        <w:tc>
          <w:tcPr>
            <w:tcW w:w="3038" w:type="dxa"/>
            <w:vAlign w:val="center"/>
          </w:tcPr>
          <w:p w:rsidR="00233A55" w:rsidRPr="00E316AC" w:rsidRDefault="00233A55" w:rsidP="00E316AC">
            <w:pPr>
              <w:pStyle w:val="Odstavecseseznamem"/>
              <w:ind w:left="0"/>
              <w:jc w:val="center"/>
              <w:rPr>
                <w:b/>
                <w:sz w:val="22"/>
                <w:szCs w:val="22"/>
              </w:rPr>
            </w:pPr>
            <w:r w:rsidRPr="00E316AC">
              <w:rPr>
                <w:b/>
                <w:sz w:val="22"/>
                <w:szCs w:val="22"/>
              </w:rPr>
              <w:t>Výše čtvrtletních záloh (Kč)</w:t>
            </w:r>
          </w:p>
        </w:tc>
      </w:tr>
      <w:tr w:rsidR="00233A55" w:rsidTr="00E316AC">
        <w:trPr>
          <w:trHeight w:val="231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Elektrická energie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 593 000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>148 250</w:t>
            </w:r>
          </w:p>
        </w:tc>
      </w:tr>
      <w:tr w:rsidR="00233A55" w:rsidTr="00E316AC">
        <w:trPr>
          <w:trHeight w:val="463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Vodné, stočné a likvidace srážkových vod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 170 000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42 500</w:t>
            </w:r>
          </w:p>
        </w:tc>
      </w:tr>
      <w:tr w:rsidR="00233A55" w:rsidTr="00E316AC">
        <w:trPr>
          <w:trHeight w:val="231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lastRenderedPageBreak/>
              <w:t>Vytápění, ohřev TUV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954  000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>238 500</w:t>
            </w:r>
          </w:p>
        </w:tc>
      </w:tr>
      <w:tr w:rsidR="00233A55" w:rsidTr="00E316AC">
        <w:trPr>
          <w:trHeight w:val="231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Ostraha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775  000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>193 750</w:t>
            </w:r>
          </w:p>
        </w:tc>
      </w:tr>
      <w:tr w:rsidR="00233A55" w:rsidTr="00E316AC">
        <w:trPr>
          <w:trHeight w:val="463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 xml:space="preserve">Úklid předmětu nájmu, chodníků </w:t>
            </w:r>
          </w:p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a spol. prostor v objektu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998  000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>249 500</w:t>
            </w:r>
          </w:p>
        </w:tc>
      </w:tr>
      <w:tr w:rsidR="00233A55" w:rsidTr="00E316AC">
        <w:trPr>
          <w:trHeight w:val="231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Odpad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   43 000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10 750</w:t>
            </w:r>
          </w:p>
        </w:tc>
      </w:tr>
      <w:tr w:rsidR="00233A55" w:rsidTr="00E316AC">
        <w:trPr>
          <w:trHeight w:val="231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Drobné opravy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 194 000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 xml:space="preserve">  48 500</w:t>
            </w:r>
          </w:p>
        </w:tc>
      </w:tr>
      <w:tr w:rsidR="00233A55" w:rsidTr="00E316AC">
        <w:trPr>
          <w:trHeight w:val="243"/>
        </w:trPr>
        <w:tc>
          <w:tcPr>
            <w:tcW w:w="331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E316AC">
              <w:rPr>
                <w:sz w:val="22"/>
                <w:szCs w:val="22"/>
              </w:rPr>
              <w:t>Celkem</w:t>
            </w:r>
          </w:p>
        </w:tc>
        <w:tc>
          <w:tcPr>
            <w:tcW w:w="2654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>3 727 000</w:t>
            </w:r>
          </w:p>
        </w:tc>
        <w:tc>
          <w:tcPr>
            <w:tcW w:w="3038" w:type="dxa"/>
          </w:tcPr>
          <w:p w:rsidR="00233A55" w:rsidRPr="00E316AC" w:rsidRDefault="00233A55" w:rsidP="00E316AC">
            <w:pPr>
              <w:pStyle w:val="Odstavecseseznamem"/>
              <w:ind w:left="0"/>
              <w:jc w:val="both"/>
              <w:rPr>
                <w:sz w:val="22"/>
                <w:szCs w:val="22"/>
                <w:u w:val="single"/>
              </w:rPr>
            </w:pPr>
            <w:r w:rsidRPr="00E316AC">
              <w:rPr>
                <w:sz w:val="22"/>
                <w:szCs w:val="22"/>
                <w:u w:val="single"/>
              </w:rPr>
              <w:t>931 750</w:t>
            </w:r>
          </w:p>
        </w:tc>
      </w:tr>
    </w:tbl>
    <w:p w:rsidR="00233A55" w:rsidRDefault="00233A55" w:rsidP="00544FF0">
      <w:pPr>
        <w:pStyle w:val="Odstavecseseznamem"/>
        <w:ind w:left="0"/>
        <w:jc w:val="center"/>
        <w:rPr>
          <w:b/>
          <w:szCs w:val="24"/>
        </w:rPr>
      </w:pPr>
    </w:p>
    <w:p w:rsidR="00233A55" w:rsidRDefault="00233A55" w:rsidP="00544FF0">
      <w:pPr>
        <w:pStyle w:val="Odstavecseseznamem"/>
        <w:ind w:left="0"/>
        <w:jc w:val="center"/>
        <w:rPr>
          <w:b/>
          <w:szCs w:val="24"/>
        </w:rPr>
      </w:pPr>
    </w:p>
    <w:p w:rsidR="00233A55" w:rsidRDefault="00233A55" w:rsidP="006A07E7">
      <w:pPr>
        <w:pStyle w:val="Odstavecseseznamem"/>
        <w:ind w:left="0"/>
        <w:jc w:val="center"/>
        <w:outlineLvl w:val="0"/>
        <w:rPr>
          <w:b/>
          <w:szCs w:val="24"/>
        </w:rPr>
      </w:pPr>
      <w:r>
        <w:rPr>
          <w:b/>
          <w:szCs w:val="24"/>
        </w:rPr>
        <w:t>III.</w:t>
      </w:r>
    </w:p>
    <w:p w:rsidR="00233A55" w:rsidRDefault="00233A55" w:rsidP="00544FF0">
      <w:pPr>
        <w:pStyle w:val="Odstavecseseznamem"/>
        <w:ind w:left="0"/>
        <w:jc w:val="center"/>
        <w:rPr>
          <w:szCs w:val="24"/>
        </w:rPr>
      </w:pPr>
      <w:r>
        <w:rPr>
          <w:b/>
          <w:szCs w:val="24"/>
          <w:u w:val="single"/>
        </w:rPr>
        <w:t>Závěrečná ustanovení</w:t>
      </w:r>
    </w:p>
    <w:p w:rsidR="00233A55" w:rsidRDefault="00233A55" w:rsidP="00544FF0">
      <w:pPr>
        <w:pStyle w:val="Odstavecseseznamem"/>
        <w:ind w:left="0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1. Ostatní ustanovení smlouvy  ve znění Dodatku č. </w:t>
      </w:r>
      <w:smartTag w:uri="urn:schemas-microsoft-com:office:smarttags" w:element="metricconverter">
        <w:smartTagPr>
          <w:attr w:name="ProductID" w:val="1 a"/>
        </w:smartTagPr>
        <w:r>
          <w:rPr>
            <w:szCs w:val="24"/>
          </w:rPr>
          <w:t>1 a</w:t>
        </w:r>
      </w:smartTag>
      <w:r>
        <w:rPr>
          <w:szCs w:val="24"/>
        </w:rPr>
        <w:t xml:space="preserve"> Dodatku č. 2  tímto Dodatkem č. 3 nedotčená zůstávají v platnosti.</w:t>
      </w:r>
    </w:p>
    <w:p w:rsidR="00233A55" w:rsidRDefault="00233A55" w:rsidP="00544FF0">
      <w:pPr>
        <w:pStyle w:val="Odstavecseseznamem"/>
        <w:ind w:left="0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  <w:r>
        <w:rPr>
          <w:szCs w:val="24"/>
        </w:rPr>
        <w:t>2. Dodatek č. 3 nabývá platnosti a účinnosti dnem jeho podpisu oprávněnými zástupci obou smluvních stran.</w:t>
      </w: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  <w:r>
        <w:rPr>
          <w:szCs w:val="24"/>
        </w:rPr>
        <w:t xml:space="preserve">3. Smluvní strany tímto konstatují, že k vyklizení části předmětu nájmu, tj. místností, které jsou uvedeny v příloze č. 1 Dodatku č. 3, již došlo k datu 30.11.2015. </w:t>
      </w: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  <w:r>
        <w:rPr>
          <w:szCs w:val="24"/>
        </w:rPr>
        <w:t>4. Dodatek č. 3 je vyhotoven ve čtyřech stejnopisech s platností originálu, z nichž každá smluvní strana obdrží dvě vyhotovení.</w:t>
      </w: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Default="00233A55" w:rsidP="00D53691">
      <w:pPr>
        <w:pStyle w:val="Odstavecseseznamem"/>
        <w:ind w:left="142" w:hanging="142"/>
        <w:jc w:val="both"/>
        <w:rPr>
          <w:szCs w:val="24"/>
        </w:rPr>
      </w:pPr>
      <w:r>
        <w:rPr>
          <w:szCs w:val="24"/>
        </w:rPr>
        <w:t>5. Nedílnou součástí Dodatku č. 3 jsou přílohy:</w:t>
      </w:r>
    </w:p>
    <w:p w:rsidR="00233A55" w:rsidRDefault="00233A55" w:rsidP="00D53691">
      <w:pPr>
        <w:pStyle w:val="Odstavecseseznamem"/>
        <w:ind w:left="142" w:hanging="142"/>
        <w:jc w:val="both"/>
        <w:rPr>
          <w:szCs w:val="24"/>
        </w:rPr>
      </w:pPr>
    </w:p>
    <w:p w:rsidR="00233A55" w:rsidRDefault="00233A55" w:rsidP="006A07E7">
      <w:pPr>
        <w:pStyle w:val="Odstavecseseznamem"/>
        <w:ind w:left="142" w:hanging="142"/>
        <w:jc w:val="both"/>
        <w:outlineLvl w:val="0"/>
        <w:rPr>
          <w:szCs w:val="24"/>
        </w:rPr>
      </w:pPr>
      <w:r>
        <w:rPr>
          <w:szCs w:val="24"/>
        </w:rPr>
        <w:t>Příloha č. 1 – Seznam vyklizených místností k 30. 11. 2015</w:t>
      </w:r>
    </w:p>
    <w:p w:rsidR="00233A55" w:rsidRPr="00544FF0" w:rsidRDefault="00233A55" w:rsidP="00D53691">
      <w:pPr>
        <w:pStyle w:val="Odstavecseseznamem"/>
        <w:ind w:left="142" w:hanging="142"/>
        <w:jc w:val="both"/>
        <w:rPr>
          <w:szCs w:val="24"/>
        </w:rPr>
      </w:pPr>
      <w:r>
        <w:rPr>
          <w:szCs w:val="24"/>
        </w:rPr>
        <w:t>Příloha č. 2 – Seznam místností, které jsou předmětem nájmu, včetně umístění a výměry</w:t>
      </w:r>
    </w:p>
    <w:p w:rsidR="00233A55" w:rsidRDefault="00233A55" w:rsidP="00D536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  (situační plánek) </w:t>
      </w: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  <w:sectPr w:rsidR="00233A55" w:rsidSect="004650CA">
          <w:headerReference w:type="default" r:id="rId8"/>
          <w:pgSz w:w="11906" w:h="16838"/>
          <w:pgMar w:top="1417" w:right="1417" w:bottom="1417" w:left="1417" w:header="708" w:footer="410" w:gutter="0"/>
          <w:pgNumType w:fmt="numberInDash"/>
          <w:cols w:space="708"/>
          <w:docGrid w:linePitch="360"/>
        </w:sect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  <w:r>
        <w:rPr>
          <w:szCs w:val="24"/>
        </w:rPr>
        <w:t>V Praze dne ………………..</w:t>
      </w: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Default="00233A55" w:rsidP="00544FF0">
      <w:pPr>
        <w:pStyle w:val="Odstavecseseznamem"/>
        <w:ind w:left="284" w:hanging="284"/>
        <w:jc w:val="both"/>
        <w:rPr>
          <w:szCs w:val="24"/>
        </w:rPr>
      </w:pPr>
    </w:p>
    <w:p w:rsidR="00233A55" w:rsidRPr="00544FF0" w:rsidRDefault="00233A55" w:rsidP="00544FF0">
      <w:pPr>
        <w:pStyle w:val="Odstavecseseznamem"/>
        <w:ind w:left="284" w:hanging="284"/>
        <w:jc w:val="both"/>
        <w:rPr>
          <w:szCs w:val="24"/>
        </w:rPr>
      </w:pPr>
      <w:r>
        <w:rPr>
          <w:szCs w:val="24"/>
        </w:rPr>
        <w:t>V Praze dne ………………..</w:t>
      </w:r>
    </w:p>
    <w:p w:rsidR="00233A55" w:rsidRDefault="00233A55" w:rsidP="00754D99">
      <w:pPr>
        <w:pStyle w:val="Odstavecseseznamem"/>
        <w:ind w:left="142" w:hanging="142"/>
        <w:jc w:val="both"/>
        <w:rPr>
          <w:szCs w:val="24"/>
          <w:u w:val="single"/>
        </w:rPr>
        <w:sectPr w:rsidR="00233A55" w:rsidSect="00544F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3A55" w:rsidRDefault="00233A55" w:rsidP="00754D99">
      <w:pPr>
        <w:pStyle w:val="Odstavecseseznamem"/>
        <w:ind w:left="142" w:hanging="142"/>
        <w:jc w:val="both"/>
        <w:rPr>
          <w:szCs w:val="24"/>
        </w:rPr>
      </w:pPr>
    </w:p>
    <w:p w:rsidR="00233A55" w:rsidRDefault="00233A55" w:rsidP="00754D99">
      <w:pPr>
        <w:pStyle w:val="Odstavecseseznamem"/>
        <w:ind w:left="142" w:hanging="142"/>
        <w:jc w:val="both"/>
        <w:rPr>
          <w:szCs w:val="24"/>
        </w:rPr>
      </w:pPr>
      <w:r>
        <w:rPr>
          <w:szCs w:val="24"/>
        </w:rPr>
        <w:t>Za pronajímatele:</w:t>
      </w:r>
    </w:p>
    <w:p w:rsidR="00233A55" w:rsidRDefault="00233A55" w:rsidP="00544FF0">
      <w:pPr>
        <w:pStyle w:val="Odstavecseseznamem"/>
        <w:ind w:left="142" w:hanging="142"/>
        <w:rPr>
          <w:szCs w:val="24"/>
        </w:rPr>
      </w:pPr>
    </w:p>
    <w:p w:rsidR="00233A55" w:rsidRDefault="00233A55" w:rsidP="00544FF0">
      <w:pPr>
        <w:pStyle w:val="Odstavecseseznamem"/>
        <w:ind w:left="142" w:hanging="142"/>
        <w:rPr>
          <w:szCs w:val="24"/>
        </w:rPr>
        <w:sectPr w:rsidR="00233A55" w:rsidSect="00544F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Cs w:val="24"/>
        </w:rPr>
        <w:t>Za nájemce:</w:t>
      </w:r>
    </w:p>
    <w:p w:rsidR="00233A55" w:rsidRPr="00544FF0" w:rsidRDefault="00233A55" w:rsidP="00754D99">
      <w:pPr>
        <w:pStyle w:val="Odstavecseseznamem"/>
        <w:ind w:left="142" w:hanging="142"/>
        <w:jc w:val="both"/>
        <w:rPr>
          <w:szCs w:val="24"/>
        </w:rPr>
      </w:pPr>
      <w:r>
        <w:rPr>
          <w:szCs w:val="24"/>
        </w:rPr>
        <w:lastRenderedPageBreak/>
        <w:t xml:space="preserve">  </w:t>
      </w:r>
    </w:p>
    <w:p w:rsidR="00233A55" w:rsidRDefault="00233A55" w:rsidP="00754D99">
      <w:pPr>
        <w:pStyle w:val="Odstavecseseznamem"/>
        <w:ind w:left="142" w:hanging="142"/>
        <w:jc w:val="both"/>
        <w:rPr>
          <w:szCs w:val="24"/>
          <w:u w:val="single"/>
        </w:rPr>
      </w:pP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  <w:sectPr w:rsidR="00233A55" w:rsidSect="00544F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</w:t>
      </w:r>
    </w:p>
    <w:p w:rsidR="00233A55" w:rsidRDefault="00233A55" w:rsidP="006A07E7">
      <w:pPr>
        <w:spacing w:after="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Ing. Martin Janeček</w:t>
      </w: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generální ředitel</w:t>
      </w: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</w:p>
    <w:p w:rsidR="00233A55" w:rsidRDefault="00233A55" w:rsidP="006A07E7">
      <w:pPr>
        <w:spacing w:after="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ČR – Generální finanční ředitelství</w:t>
      </w: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</w:t>
      </w:r>
    </w:p>
    <w:p w:rsidR="00233A55" w:rsidRDefault="00233A55" w:rsidP="006A07E7">
      <w:pPr>
        <w:spacing w:after="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Mgr. Jan Čižinský</w:t>
      </w: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starosta</w:t>
      </w:r>
    </w:p>
    <w:p w:rsidR="00233A55" w:rsidRDefault="00233A55" w:rsidP="00544FF0">
      <w:pPr>
        <w:spacing w:after="0"/>
        <w:jc w:val="both"/>
        <w:rPr>
          <w:rFonts w:ascii="Times New Roman" w:hAnsi="Times New Roman"/>
          <w:szCs w:val="24"/>
        </w:rPr>
      </w:pPr>
    </w:p>
    <w:p w:rsidR="00233A55" w:rsidRPr="00544FF0" w:rsidRDefault="00233A55" w:rsidP="006A07E7">
      <w:pPr>
        <w:spacing w:after="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Městská část Praha 7</w:t>
      </w:r>
    </w:p>
    <w:p w:rsidR="00233A55" w:rsidRDefault="00233A55" w:rsidP="00544FF0">
      <w:pPr>
        <w:pStyle w:val="Odstavecseseznamem"/>
        <w:ind w:left="142"/>
        <w:jc w:val="both"/>
        <w:rPr>
          <w:szCs w:val="24"/>
          <w:u w:val="single"/>
        </w:rPr>
        <w:sectPr w:rsidR="00233A55" w:rsidSect="00544F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33A55" w:rsidRDefault="00233A55" w:rsidP="003E5660">
      <w:pPr>
        <w:pStyle w:val="Odstavecseseznamem"/>
        <w:ind w:left="142"/>
        <w:jc w:val="both"/>
        <w:rPr>
          <w:szCs w:val="24"/>
          <w:u w:val="single"/>
        </w:rPr>
      </w:pPr>
    </w:p>
    <w:p w:rsidR="00233A55" w:rsidRDefault="00233A55" w:rsidP="003E5660">
      <w:pPr>
        <w:pStyle w:val="Odstavecseseznamem"/>
        <w:ind w:left="142"/>
        <w:jc w:val="both"/>
        <w:rPr>
          <w:szCs w:val="24"/>
          <w:u w:val="single"/>
        </w:rPr>
      </w:pPr>
    </w:p>
    <w:p w:rsidR="00233A55" w:rsidRDefault="00233A55" w:rsidP="003E5660">
      <w:pPr>
        <w:pStyle w:val="Odstavecseseznamem"/>
        <w:ind w:left="142"/>
        <w:jc w:val="both"/>
        <w:rPr>
          <w:szCs w:val="24"/>
          <w:u w:val="single"/>
        </w:rPr>
      </w:pPr>
    </w:p>
    <w:p w:rsidR="00233A55" w:rsidRDefault="00233A55" w:rsidP="003E5660">
      <w:pPr>
        <w:pStyle w:val="Odstavecseseznamem"/>
        <w:ind w:left="142"/>
        <w:jc w:val="both"/>
        <w:rPr>
          <w:szCs w:val="24"/>
          <w:u w:val="single"/>
        </w:rPr>
      </w:pPr>
    </w:p>
    <w:p w:rsidR="00233A55" w:rsidRDefault="00233A55" w:rsidP="003E5660">
      <w:pPr>
        <w:pStyle w:val="Odstavecseseznamem"/>
        <w:ind w:left="142"/>
        <w:jc w:val="both"/>
        <w:rPr>
          <w:szCs w:val="24"/>
          <w:u w:val="single"/>
        </w:rPr>
      </w:pPr>
    </w:p>
    <w:p w:rsidR="00233A55" w:rsidRDefault="00233A55" w:rsidP="003E5660">
      <w:pPr>
        <w:pStyle w:val="Odstavecseseznamem"/>
        <w:ind w:left="142"/>
        <w:jc w:val="both"/>
        <w:rPr>
          <w:szCs w:val="24"/>
          <w:u w:val="single"/>
        </w:rPr>
      </w:pPr>
    </w:p>
    <w:p w:rsidR="00233A55" w:rsidRDefault="00233A55" w:rsidP="00271090">
      <w:pPr>
        <w:pStyle w:val="Odstavecseseznamem"/>
        <w:ind w:left="0"/>
        <w:jc w:val="both"/>
      </w:pPr>
    </w:p>
    <w:sectPr w:rsidR="00233A55" w:rsidSect="00544F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17" w:rsidRDefault="00A72317" w:rsidP="004E71FA">
      <w:pPr>
        <w:spacing w:after="0" w:line="240" w:lineRule="auto"/>
      </w:pPr>
      <w:r>
        <w:separator/>
      </w:r>
    </w:p>
  </w:endnote>
  <w:endnote w:type="continuationSeparator" w:id="0">
    <w:p w:rsidR="00A72317" w:rsidRDefault="00A72317" w:rsidP="004E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17" w:rsidRDefault="00A72317" w:rsidP="004E71FA">
      <w:pPr>
        <w:spacing w:after="0" w:line="240" w:lineRule="auto"/>
      </w:pPr>
      <w:r>
        <w:separator/>
      </w:r>
    </w:p>
  </w:footnote>
  <w:footnote w:type="continuationSeparator" w:id="0">
    <w:p w:rsidR="00A72317" w:rsidRDefault="00A72317" w:rsidP="004E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55" w:rsidRPr="009B63B4" w:rsidRDefault="00233A55">
    <w:pPr>
      <w:pStyle w:val="Zhlav"/>
      <w:jc w:val="center"/>
      <w:rPr>
        <w:rFonts w:ascii="Times New Roman" w:hAnsi="Times New Roman"/>
        <w:sz w:val="24"/>
        <w:szCs w:val="24"/>
      </w:rPr>
    </w:pPr>
    <w:r w:rsidRPr="009B63B4">
      <w:rPr>
        <w:rFonts w:ascii="Times New Roman" w:hAnsi="Times New Roman"/>
        <w:sz w:val="24"/>
        <w:szCs w:val="24"/>
      </w:rPr>
      <w:fldChar w:fldCharType="begin"/>
    </w:r>
    <w:r w:rsidRPr="009B63B4">
      <w:rPr>
        <w:rFonts w:ascii="Times New Roman" w:hAnsi="Times New Roman"/>
        <w:sz w:val="24"/>
        <w:szCs w:val="24"/>
      </w:rPr>
      <w:instrText>PAGE   \* MERGEFORMAT</w:instrText>
    </w:r>
    <w:r w:rsidRPr="009B63B4">
      <w:rPr>
        <w:rFonts w:ascii="Times New Roman" w:hAnsi="Times New Roman"/>
        <w:sz w:val="24"/>
        <w:szCs w:val="24"/>
      </w:rPr>
      <w:fldChar w:fldCharType="separate"/>
    </w:r>
    <w:r w:rsidR="001B2C7B">
      <w:rPr>
        <w:rFonts w:ascii="Times New Roman" w:hAnsi="Times New Roman"/>
        <w:noProof/>
        <w:sz w:val="24"/>
        <w:szCs w:val="24"/>
      </w:rPr>
      <w:t>- 2 -</w:t>
    </w:r>
    <w:r w:rsidRPr="009B63B4">
      <w:rPr>
        <w:rFonts w:ascii="Times New Roman" w:hAnsi="Times New Roman"/>
        <w:sz w:val="24"/>
        <w:szCs w:val="24"/>
      </w:rPr>
      <w:fldChar w:fldCharType="end"/>
    </w:r>
  </w:p>
  <w:p w:rsidR="00233A55" w:rsidRDefault="00233A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32DB"/>
    <w:multiLevelType w:val="hybridMultilevel"/>
    <w:tmpl w:val="ACBA0B8A"/>
    <w:lvl w:ilvl="0" w:tplc="7944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EB1D92"/>
    <w:multiLevelType w:val="hybridMultilevel"/>
    <w:tmpl w:val="ACBA0B8A"/>
    <w:lvl w:ilvl="0" w:tplc="7944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177A1"/>
    <w:multiLevelType w:val="hybridMultilevel"/>
    <w:tmpl w:val="55700E06"/>
    <w:lvl w:ilvl="0" w:tplc="43C2B6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A9019A"/>
    <w:multiLevelType w:val="hybridMultilevel"/>
    <w:tmpl w:val="4EB4A0A2"/>
    <w:lvl w:ilvl="0" w:tplc="29A27B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93464"/>
    <w:multiLevelType w:val="hybridMultilevel"/>
    <w:tmpl w:val="20CEFA74"/>
    <w:lvl w:ilvl="0" w:tplc="606CA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FA"/>
    <w:rsid w:val="0002723E"/>
    <w:rsid w:val="0010194B"/>
    <w:rsid w:val="001B109E"/>
    <w:rsid w:val="001B2C7B"/>
    <w:rsid w:val="001C6DAD"/>
    <w:rsid w:val="00233A55"/>
    <w:rsid w:val="00271090"/>
    <w:rsid w:val="00350C3D"/>
    <w:rsid w:val="003B3A4D"/>
    <w:rsid w:val="003D1953"/>
    <w:rsid w:val="003E5660"/>
    <w:rsid w:val="003F2B00"/>
    <w:rsid w:val="004650CA"/>
    <w:rsid w:val="004842A1"/>
    <w:rsid w:val="004E71FA"/>
    <w:rsid w:val="00514787"/>
    <w:rsid w:val="00544FF0"/>
    <w:rsid w:val="00574D34"/>
    <w:rsid w:val="005777C8"/>
    <w:rsid w:val="00591820"/>
    <w:rsid w:val="005C2FED"/>
    <w:rsid w:val="005F5CEB"/>
    <w:rsid w:val="006A07E7"/>
    <w:rsid w:val="006E2D8C"/>
    <w:rsid w:val="0071720F"/>
    <w:rsid w:val="0072184D"/>
    <w:rsid w:val="00724920"/>
    <w:rsid w:val="0075362C"/>
    <w:rsid w:val="00754D99"/>
    <w:rsid w:val="00846721"/>
    <w:rsid w:val="00873C8A"/>
    <w:rsid w:val="00883410"/>
    <w:rsid w:val="0088552F"/>
    <w:rsid w:val="00891DB7"/>
    <w:rsid w:val="00892F7A"/>
    <w:rsid w:val="008D6556"/>
    <w:rsid w:val="00944953"/>
    <w:rsid w:val="00961B7C"/>
    <w:rsid w:val="00985A48"/>
    <w:rsid w:val="009978F3"/>
    <w:rsid w:val="009B63B4"/>
    <w:rsid w:val="009F4AEA"/>
    <w:rsid w:val="00A033B2"/>
    <w:rsid w:val="00A10CC4"/>
    <w:rsid w:val="00A34421"/>
    <w:rsid w:val="00A4107A"/>
    <w:rsid w:val="00A72317"/>
    <w:rsid w:val="00A95903"/>
    <w:rsid w:val="00AB4F90"/>
    <w:rsid w:val="00AE13DD"/>
    <w:rsid w:val="00AE4CFB"/>
    <w:rsid w:val="00B70B3B"/>
    <w:rsid w:val="00B8612C"/>
    <w:rsid w:val="00B87285"/>
    <w:rsid w:val="00BA20B9"/>
    <w:rsid w:val="00BF5DAD"/>
    <w:rsid w:val="00C31F0D"/>
    <w:rsid w:val="00C34313"/>
    <w:rsid w:val="00C937BB"/>
    <w:rsid w:val="00CA4A86"/>
    <w:rsid w:val="00CB2A7A"/>
    <w:rsid w:val="00D53691"/>
    <w:rsid w:val="00D961CF"/>
    <w:rsid w:val="00E2559E"/>
    <w:rsid w:val="00E316AC"/>
    <w:rsid w:val="00E641C5"/>
    <w:rsid w:val="00E96B9A"/>
    <w:rsid w:val="00F13CF7"/>
    <w:rsid w:val="00F27E0D"/>
    <w:rsid w:val="00F33FD5"/>
    <w:rsid w:val="00F80645"/>
    <w:rsid w:val="00F93452"/>
    <w:rsid w:val="00F94A9D"/>
    <w:rsid w:val="00FA3710"/>
    <w:rsid w:val="00FB6CF1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4E71F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C6DAD"/>
    <w:pPr>
      <w:widowControl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C6DAD"/>
    <w:pPr>
      <w:widowControl w:val="0"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C6DAD"/>
    <w:pPr>
      <w:widowControl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C6DAD"/>
    <w:pPr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C6DAD"/>
    <w:pPr>
      <w:keepNext/>
      <w:autoSpaceDE w:val="0"/>
      <w:autoSpaceDN w:val="0"/>
      <w:spacing w:after="120" w:line="240" w:lineRule="auto"/>
      <w:jc w:val="center"/>
      <w:outlineLvl w:val="4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C6DAD"/>
    <w:pPr>
      <w:keepNext/>
      <w:spacing w:after="0" w:line="240" w:lineRule="auto"/>
      <w:jc w:val="center"/>
      <w:outlineLvl w:val="5"/>
    </w:pPr>
    <w:rPr>
      <w:rFonts w:ascii="Times New Roman" w:hAnsi="Times New Roman"/>
      <w:b/>
      <w:spacing w:val="100"/>
      <w:sz w:val="36"/>
      <w:szCs w:val="3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C6DAD"/>
    <w:pPr>
      <w:keepNext/>
      <w:autoSpaceDE w:val="0"/>
      <w:autoSpaceDN w:val="0"/>
      <w:spacing w:after="0" w:line="240" w:lineRule="auto"/>
      <w:outlineLvl w:val="7"/>
    </w:pPr>
    <w:rPr>
      <w:rFonts w:ascii="Times New Roman" w:hAnsi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C6DAD"/>
    <w:rPr>
      <w:rFonts w:ascii="Times New Roman" w:hAnsi="Times New Roman" w:cs="Times New Roman"/>
      <w:b/>
      <w:sz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C6DAD"/>
    <w:rPr>
      <w:rFonts w:ascii="Times New Roman" w:hAnsi="Times New Roman" w:cs="Times New Roman"/>
      <w:b/>
      <w:spacing w:val="100"/>
      <w:sz w:val="3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C6DAD"/>
    <w:rPr>
      <w:rFonts w:ascii="Times New Roman" w:hAnsi="Times New Roman" w:cs="Times New Roman"/>
      <w:sz w:val="28"/>
    </w:rPr>
  </w:style>
  <w:style w:type="paragraph" w:customStyle="1" w:styleId="Styl2">
    <w:name w:val="Styl2"/>
    <w:basedOn w:val="Normln"/>
    <w:link w:val="Styl2Char"/>
    <w:uiPriority w:val="99"/>
    <w:rsid w:val="001C6DAD"/>
    <w:pPr>
      <w:tabs>
        <w:tab w:val="right" w:leader="dot" w:pos="9060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Styl2Char">
    <w:name w:val="Styl2 Char"/>
    <w:link w:val="Styl2"/>
    <w:uiPriority w:val="99"/>
    <w:locked/>
    <w:rsid w:val="001C6DAD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99"/>
    <w:rsid w:val="001C6DAD"/>
    <w:pPr>
      <w:tabs>
        <w:tab w:val="right" w:leader="dot" w:pos="9060"/>
      </w:tabs>
      <w:spacing w:after="0" w:line="240" w:lineRule="auto"/>
    </w:pPr>
    <w:rPr>
      <w:rFonts w:ascii="Times New Roman" w:hAnsi="Times New Roman"/>
      <w:bCs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99"/>
    <w:rsid w:val="001C6DAD"/>
    <w:pPr>
      <w:tabs>
        <w:tab w:val="right" w:leader="dot" w:pos="9060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1C6DAD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1C6DAD"/>
    <w:pPr>
      <w:spacing w:after="0" w:line="240" w:lineRule="auto"/>
      <w:ind w:left="708"/>
    </w:pPr>
    <w:rPr>
      <w:rFonts w:ascii="Times New Roman" w:hAnsi="Times New Roman"/>
      <w:sz w:val="24"/>
      <w:szCs w:val="20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1C6DAD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4E71F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71FA"/>
    <w:rPr>
      <w:rFonts w:ascii="Times New Roman" w:hAnsi="Times New Roman" w:cs="Times New Roman"/>
      <w:sz w:val="26"/>
    </w:rPr>
  </w:style>
  <w:style w:type="character" w:styleId="Znakapoznpodarou">
    <w:name w:val="footnote reference"/>
    <w:basedOn w:val="Standardnpsmoodstavce"/>
    <w:uiPriority w:val="99"/>
    <w:semiHidden/>
    <w:rsid w:val="004E71F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5147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B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B63B4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9B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B63B4"/>
    <w:rPr>
      <w:rFonts w:cs="Times New Roman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A07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96B9A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6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96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4E71F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C6DAD"/>
    <w:pPr>
      <w:widowControl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C6DAD"/>
    <w:pPr>
      <w:widowControl w:val="0"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C6DAD"/>
    <w:pPr>
      <w:widowControl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C6DAD"/>
    <w:pPr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C6DAD"/>
    <w:pPr>
      <w:keepNext/>
      <w:autoSpaceDE w:val="0"/>
      <w:autoSpaceDN w:val="0"/>
      <w:spacing w:after="120" w:line="240" w:lineRule="auto"/>
      <w:jc w:val="center"/>
      <w:outlineLvl w:val="4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C6DAD"/>
    <w:pPr>
      <w:keepNext/>
      <w:spacing w:after="0" w:line="240" w:lineRule="auto"/>
      <w:jc w:val="center"/>
      <w:outlineLvl w:val="5"/>
    </w:pPr>
    <w:rPr>
      <w:rFonts w:ascii="Times New Roman" w:hAnsi="Times New Roman"/>
      <w:b/>
      <w:spacing w:val="100"/>
      <w:sz w:val="36"/>
      <w:szCs w:val="3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C6DAD"/>
    <w:pPr>
      <w:keepNext/>
      <w:autoSpaceDE w:val="0"/>
      <w:autoSpaceDN w:val="0"/>
      <w:spacing w:after="0" w:line="240" w:lineRule="auto"/>
      <w:outlineLvl w:val="7"/>
    </w:pPr>
    <w:rPr>
      <w:rFonts w:ascii="Times New Roman" w:hAnsi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C6DAD"/>
    <w:rPr>
      <w:rFonts w:ascii="Times New Roman" w:hAnsi="Times New Roman" w:cs="Times New Roman"/>
      <w:b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C6DAD"/>
    <w:rPr>
      <w:rFonts w:ascii="Times New Roman" w:hAnsi="Times New Roman" w:cs="Times New Roman"/>
      <w:b/>
      <w:sz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C6DAD"/>
    <w:rPr>
      <w:rFonts w:ascii="Times New Roman" w:hAnsi="Times New Roman" w:cs="Times New Roman"/>
      <w:b/>
      <w:spacing w:val="100"/>
      <w:sz w:val="3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C6DAD"/>
    <w:rPr>
      <w:rFonts w:ascii="Times New Roman" w:hAnsi="Times New Roman" w:cs="Times New Roman"/>
      <w:sz w:val="28"/>
    </w:rPr>
  </w:style>
  <w:style w:type="paragraph" w:customStyle="1" w:styleId="Styl2">
    <w:name w:val="Styl2"/>
    <w:basedOn w:val="Normln"/>
    <w:link w:val="Styl2Char"/>
    <w:uiPriority w:val="99"/>
    <w:rsid w:val="001C6DAD"/>
    <w:pPr>
      <w:tabs>
        <w:tab w:val="right" w:leader="dot" w:pos="9060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Styl2Char">
    <w:name w:val="Styl2 Char"/>
    <w:link w:val="Styl2"/>
    <w:uiPriority w:val="99"/>
    <w:locked/>
    <w:rsid w:val="001C6DAD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99"/>
    <w:rsid w:val="001C6DAD"/>
    <w:pPr>
      <w:tabs>
        <w:tab w:val="right" w:leader="dot" w:pos="9060"/>
      </w:tabs>
      <w:spacing w:after="0" w:line="240" w:lineRule="auto"/>
    </w:pPr>
    <w:rPr>
      <w:rFonts w:ascii="Times New Roman" w:hAnsi="Times New Roman"/>
      <w:bCs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99"/>
    <w:rsid w:val="001C6DAD"/>
    <w:pPr>
      <w:tabs>
        <w:tab w:val="right" w:leader="dot" w:pos="9060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1C6DAD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1C6DAD"/>
    <w:pPr>
      <w:spacing w:after="0" w:line="240" w:lineRule="auto"/>
      <w:ind w:left="708"/>
    </w:pPr>
    <w:rPr>
      <w:rFonts w:ascii="Times New Roman" w:hAnsi="Times New Roman"/>
      <w:sz w:val="24"/>
      <w:szCs w:val="20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1C6DAD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4E71F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E71FA"/>
    <w:rPr>
      <w:rFonts w:ascii="Times New Roman" w:hAnsi="Times New Roman" w:cs="Times New Roman"/>
      <w:sz w:val="26"/>
    </w:rPr>
  </w:style>
  <w:style w:type="character" w:styleId="Znakapoznpodarou">
    <w:name w:val="footnote reference"/>
    <w:basedOn w:val="Standardnpsmoodstavce"/>
    <w:uiPriority w:val="99"/>
    <w:semiHidden/>
    <w:rsid w:val="004E71F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5147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B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B63B4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9B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B63B4"/>
    <w:rPr>
      <w:rFonts w:cs="Times New Roman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A07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96B9A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6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96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GFŘ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Miková Marie Ing. (GFŘ)</dc:creator>
  <cp:lastModifiedBy>Serbus Josef Mgr.</cp:lastModifiedBy>
  <cp:revision>2</cp:revision>
  <cp:lastPrinted>2016-02-19T10:26:00Z</cp:lastPrinted>
  <dcterms:created xsi:type="dcterms:W3CDTF">2016-10-03T10:45:00Z</dcterms:created>
  <dcterms:modified xsi:type="dcterms:W3CDTF">2016-10-03T10:45:00Z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0x010100F38E1D42460D124E8EC4084260E8E4DF</vt:lpwstr>
  </property>
  <property fmtid="{D5CDD505-2E9C-101B-9397-08002B2CF9AE}" pid="3" name="Datum">
    <vt:lpwstr>2016-02-04T00:00:00Z</vt:lpwstr>
  </property>
  <property fmtid="{D5CDD505-2E9C-101B-9397-08002B2CF9AE}" pid="4" name="Odbor">
    <vt:lpwstr/>
  </property>
</Properties>
</file>