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BB" w:rsidRPr="003C06BB" w:rsidRDefault="003C06BB" w:rsidP="00441FAD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3C06BB">
        <w:rPr>
          <w:rFonts w:asciiTheme="minorHAnsi" w:hAnsiTheme="minorHAnsi"/>
          <w:b/>
          <w:bCs/>
          <w:sz w:val="40"/>
          <w:szCs w:val="40"/>
        </w:rPr>
        <w:t>R</w:t>
      </w:r>
      <w:r>
        <w:rPr>
          <w:rFonts w:asciiTheme="minorHAnsi" w:hAnsiTheme="minorHAnsi"/>
          <w:b/>
          <w:bCs/>
          <w:sz w:val="40"/>
          <w:szCs w:val="40"/>
        </w:rPr>
        <w:t>ámcová kupní smlouv</w:t>
      </w:r>
      <w:r w:rsidR="00441FAD">
        <w:rPr>
          <w:rFonts w:asciiTheme="minorHAnsi" w:hAnsiTheme="minorHAnsi"/>
          <w:b/>
          <w:bCs/>
          <w:sz w:val="40"/>
          <w:szCs w:val="40"/>
        </w:rPr>
        <w:t>a</w:t>
      </w:r>
    </w:p>
    <w:p w:rsidR="003C06BB" w:rsidRPr="003C06BB" w:rsidRDefault="003C06BB" w:rsidP="003C06BB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</w:t>
      </w:r>
      <w:r w:rsidRPr="003C06BB">
        <w:rPr>
          <w:rFonts w:asciiTheme="minorHAnsi" w:hAnsiTheme="minorHAnsi"/>
          <w:b/>
          <w:bCs/>
          <w:sz w:val="24"/>
          <w:szCs w:val="24"/>
        </w:rPr>
        <w:t xml:space="preserve">le ustanovení § 2079 a násl. zákona č. zákona č. 89/2012 Sb. občanského zákoníku </w:t>
      </w:r>
    </w:p>
    <w:p w:rsidR="003C06BB" w:rsidRPr="003C06BB" w:rsidRDefault="003C06BB" w:rsidP="003C06BB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C06BB">
        <w:rPr>
          <w:rFonts w:asciiTheme="minorHAnsi" w:hAnsiTheme="minorHAnsi"/>
          <w:b/>
          <w:bCs/>
          <w:sz w:val="24"/>
          <w:szCs w:val="24"/>
        </w:rPr>
        <w:t>(dále jen „NOZ“)</w:t>
      </w:r>
    </w:p>
    <w:p w:rsidR="003C06BB" w:rsidRPr="002D199D" w:rsidRDefault="003C06BB" w:rsidP="003C06BB">
      <w:pPr>
        <w:rPr>
          <w:rFonts w:asciiTheme="minorHAnsi" w:hAnsiTheme="minorHAnsi"/>
          <w:sz w:val="22"/>
          <w:szCs w:val="22"/>
        </w:rPr>
      </w:pPr>
    </w:p>
    <w:p w:rsidR="003C06BB" w:rsidRDefault="003C06BB" w:rsidP="003C06BB">
      <w:pPr>
        <w:rPr>
          <w:rFonts w:asciiTheme="minorHAnsi" w:hAnsiTheme="minorHAnsi"/>
        </w:rPr>
      </w:pPr>
      <w:r w:rsidRPr="002D199D">
        <w:rPr>
          <w:rFonts w:asciiTheme="minorHAnsi" w:hAnsiTheme="minorHAnsi"/>
        </w:rPr>
        <w:t>Smluvní strany</w:t>
      </w:r>
    </w:p>
    <w:p w:rsidR="004648A6" w:rsidRPr="002D199D" w:rsidRDefault="004648A6" w:rsidP="003C06BB">
      <w:pPr>
        <w:rPr>
          <w:rFonts w:asciiTheme="minorHAnsi" w:hAnsiTheme="minorHAnsi"/>
        </w:rPr>
      </w:pPr>
    </w:p>
    <w:p w:rsidR="00685062" w:rsidRPr="004648A6" w:rsidRDefault="00685062" w:rsidP="004648A6">
      <w:pPr>
        <w:rPr>
          <w:rFonts w:asciiTheme="minorHAnsi" w:hAnsiTheme="minorHAnsi"/>
          <w:b/>
          <w:bCs/>
        </w:rPr>
      </w:pPr>
      <w:r w:rsidRPr="002D199D">
        <w:rPr>
          <w:rFonts w:asciiTheme="minorHAnsi" w:hAnsiTheme="minorHAnsi"/>
          <w:b/>
          <w:bCs/>
        </w:rPr>
        <w:t>Prodávající:</w:t>
      </w:r>
      <w:r w:rsidR="003C06BB" w:rsidRPr="002D199D">
        <w:rPr>
          <w:rFonts w:asciiTheme="minorHAnsi" w:hAnsiTheme="minorHAnsi"/>
          <w:b/>
          <w:bCs/>
        </w:rPr>
        <w:t xml:space="preserve">  </w:t>
      </w:r>
    </w:p>
    <w:p w:rsidR="00685062" w:rsidRPr="002D199D" w:rsidRDefault="00685062" w:rsidP="00685062">
      <w:pPr>
        <w:rPr>
          <w:rFonts w:asciiTheme="minorHAnsi" w:hAnsiTheme="minorHAnsi"/>
        </w:rPr>
      </w:pPr>
      <w:r w:rsidRPr="002D199D">
        <w:rPr>
          <w:rFonts w:asciiTheme="minorHAnsi" w:hAnsiTheme="minorHAnsi"/>
        </w:rPr>
        <w:t>Obchodní společnost:</w:t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  <w:t>Nakladatelství Fraus, s.r.o.</w:t>
      </w:r>
    </w:p>
    <w:p w:rsidR="00685062" w:rsidRPr="002D199D" w:rsidRDefault="00685062" w:rsidP="00685062">
      <w:pPr>
        <w:rPr>
          <w:rFonts w:asciiTheme="minorHAnsi" w:hAnsiTheme="minorHAnsi"/>
        </w:rPr>
      </w:pPr>
      <w:r w:rsidRPr="002D199D">
        <w:rPr>
          <w:rFonts w:asciiTheme="minorHAnsi" w:hAnsiTheme="minorHAnsi"/>
        </w:rPr>
        <w:t>Sídlo:</w:t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  <w:t>Edvarda Beneše 2438/72, 301 00 Plzeň</w:t>
      </w:r>
    </w:p>
    <w:p w:rsidR="00685062" w:rsidRPr="002D199D" w:rsidRDefault="00685062" w:rsidP="00685062">
      <w:pPr>
        <w:rPr>
          <w:rFonts w:asciiTheme="minorHAnsi" w:hAnsiTheme="minorHAnsi"/>
        </w:rPr>
      </w:pPr>
      <w:r w:rsidRPr="002D199D">
        <w:rPr>
          <w:rFonts w:asciiTheme="minorHAnsi" w:hAnsiTheme="minorHAnsi"/>
        </w:rPr>
        <w:t>Vedená v obchodním rejstříku:</w:t>
      </w:r>
      <w:r w:rsidRPr="002D199D">
        <w:rPr>
          <w:rFonts w:asciiTheme="minorHAnsi" w:hAnsiTheme="minorHAnsi"/>
        </w:rPr>
        <w:tab/>
        <w:t>Krajský soud v Plzni, spisová značka C 17951</w:t>
      </w:r>
    </w:p>
    <w:p w:rsidR="00685062" w:rsidRPr="002D199D" w:rsidRDefault="00685062" w:rsidP="00685062">
      <w:pPr>
        <w:rPr>
          <w:rFonts w:asciiTheme="minorHAnsi" w:hAnsiTheme="minorHAnsi"/>
        </w:rPr>
      </w:pPr>
      <w:r w:rsidRPr="002D199D">
        <w:rPr>
          <w:rFonts w:asciiTheme="minorHAnsi" w:hAnsiTheme="minorHAnsi"/>
        </w:rPr>
        <w:t>IČ:</w:t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</w:r>
    </w:p>
    <w:p w:rsidR="00685062" w:rsidRPr="002D199D" w:rsidRDefault="00685062" w:rsidP="00685062">
      <w:pPr>
        <w:rPr>
          <w:rFonts w:asciiTheme="minorHAnsi" w:hAnsiTheme="minorHAnsi"/>
        </w:rPr>
      </w:pPr>
      <w:r w:rsidRPr="002D199D">
        <w:rPr>
          <w:rFonts w:asciiTheme="minorHAnsi" w:hAnsiTheme="minorHAnsi"/>
        </w:rPr>
        <w:t>DIČ:</w:t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</w:r>
    </w:p>
    <w:p w:rsidR="00685062" w:rsidRPr="002D199D" w:rsidRDefault="00685062" w:rsidP="00685062">
      <w:pPr>
        <w:rPr>
          <w:rFonts w:asciiTheme="minorHAnsi" w:hAnsiTheme="minorHAnsi"/>
          <w:snapToGrid w:val="0"/>
        </w:rPr>
      </w:pPr>
      <w:r w:rsidRPr="002D199D">
        <w:rPr>
          <w:rFonts w:asciiTheme="minorHAnsi" w:hAnsiTheme="minorHAnsi"/>
          <w:snapToGrid w:val="0"/>
        </w:rPr>
        <w:t>Bankovní spojení:</w:t>
      </w:r>
      <w:r w:rsidRPr="002D199D">
        <w:rPr>
          <w:rFonts w:asciiTheme="minorHAnsi" w:hAnsiTheme="minorHAnsi"/>
          <w:snapToGrid w:val="0"/>
        </w:rPr>
        <w:tab/>
      </w:r>
      <w:r w:rsidRPr="002D199D">
        <w:rPr>
          <w:rFonts w:asciiTheme="minorHAnsi" w:hAnsiTheme="minorHAnsi"/>
          <w:snapToGrid w:val="0"/>
        </w:rPr>
        <w:tab/>
      </w:r>
    </w:p>
    <w:p w:rsidR="00685062" w:rsidRPr="002D199D" w:rsidRDefault="00685062" w:rsidP="00685062">
      <w:pPr>
        <w:rPr>
          <w:rFonts w:asciiTheme="minorHAnsi" w:hAnsiTheme="minorHAnsi"/>
          <w:snapToGrid w:val="0"/>
        </w:rPr>
      </w:pPr>
      <w:r w:rsidRPr="002D199D">
        <w:rPr>
          <w:rFonts w:asciiTheme="minorHAnsi" w:hAnsiTheme="minorHAnsi"/>
          <w:snapToGrid w:val="0"/>
        </w:rPr>
        <w:t>Zastoupená:</w:t>
      </w:r>
      <w:r w:rsidRPr="002D199D">
        <w:rPr>
          <w:rFonts w:asciiTheme="minorHAnsi" w:hAnsiTheme="minorHAnsi"/>
          <w:snapToGrid w:val="0"/>
        </w:rPr>
        <w:tab/>
      </w:r>
      <w:r w:rsidRPr="002D199D">
        <w:rPr>
          <w:rFonts w:asciiTheme="minorHAnsi" w:hAnsiTheme="minorHAnsi"/>
          <w:snapToGrid w:val="0"/>
        </w:rPr>
        <w:tab/>
      </w:r>
      <w:r w:rsidRPr="002D199D">
        <w:rPr>
          <w:rFonts w:asciiTheme="minorHAnsi" w:hAnsiTheme="minorHAnsi"/>
          <w:snapToGrid w:val="0"/>
        </w:rPr>
        <w:tab/>
      </w:r>
    </w:p>
    <w:p w:rsidR="00685062" w:rsidRPr="002D199D" w:rsidRDefault="00685062" w:rsidP="00685062">
      <w:pPr>
        <w:rPr>
          <w:rFonts w:asciiTheme="minorHAnsi" w:hAnsiTheme="minorHAnsi"/>
          <w:snapToGrid w:val="0"/>
        </w:rPr>
      </w:pPr>
      <w:r w:rsidRPr="002D199D">
        <w:rPr>
          <w:rFonts w:asciiTheme="minorHAnsi" w:hAnsiTheme="minorHAnsi"/>
          <w:snapToGrid w:val="0"/>
        </w:rPr>
        <w:t>E-mail:</w:t>
      </w:r>
      <w:r w:rsidRPr="002D199D">
        <w:rPr>
          <w:rFonts w:asciiTheme="minorHAnsi" w:hAnsiTheme="minorHAnsi"/>
          <w:snapToGrid w:val="0"/>
        </w:rPr>
        <w:tab/>
      </w:r>
      <w:r w:rsidRPr="002D199D">
        <w:rPr>
          <w:rFonts w:asciiTheme="minorHAnsi" w:hAnsiTheme="minorHAnsi"/>
          <w:snapToGrid w:val="0"/>
        </w:rPr>
        <w:tab/>
      </w:r>
      <w:r w:rsidRPr="002D199D">
        <w:rPr>
          <w:rFonts w:asciiTheme="minorHAnsi" w:hAnsiTheme="minorHAnsi"/>
          <w:snapToGrid w:val="0"/>
        </w:rPr>
        <w:tab/>
      </w:r>
      <w:r w:rsidRPr="002D199D">
        <w:rPr>
          <w:rFonts w:asciiTheme="minorHAnsi" w:hAnsiTheme="minorHAnsi"/>
          <w:snapToGrid w:val="0"/>
        </w:rPr>
        <w:tab/>
      </w:r>
    </w:p>
    <w:p w:rsidR="003C06BB" w:rsidRPr="002D199D" w:rsidRDefault="003C06BB" w:rsidP="003C06BB">
      <w:pPr>
        <w:rPr>
          <w:rFonts w:asciiTheme="minorHAnsi" w:hAnsiTheme="minorHAnsi"/>
        </w:rPr>
      </w:pPr>
      <w:r w:rsidRPr="002D199D">
        <w:rPr>
          <w:rFonts w:asciiTheme="minorHAnsi" w:hAnsiTheme="minorHAnsi"/>
        </w:rPr>
        <w:tab/>
      </w:r>
      <w:r w:rsidRPr="002D199D">
        <w:rPr>
          <w:rFonts w:asciiTheme="minorHAnsi" w:hAnsiTheme="minorHAnsi"/>
        </w:rPr>
        <w:tab/>
        <w:t xml:space="preserve">     </w:t>
      </w:r>
    </w:p>
    <w:p w:rsidR="003C06BB" w:rsidRPr="002D199D" w:rsidRDefault="003C06BB" w:rsidP="003C06BB">
      <w:pPr>
        <w:ind w:left="1701" w:hanging="1701"/>
        <w:rPr>
          <w:rFonts w:asciiTheme="minorHAnsi" w:hAnsiTheme="minorHAnsi"/>
          <w:b/>
          <w:bCs/>
        </w:rPr>
      </w:pPr>
    </w:p>
    <w:p w:rsidR="003C06BB" w:rsidRPr="002E0433" w:rsidRDefault="003C06BB" w:rsidP="003C06BB">
      <w:pPr>
        <w:ind w:left="1701" w:hanging="1701"/>
        <w:rPr>
          <w:rFonts w:asciiTheme="minorHAnsi" w:hAnsiTheme="minorHAnsi"/>
          <w:b/>
          <w:bCs/>
        </w:rPr>
      </w:pPr>
    </w:p>
    <w:p w:rsidR="00685062" w:rsidRPr="002E0433" w:rsidRDefault="002D199D" w:rsidP="003C06BB">
      <w:pPr>
        <w:ind w:left="1701" w:hanging="1701"/>
        <w:rPr>
          <w:rFonts w:asciiTheme="minorHAnsi" w:hAnsiTheme="minorHAnsi"/>
          <w:b/>
          <w:bCs/>
        </w:rPr>
      </w:pPr>
      <w:r w:rsidRPr="002E0433">
        <w:rPr>
          <w:rFonts w:asciiTheme="minorHAnsi" w:hAnsiTheme="minorHAnsi"/>
          <w:b/>
          <w:bCs/>
        </w:rPr>
        <w:t>Kupující</w:t>
      </w:r>
      <w:r w:rsidR="003C06BB" w:rsidRPr="002E0433">
        <w:rPr>
          <w:rFonts w:asciiTheme="minorHAnsi" w:hAnsiTheme="minorHAnsi"/>
          <w:b/>
          <w:bCs/>
        </w:rPr>
        <w:t>:</w:t>
      </w:r>
      <w:r w:rsidR="003C06BB" w:rsidRPr="002E0433">
        <w:rPr>
          <w:rFonts w:asciiTheme="minorHAnsi" w:hAnsiTheme="minorHAnsi"/>
          <w:b/>
          <w:bCs/>
        </w:rPr>
        <w:tab/>
      </w:r>
    </w:p>
    <w:p w:rsidR="00685062" w:rsidRPr="008844BD" w:rsidRDefault="008844BD" w:rsidP="00685062">
      <w:pPr>
        <w:rPr>
          <w:rFonts w:asciiTheme="minorHAnsi" w:hAnsiTheme="minorHAnsi"/>
        </w:rPr>
      </w:pPr>
      <w:r>
        <w:rPr>
          <w:rFonts w:asciiTheme="minorHAnsi" w:hAnsiTheme="minorHAnsi"/>
        </w:rPr>
        <w:t>Škola</w:t>
      </w:r>
      <w:r w:rsidR="00685062" w:rsidRPr="002E0433">
        <w:rPr>
          <w:rFonts w:asciiTheme="minorHAnsi" w:hAnsiTheme="minorHAnsi"/>
        </w:rPr>
        <w:t xml:space="preserve">: </w:t>
      </w:r>
      <w:r w:rsidR="00685062" w:rsidRPr="002E0433">
        <w:rPr>
          <w:rFonts w:asciiTheme="minorHAnsi" w:hAnsiTheme="minorHAnsi"/>
        </w:rPr>
        <w:tab/>
      </w:r>
      <w:r w:rsidR="002E0433" w:rsidRPr="002E0433">
        <w:rPr>
          <w:rFonts w:asciiTheme="minorHAnsi" w:hAnsiTheme="minorHAnsi"/>
        </w:rPr>
        <w:tab/>
      </w:r>
      <w:r w:rsidR="002E0433">
        <w:rPr>
          <w:rFonts w:asciiTheme="minorHAnsi" w:hAnsiTheme="minorHAnsi"/>
        </w:rPr>
        <w:tab/>
      </w:r>
      <w:r w:rsidR="004648A6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>Základní škola Mikulov, Hraničářů 617 E, příspěvková organizace</w:t>
      </w:r>
    </w:p>
    <w:p w:rsidR="00685062" w:rsidRPr="008844BD" w:rsidRDefault="00685062" w:rsidP="00685062">
      <w:pPr>
        <w:rPr>
          <w:rFonts w:asciiTheme="minorHAnsi" w:hAnsiTheme="minorHAnsi"/>
        </w:rPr>
      </w:pPr>
      <w:r w:rsidRPr="008844BD">
        <w:rPr>
          <w:rFonts w:asciiTheme="minorHAnsi" w:hAnsiTheme="minorHAnsi"/>
        </w:rPr>
        <w:t>Sídlo:</w:t>
      </w:r>
      <w:r w:rsidRPr="008844BD">
        <w:rPr>
          <w:rFonts w:asciiTheme="minorHAnsi" w:hAnsiTheme="minorHAnsi"/>
        </w:rPr>
        <w:tab/>
      </w:r>
      <w:r w:rsidR="00DC720D" w:rsidRPr="008844BD">
        <w:rPr>
          <w:rFonts w:asciiTheme="minorHAnsi" w:hAnsiTheme="minorHAnsi"/>
        </w:rPr>
        <w:tab/>
      </w:r>
      <w:r w:rsidR="00DC720D" w:rsidRPr="008844BD">
        <w:rPr>
          <w:rFonts w:asciiTheme="minorHAnsi" w:hAnsiTheme="minorHAnsi"/>
        </w:rPr>
        <w:tab/>
      </w:r>
      <w:r w:rsidR="004648A6">
        <w:rPr>
          <w:rFonts w:asciiTheme="minorHAnsi" w:hAnsiTheme="minorHAnsi"/>
        </w:rPr>
        <w:tab/>
      </w:r>
      <w:r w:rsidR="008844BD" w:rsidRPr="008844BD">
        <w:rPr>
          <w:rFonts w:asciiTheme="minorHAnsi" w:hAnsiTheme="minorHAnsi"/>
        </w:rPr>
        <w:t>Hraničářů 617, 692 01 Mikulov</w:t>
      </w:r>
      <w:r w:rsidR="00DC720D" w:rsidRPr="008844BD">
        <w:rPr>
          <w:rFonts w:asciiTheme="minorHAnsi" w:hAnsiTheme="minorHAnsi"/>
        </w:rPr>
        <w:tab/>
      </w:r>
      <w:r w:rsidR="00A225DF"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</w:p>
    <w:p w:rsidR="00685062" w:rsidRPr="008844BD" w:rsidRDefault="00685062" w:rsidP="00685062">
      <w:pPr>
        <w:rPr>
          <w:rFonts w:asciiTheme="minorHAnsi" w:hAnsiTheme="minorHAnsi"/>
        </w:rPr>
      </w:pPr>
      <w:r w:rsidRPr="008844BD">
        <w:rPr>
          <w:rFonts w:asciiTheme="minorHAnsi" w:hAnsiTheme="minorHAnsi"/>
        </w:rPr>
        <w:t>IČ :</w:t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="00DC720D" w:rsidRPr="008844BD">
        <w:rPr>
          <w:rFonts w:asciiTheme="minorHAnsi" w:hAnsiTheme="minorHAnsi"/>
        </w:rPr>
        <w:tab/>
      </w:r>
      <w:r w:rsidR="004648A6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</w:p>
    <w:p w:rsidR="00685062" w:rsidRPr="008844BD" w:rsidRDefault="00685062" w:rsidP="00685062">
      <w:pPr>
        <w:rPr>
          <w:rFonts w:asciiTheme="minorHAnsi" w:hAnsiTheme="minorHAnsi"/>
        </w:rPr>
      </w:pPr>
      <w:r w:rsidRPr="008844BD">
        <w:rPr>
          <w:rFonts w:asciiTheme="minorHAnsi" w:hAnsiTheme="minorHAnsi"/>
        </w:rPr>
        <w:t>DIČ:</w:t>
      </w:r>
      <w:r w:rsidRPr="008844BD">
        <w:rPr>
          <w:rFonts w:asciiTheme="minorHAnsi" w:hAnsiTheme="minorHAnsi"/>
        </w:rPr>
        <w:tab/>
      </w:r>
      <w:r w:rsidR="00DC720D" w:rsidRPr="008844BD">
        <w:rPr>
          <w:rFonts w:asciiTheme="minorHAnsi" w:hAnsiTheme="minorHAnsi"/>
        </w:rPr>
        <w:tab/>
      </w:r>
      <w:r w:rsidR="00DC720D" w:rsidRPr="008844BD">
        <w:rPr>
          <w:rFonts w:asciiTheme="minorHAnsi" w:hAnsiTheme="minorHAnsi"/>
        </w:rPr>
        <w:tab/>
      </w:r>
      <w:r w:rsidR="004648A6">
        <w:rPr>
          <w:rFonts w:asciiTheme="minorHAnsi" w:hAnsiTheme="minorHAnsi"/>
        </w:rPr>
        <w:tab/>
      </w:r>
      <w:r w:rsidR="00DC720D"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  <w:r w:rsidRPr="008844BD">
        <w:rPr>
          <w:rFonts w:asciiTheme="minorHAnsi" w:hAnsiTheme="minorHAnsi"/>
        </w:rPr>
        <w:tab/>
      </w:r>
    </w:p>
    <w:p w:rsidR="00685062" w:rsidRPr="008844BD" w:rsidRDefault="00685062" w:rsidP="00685062">
      <w:pPr>
        <w:rPr>
          <w:rFonts w:asciiTheme="minorHAnsi" w:hAnsiTheme="minorHAnsi"/>
        </w:rPr>
      </w:pPr>
      <w:r w:rsidRPr="008844BD">
        <w:rPr>
          <w:rFonts w:asciiTheme="minorHAnsi" w:hAnsiTheme="minorHAnsi"/>
        </w:rPr>
        <w:t>Bankovní spojení:</w:t>
      </w:r>
      <w:r w:rsidRPr="008844BD">
        <w:rPr>
          <w:rFonts w:asciiTheme="minorHAnsi" w:hAnsiTheme="minorHAnsi"/>
        </w:rPr>
        <w:tab/>
      </w:r>
      <w:r w:rsidR="004648A6">
        <w:rPr>
          <w:rFonts w:asciiTheme="minorHAnsi" w:hAnsiTheme="minorHAnsi"/>
        </w:rPr>
        <w:tab/>
      </w:r>
      <w:r w:rsidR="00DC720D" w:rsidRPr="008844BD">
        <w:rPr>
          <w:rFonts w:asciiTheme="minorHAnsi" w:hAnsiTheme="minorHAnsi"/>
          <w:b/>
        </w:rPr>
        <w:tab/>
      </w:r>
    </w:p>
    <w:p w:rsidR="00685062" w:rsidRPr="002E0433" w:rsidRDefault="00685062" w:rsidP="00685062">
      <w:pPr>
        <w:rPr>
          <w:rFonts w:asciiTheme="minorHAnsi" w:hAnsiTheme="minorHAnsi"/>
        </w:rPr>
      </w:pPr>
      <w:r w:rsidRPr="008844BD">
        <w:rPr>
          <w:rFonts w:asciiTheme="minorHAnsi" w:hAnsiTheme="minorHAnsi"/>
        </w:rPr>
        <w:t>Zastoupená:</w:t>
      </w:r>
      <w:r w:rsidR="00DC720D" w:rsidRPr="008844BD">
        <w:rPr>
          <w:rFonts w:asciiTheme="minorHAnsi" w:hAnsiTheme="minorHAnsi"/>
        </w:rPr>
        <w:tab/>
      </w:r>
      <w:r w:rsidR="00DC720D" w:rsidRPr="008844BD">
        <w:rPr>
          <w:rFonts w:asciiTheme="minorHAnsi" w:hAnsiTheme="minorHAnsi"/>
        </w:rPr>
        <w:tab/>
      </w:r>
      <w:r w:rsidR="004648A6">
        <w:rPr>
          <w:rFonts w:asciiTheme="minorHAnsi" w:hAnsiTheme="minorHAnsi"/>
        </w:rPr>
        <w:tab/>
      </w:r>
    </w:p>
    <w:p w:rsidR="003C06BB" w:rsidRPr="002E0433" w:rsidRDefault="00685062" w:rsidP="00685062">
      <w:pPr>
        <w:rPr>
          <w:rFonts w:asciiTheme="minorHAnsi" w:hAnsiTheme="minorHAnsi"/>
          <w:b/>
          <w:bCs/>
        </w:rPr>
      </w:pPr>
      <w:r w:rsidRPr="002E0433">
        <w:rPr>
          <w:rFonts w:asciiTheme="minorHAnsi" w:hAnsiTheme="minorHAnsi"/>
        </w:rPr>
        <w:t>E-mail:</w:t>
      </w:r>
      <w:r w:rsidR="00DC720D" w:rsidRPr="002E0433">
        <w:rPr>
          <w:rFonts w:asciiTheme="minorHAnsi" w:hAnsiTheme="minorHAnsi"/>
        </w:rPr>
        <w:tab/>
      </w:r>
      <w:r w:rsidR="00DC720D" w:rsidRPr="002E0433">
        <w:rPr>
          <w:rFonts w:asciiTheme="minorHAnsi" w:hAnsiTheme="minorHAnsi"/>
        </w:rPr>
        <w:tab/>
      </w:r>
      <w:r w:rsidR="00DC720D" w:rsidRPr="002E0433">
        <w:rPr>
          <w:rFonts w:asciiTheme="minorHAnsi" w:hAnsiTheme="minorHAnsi"/>
        </w:rPr>
        <w:tab/>
      </w:r>
      <w:r w:rsidR="004648A6">
        <w:rPr>
          <w:rFonts w:asciiTheme="minorHAnsi" w:hAnsiTheme="minorHAnsi"/>
        </w:rPr>
        <w:tab/>
      </w:r>
      <w:bookmarkStart w:id="0" w:name="_GoBack"/>
      <w:bookmarkEnd w:id="0"/>
      <w:r w:rsidR="00DC720D" w:rsidRPr="004648A6">
        <w:rPr>
          <w:rFonts w:asciiTheme="minorHAnsi" w:hAnsiTheme="minorHAnsi"/>
        </w:rPr>
        <w:tab/>
      </w:r>
    </w:p>
    <w:p w:rsidR="003C06BB" w:rsidRPr="002E0433" w:rsidRDefault="003C06BB" w:rsidP="003C06BB">
      <w:pPr>
        <w:tabs>
          <w:tab w:val="left" w:pos="1701"/>
        </w:tabs>
        <w:rPr>
          <w:rFonts w:asciiTheme="minorHAnsi" w:hAnsiTheme="minorHAnsi"/>
        </w:rPr>
      </w:pPr>
      <w:r w:rsidRPr="002E0433">
        <w:rPr>
          <w:rFonts w:asciiTheme="minorHAnsi" w:hAnsiTheme="minorHAnsi"/>
        </w:rPr>
        <w:tab/>
        <w:t xml:space="preserve"> </w:t>
      </w:r>
      <w:r w:rsidRPr="002E0433">
        <w:rPr>
          <w:rFonts w:asciiTheme="minorHAnsi" w:hAnsiTheme="minorHAnsi"/>
          <w:bCs/>
        </w:rPr>
        <w:t xml:space="preserve"> </w:t>
      </w:r>
    </w:p>
    <w:p w:rsidR="003C06BB" w:rsidRPr="00685062" w:rsidRDefault="003C06BB" w:rsidP="003C06BB">
      <w:pPr>
        <w:rPr>
          <w:rFonts w:asciiTheme="minorHAnsi" w:hAnsiTheme="minorHAnsi"/>
          <w:b/>
          <w:bCs/>
        </w:rPr>
      </w:pPr>
    </w:p>
    <w:p w:rsidR="003C06BB" w:rsidRPr="00685062" w:rsidRDefault="003C06BB" w:rsidP="003C06BB">
      <w:pPr>
        <w:rPr>
          <w:rFonts w:asciiTheme="minorHAnsi" w:hAnsiTheme="minorHAnsi"/>
          <w:b/>
          <w:bCs/>
        </w:rPr>
      </w:pPr>
    </w:p>
    <w:p w:rsidR="003C06BB" w:rsidRPr="003E68D3" w:rsidRDefault="003C06BB" w:rsidP="003E68D3">
      <w:pPr>
        <w:pStyle w:val="Odstavecseseznamem"/>
        <w:numPr>
          <w:ilvl w:val="0"/>
          <w:numId w:val="17"/>
        </w:numPr>
        <w:jc w:val="center"/>
        <w:rPr>
          <w:rFonts w:asciiTheme="minorHAnsi" w:hAnsiTheme="minorHAnsi"/>
          <w:b/>
          <w:bCs/>
        </w:rPr>
      </w:pPr>
      <w:r w:rsidRPr="003E68D3">
        <w:rPr>
          <w:rFonts w:asciiTheme="minorHAnsi" w:hAnsiTheme="minorHAnsi"/>
          <w:b/>
          <w:bCs/>
        </w:rPr>
        <w:t>Předmět plnění a objednávání zboží</w:t>
      </w:r>
    </w:p>
    <w:p w:rsidR="003E68D3" w:rsidRPr="004648A6" w:rsidRDefault="003E68D3" w:rsidP="004648A6">
      <w:pPr>
        <w:rPr>
          <w:rFonts w:asciiTheme="minorHAnsi" w:hAnsiTheme="minorHAnsi"/>
          <w:b/>
          <w:bCs/>
        </w:rPr>
      </w:pPr>
    </w:p>
    <w:p w:rsidR="003C06BB" w:rsidRPr="00685062" w:rsidRDefault="003C06BB" w:rsidP="003D67E0">
      <w:pPr>
        <w:pStyle w:val="Zkladntext"/>
        <w:numPr>
          <w:ilvl w:val="0"/>
          <w:numId w:val="6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Prodávající se zavazuje na základě této smlouvy odevzdávat kupujícímu na základě jeho dílčích závazných objednávek zboží ze sortimentu specifikovaného v tabulce č. 1 ve sloupci popis skupiny, přílohy této smlouvy, která je její nedílnou součástí a kupující se zavazuje odevzdané zboží převzít. </w:t>
      </w:r>
    </w:p>
    <w:p w:rsidR="003C06BB" w:rsidRPr="00685062" w:rsidRDefault="003C06BB" w:rsidP="002D199D">
      <w:pPr>
        <w:pStyle w:val="Zkladntext"/>
        <w:rPr>
          <w:rFonts w:asciiTheme="minorHAnsi" w:hAnsiTheme="minorHAnsi"/>
        </w:rPr>
      </w:pPr>
    </w:p>
    <w:p w:rsidR="003C06BB" w:rsidRPr="00685062" w:rsidRDefault="00A54E1B" w:rsidP="003D67E0">
      <w:pPr>
        <w:pStyle w:val="Zkladntext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Strany této smlouvy se dohodly</w:t>
      </w:r>
      <w:r w:rsidR="003C06BB" w:rsidRPr="00685062">
        <w:rPr>
          <w:rFonts w:asciiTheme="minorHAnsi" w:hAnsiTheme="minorHAnsi"/>
        </w:rPr>
        <w:t xml:space="preserve">, že kupující bude zasílat objednávky pomocí internetového objednávkového formuláře (přístup přes registraci na </w:t>
      </w:r>
      <w:hyperlink r:id="rId8" w:history="1">
        <w:r w:rsidR="003C06BB" w:rsidRPr="00685062">
          <w:rPr>
            <w:rStyle w:val="Hypertextovodkaz"/>
            <w:rFonts w:asciiTheme="minorHAnsi" w:hAnsiTheme="minorHAnsi"/>
          </w:rPr>
          <w:t>www.fraus.cz</w:t>
        </w:r>
      </w:hyperlink>
      <w:r w:rsidR="003C06BB" w:rsidRPr="00685062">
        <w:rPr>
          <w:rFonts w:asciiTheme="minorHAnsi" w:hAnsiTheme="minorHAnsi"/>
        </w:rPr>
        <w:t xml:space="preserve">) nebo elektronicky na e-mail prodávajícího uvedený v záhlaví této smlouvy. </w:t>
      </w:r>
    </w:p>
    <w:p w:rsidR="003C06BB" w:rsidRPr="00685062" w:rsidRDefault="003C06BB" w:rsidP="002D199D">
      <w:pPr>
        <w:pStyle w:val="Zkladntext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6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Závazná objednávka kupující musí vždy obsahovat identifikační údaje kupující v rozsahu shodném s údaji kupující v záhlaví této smlouvy, místo plnění (kam má být zboží dodáno) a přesný název, EAN, příp. ISBN a počet kusů objednávaného zboží. </w:t>
      </w:r>
    </w:p>
    <w:p w:rsidR="003C06BB" w:rsidRPr="00685062" w:rsidRDefault="003C06BB" w:rsidP="002D199D">
      <w:pPr>
        <w:pStyle w:val="Zkladntext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6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Kupující je oprávněna se zaregistrovat po uzavření této smlouvy na internetových stránkách prodávající </w:t>
      </w:r>
      <w:hyperlink r:id="rId9" w:history="1">
        <w:r w:rsidRPr="00685062">
          <w:rPr>
            <w:rStyle w:val="Hypertextovodkaz"/>
            <w:rFonts w:asciiTheme="minorHAnsi" w:hAnsiTheme="minorHAnsi"/>
          </w:rPr>
          <w:t>www.fraus.cz</w:t>
        </w:r>
      </w:hyperlink>
      <w:r w:rsidRPr="00685062">
        <w:rPr>
          <w:rFonts w:asciiTheme="minorHAnsi" w:hAnsiTheme="minorHAnsi"/>
        </w:rPr>
        <w:t>, čímž získá možnost objednávat zboží pomocí internetového objednávkového formuláře.</w:t>
      </w:r>
    </w:p>
    <w:p w:rsidR="003C06BB" w:rsidRPr="00685062" w:rsidRDefault="003C06BB" w:rsidP="002D199D">
      <w:pPr>
        <w:pStyle w:val="Zkladntext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6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Prodávající je povinen potvrdit pouze přijetí objednávky uskutečněné pomocí internetového objednávkového formuláře, a to odesláním e-mailové zprávy o přijetí konkrétní objednávky na e-mail kupujícího, uvedený při registraci na internetových stránkách prodávající </w:t>
      </w:r>
      <w:hyperlink r:id="rId10" w:history="1">
        <w:r w:rsidRPr="00685062">
          <w:rPr>
            <w:rStyle w:val="Hypertextovodkaz"/>
            <w:rFonts w:asciiTheme="minorHAnsi" w:hAnsiTheme="minorHAnsi"/>
          </w:rPr>
          <w:t>www.fraus.cz</w:t>
        </w:r>
      </w:hyperlink>
      <w:r w:rsidRPr="00685062">
        <w:rPr>
          <w:rFonts w:asciiTheme="minorHAnsi" w:hAnsiTheme="minorHAnsi"/>
        </w:rPr>
        <w:t xml:space="preserve">.  </w:t>
      </w:r>
    </w:p>
    <w:p w:rsidR="003C06BB" w:rsidRPr="00685062" w:rsidRDefault="003C06BB" w:rsidP="002D199D">
      <w:pPr>
        <w:pStyle w:val="Zkladntext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6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Prodávající je oprávněn odmítnout odevzdat kupující další zboží na základě přijaté objednávky, pokud prodávající eviduje pohledávky po splatnosti za kupujícím. V tomto případě je prodávající oprávněn vystavit kupujícímu zálohovou fakturu ve výši 50 % ceny zboží včetně DPH dle objednávky kupujícího. </w:t>
      </w:r>
    </w:p>
    <w:p w:rsidR="003C06BB" w:rsidRPr="00685062" w:rsidRDefault="003C06BB" w:rsidP="002D199D">
      <w:pPr>
        <w:pStyle w:val="Zkladntext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lastRenderedPageBreak/>
        <w:t>Zboží je převzato podle této smlouvy v okamžiku, kdy ho prodávající kupující odevzdá a umožní kupující jím fyzicky nakládat v místě plnění nebo okamžikem předání externímu dopravci. Zboží je podle této smlouvy převzato i tehdy, pokud kupující řádně odevzdané zboží nepřevezme. Kupující či osoba oprávněná jednat jménem kupující je povinna písemně potvrdit převzetí dodaného zboží.</w:t>
      </w:r>
    </w:p>
    <w:p w:rsidR="003C06BB" w:rsidRPr="00685062" w:rsidRDefault="003C06BB" w:rsidP="002D199D">
      <w:pPr>
        <w:pStyle w:val="Zkladntext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6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Nebezpečí škody na zboží v případě dodání zboží kupujícímu do místa plnění vlastní dopravou prodávajícího přechází na kupujícího převzetím zboží. Nebezpečí škody na zboží v případě dodání zboží kupujícímu prostřednictvím externího dopravce přechází na kupujícího předáním zboží prvnímu dopravci pro přepravu do místa plnění. </w:t>
      </w: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3E68D3" w:rsidRDefault="003C06BB" w:rsidP="003E68D3">
      <w:pPr>
        <w:pStyle w:val="Odstavecseseznamem"/>
        <w:numPr>
          <w:ilvl w:val="0"/>
          <w:numId w:val="17"/>
        </w:numPr>
        <w:jc w:val="center"/>
        <w:rPr>
          <w:rFonts w:asciiTheme="minorHAnsi" w:hAnsiTheme="minorHAnsi"/>
          <w:b/>
          <w:bCs/>
        </w:rPr>
      </w:pPr>
      <w:r w:rsidRPr="003E68D3">
        <w:rPr>
          <w:rFonts w:asciiTheme="minorHAnsi" w:hAnsiTheme="minorHAnsi"/>
          <w:b/>
          <w:bCs/>
        </w:rPr>
        <w:t>Doba plnění</w:t>
      </w:r>
    </w:p>
    <w:p w:rsidR="003E68D3" w:rsidRPr="003E68D3" w:rsidRDefault="003E68D3" w:rsidP="003E68D3">
      <w:pPr>
        <w:pStyle w:val="Odstavecseseznamem"/>
        <w:ind w:left="1080"/>
        <w:rPr>
          <w:rFonts w:asciiTheme="minorHAnsi" w:hAnsiTheme="minorHAnsi"/>
          <w:b/>
          <w:bCs/>
        </w:rPr>
      </w:pPr>
    </w:p>
    <w:p w:rsidR="003C06BB" w:rsidRPr="002D199D" w:rsidRDefault="003C06BB" w:rsidP="003D67E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 xml:space="preserve">Prodávající se zavazuje dodat objednané zboží do místa plnění dle platných obchodních podmínek pro e-shop zveřejněných na webových stránkách </w:t>
      </w:r>
      <w:hyperlink r:id="rId11" w:history="1">
        <w:r w:rsidRPr="002D199D">
          <w:rPr>
            <w:rStyle w:val="Hypertextovodkaz"/>
            <w:rFonts w:asciiTheme="minorHAnsi" w:hAnsiTheme="minorHAnsi"/>
          </w:rPr>
          <w:t>www.fraus.cz</w:t>
        </w:r>
      </w:hyperlink>
      <w:r w:rsidRPr="002D199D">
        <w:rPr>
          <w:rFonts w:asciiTheme="minorHAnsi" w:hAnsiTheme="minorHAnsi"/>
        </w:rPr>
        <w:t xml:space="preserve">. 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3E68D3" w:rsidRDefault="003C06BB" w:rsidP="003E68D3">
      <w:pPr>
        <w:pStyle w:val="Odstavecseseznamem"/>
        <w:numPr>
          <w:ilvl w:val="0"/>
          <w:numId w:val="17"/>
        </w:numPr>
        <w:jc w:val="center"/>
        <w:rPr>
          <w:rFonts w:asciiTheme="minorHAnsi" w:hAnsiTheme="minorHAnsi"/>
          <w:b/>
          <w:bCs/>
        </w:rPr>
      </w:pPr>
      <w:r w:rsidRPr="003E68D3">
        <w:rPr>
          <w:rFonts w:asciiTheme="minorHAnsi" w:hAnsiTheme="minorHAnsi"/>
          <w:b/>
          <w:bCs/>
        </w:rPr>
        <w:t>Místo plnění, cena dopravy</w:t>
      </w:r>
    </w:p>
    <w:p w:rsidR="003E68D3" w:rsidRPr="003E68D3" w:rsidRDefault="003E68D3" w:rsidP="003E68D3">
      <w:pPr>
        <w:pStyle w:val="Odstavecseseznamem"/>
        <w:ind w:left="1080"/>
        <w:rPr>
          <w:rFonts w:asciiTheme="minorHAnsi" w:hAnsiTheme="minorHAnsi"/>
          <w:b/>
          <w:bCs/>
        </w:rPr>
      </w:pPr>
    </w:p>
    <w:p w:rsidR="003C06BB" w:rsidRPr="002D199D" w:rsidRDefault="003C06BB" w:rsidP="003D67E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Prodávající se zavazuje dodat objednané zboží do místa plnění, tj. na adresu kupujícího či jeho provozovny uvedenou v dílčí závazné objednávce</w:t>
      </w:r>
      <w:r w:rsidR="00177A2F" w:rsidRPr="002D199D">
        <w:rPr>
          <w:rFonts w:asciiTheme="minorHAnsi" w:hAnsiTheme="minorHAnsi"/>
        </w:rPr>
        <w:t xml:space="preserve"> na jeho náklady, pokud nebude dohodnuto jinak</w:t>
      </w:r>
      <w:r w:rsidRPr="002D199D">
        <w:rPr>
          <w:rFonts w:asciiTheme="minorHAnsi" w:hAnsiTheme="minorHAnsi"/>
        </w:rPr>
        <w:t xml:space="preserve">. 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Cenu za dopravu zboží do místa plnění bude prod</w:t>
      </w:r>
      <w:r w:rsidR="00B52A4F">
        <w:rPr>
          <w:rFonts w:asciiTheme="minorHAnsi" w:hAnsiTheme="minorHAnsi"/>
        </w:rPr>
        <w:t>ávajícím účtována ve výši cen u</w:t>
      </w:r>
      <w:r w:rsidRPr="002D199D">
        <w:rPr>
          <w:rFonts w:asciiTheme="minorHAnsi" w:hAnsiTheme="minorHAnsi"/>
        </w:rPr>
        <w:t xml:space="preserve">vedených v tabulce č. </w:t>
      </w:r>
      <w:r w:rsidR="003E68D3">
        <w:rPr>
          <w:rFonts w:asciiTheme="minorHAnsi" w:hAnsiTheme="minorHAnsi"/>
        </w:rPr>
        <w:t>2</w:t>
      </w:r>
      <w:r w:rsidRPr="002D199D">
        <w:rPr>
          <w:rFonts w:asciiTheme="minorHAnsi" w:hAnsiTheme="minorHAnsi"/>
        </w:rPr>
        <w:t xml:space="preserve">, přílohy této smlouvy, která je její nedílnou součástí. 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 xml:space="preserve">Prodávající je oprávněna jednostranně změnit ceny za dodání zboží prostřednictvím externího dopravce, pokud tento změní ceny za přepravu. </w:t>
      </w: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3E68D3" w:rsidRDefault="003C06BB" w:rsidP="003E68D3">
      <w:pPr>
        <w:pStyle w:val="Odstavecseseznamem"/>
        <w:numPr>
          <w:ilvl w:val="0"/>
          <w:numId w:val="17"/>
        </w:numPr>
        <w:jc w:val="center"/>
        <w:rPr>
          <w:rFonts w:asciiTheme="minorHAnsi" w:hAnsiTheme="minorHAnsi"/>
          <w:b/>
          <w:bCs/>
        </w:rPr>
      </w:pPr>
      <w:r w:rsidRPr="003E68D3">
        <w:rPr>
          <w:rFonts w:asciiTheme="minorHAnsi" w:hAnsiTheme="minorHAnsi"/>
          <w:b/>
          <w:bCs/>
        </w:rPr>
        <w:t>Stanovení kupní ceny a slev</w:t>
      </w:r>
    </w:p>
    <w:p w:rsidR="003E68D3" w:rsidRPr="003E68D3" w:rsidRDefault="003E68D3" w:rsidP="003E68D3">
      <w:pPr>
        <w:pStyle w:val="Odstavecseseznamem"/>
        <w:ind w:left="1080"/>
        <w:rPr>
          <w:rFonts w:asciiTheme="minorHAnsi" w:hAnsiTheme="minorHAnsi"/>
          <w:b/>
          <w:bCs/>
        </w:rPr>
      </w:pPr>
    </w:p>
    <w:p w:rsidR="003C06BB" w:rsidRPr="002D199D" w:rsidRDefault="003C06BB" w:rsidP="003D67E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 xml:space="preserve">Ceník zboží, tj. ceník vlastní produkce a ceník zboží dováženého od svých zahraničních obchodních partnerů stanovuje prodávající. Ceník obsahuje doporučenou prodejní cenu (DPC) a příslušnou sazbu DPH. Ceník je platný obvykle po dobu jednoho kalendářního roku, avšak prodávající je oprávněn DPC svého zboží v průběhu roku měnit. Prodávající se zavazuje provádět veškeré změny cen vždy pouze k 1. dni kalendářního měsíce. Se změnami DPC bude kupující seznámen (e-mailovou zprávou) vždy </w:t>
      </w:r>
      <w:r w:rsidR="00177A2F" w:rsidRPr="002D199D">
        <w:rPr>
          <w:rFonts w:asciiTheme="minorHAnsi" w:hAnsiTheme="minorHAnsi"/>
        </w:rPr>
        <w:t xml:space="preserve">nejpozději do </w:t>
      </w:r>
      <w:r w:rsidRPr="002D199D">
        <w:rPr>
          <w:rFonts w:asciiTheme="minorHAnsi" w:hAnsiTheme="minorHAnsi"/>
        </w:rPr>
        <w:t xml:space="preserve">30 kalendářních dní před datem, kdy ke změně doporučené ceny dochází. Kupující nese veškerou odpovědnost za přecenění zboží na prodejně.   DPC jsou zveřejňovány na webových stránkách prodávající </w:t>
      </w:r>
      <w:hyperlink r:id="rId12" w:history="1">
        <w:r w:rsidRPr="002D199D">
          <w:rPr>
            <w:rStyle w:val="Hypertextovodkaz"/>
            <w:rFonts w:asciiTheme="minorHAnsi" w:hAnsiTheme="minorHAnsi"/>
          </w:rPr>
          <w:t>www.fraus.cz</w:t>
        </w:r>
      </w:hyperlink>
      <w:r w:rsidRPr="002D199D">
        <w:rPr>
          <w:rFonts w:asciiTheme="minorHAnsi" w:hAnsiTheme="minorHAnsi"/>
        </w:rPr>
        <w:t xml:space="preserve"> formou ceníku v e-shopu. Pokud je DPC uvedena na tištěných propagačním materiálech v rozporu s ceníkem uvedeným na webových stránkách, platí aktuální ceník zde uvedený.  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Kupující se zavazuje zaplatit prodávající</w:t>
      </w:r>
      <w:r w:rsidR="00177A2F" w:rsidRPr="002D199D">
        <w:rPr>
          <w:rFonts w:asciiTheme="minorHAnsi" w:hAnsiTheme="minorHAnsi"/>
        </w:rPr>
        <w:t>mu</w:t>
      </w:r>
      <w:r w:rsidRPr="002D199D">
        <w:rPr>
          <w:rFonts w:asciiTheme="minorHAnsi" w:hAnsiTheme="minorHAnsi"/>
        </w:rPr>
        <w:t xml:space="preserve"> vyúčtovanou kupní cenu za každé objednané zboží ve výši dle platného ceníku zveřejněného prodávající</w:t>
      </w:r>
      <w:r w:rsidR="00177A2F" w:rsidRPr="002D199D">
        <w:rPr>
          <w:rFonts w:asciiTheme="minorHAnsi" w:hAnsiTheme="minorHAnsi"/>
        </w:rPr>
        <w:t>m</w:t>
      </w:r>
      <w:r w:rsidRPr="002D199D">
        <w:rPr>
          <w:rFonts w:asciiTheme="minorHAnsi" w:hAnsiTheme="minorHAnsi"/>
        </w:rPr>
        <w:t xml:space="preserve"> na internetových stránkách </w:t>
      </w:r>
      <w:hyperlink r:id="rId13" w:history="1">
        <w:r w:rsidRPr="002D199D">
          <w:rPr>
            <w:rStyle w:val="Hypertextovodkaz"/>
            <w:rFonts w:asciiTheme="minorHAnsi" w:hAnsiTheme="minorHAnsi"/>
          </w:rPr>
          <w:t>www.fraus.cz</w:t>
        </w:r>
      </w:hyperlink>
      <w:r w:rsidRPr="002D199D">
        <w:rPr>
          <w:rFonts w:asciiTheme="minorHAnsi" w:hAnsiTheme="minorHAnsi"/>
        </w:rPr>
        <w:t xml:space="preserve"> formou ceníku v e-shopu v den odeslání každé jednotlivé objednávky.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Prodávající poskytne kupujícímu slevu z doporučené kupní ceny (DPC včetně DPH) uvedené v platném ceníku zveřejněném prodávající</w:t>
      </w:r>
      <w:r w:rsidR="00177A2F" w:rsidRPr="002D199D">
        <w:rPr>
          <w:rFonts w:asciiTheme="minorHAnsi" w:hAnsiTheme="minorHAnsi"/>
        </w:rPr>
        <w:t>m</w:t>
      </w:r>
      <w:r w:rsidRPr="002D199D">
        <w:rPr>
          <w:rFonts w:asciiTheme="minorHAnsi" w:hAnsiTheme="minorHAnsi"/>
        </w:rPr>
        <w:t xml:space="preserve"> na internetových stránkách </w:t>
      </w:r>
      <w:hyperlink r:id="rId14" w:history="1">
        <w:r w:rsidRPr="002D199D">
          <w:rPr>
            <w:rStyle w:val="Hypertextovodkaz"/>
            <w:rFonts w:asciiTheme="minorHAnsi" w:hAnsiTheme="minorHAnsi"/>
          </w:rPr>
          <w:t>www.fraus.cz</w:t>
        </w:r>
      </w:hyperlink>
      <w:r w:rsidRPr="002D199D">
        <w:rPr>
          <w:rFonts w:asciiTheme="minorHAnsi" w:hAnsiTheme="minorHAnsi"/>
        </w:rPr>
        <w:t xml:space="preserve">, a to ve výši a za podmínek stanovených v tabulce č. 1., přílohy této smlouvy, která je její nedílnou součástí. 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Default="003C06BB" w:rsidP="003D67E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 xml:space="preserve">Veškeré slevy poskytované prodávajícím (základní sleva, sleva - roční obratový bonus) se odvíjejí z doporučené prodejní ceny zboží v Kč vč. DPH. Tyto DPC jsou zveřejňovány na webových stránkách </w:t>
      </w:r>
      <w:hyperlink r:id="rId15" w:history="1">
        <w:r w:rsidRPr="002D199D">
          <w:rPr>
            <w:rStyle w:val="Hypertextovodkaz"/>
            <w:rFonts w:asciiTheme="minorHAnsi" w:hAnsiTheme="minorHAnsi"/>
          </w:rPr>
          <w:t>www.fraus.cz</w:t>
        </w:r>
      </w:hyperlink>
      <w:r w:rsidRPr="002D199D">
        <w:rPr>
          <w:rFonts w:asciiTheme="minorHAnsi" w:hAnsiTheme="minorHAnsi"/>
        </w:rPr>
        <w:t xml:space="preserve"> formou ceníku v e-shopu. Pokud je DPC uvedená na tištěných propagačních materiálech (ediční plán, prospekt apod.) v rozporu s ceníkem uvedeným na webových stránkách, platí aktuální ceník zde uvedený. </w:t>
      </w:r>
    </w:p>
    <w:p w:rsidR="005A797A" w:rsidRPr="00685062" w:rsidRDefault="005A797A" w:rsidP="005A797A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Theme="minorHAnsi" w:hAnsiTheme="minorHAnsi"/>
        </w:rPr>
      </w:pPr>
      <w:r w:rsidRPr="00685062">
        <w:rPr>
          <w:rFonts w:asciiTheme="minorHAnsi" w:hAnsiTheme="minorHAnsi"/>
        </w:rPr>
        <w:t>Podmínky uvedené v příloze této rámcové kupní smlouvy (základní slevy, slevy - roční obratový bonusu, smluvní dopravné) mohou být prodávající</w:t>
      </w:r>
      <w:r>
        <w:rPr>
          <w:rFonts w:asciiTheme="minorHAnsi" w:hAnsiTheme="minorHAnsi"/>
        </w:rPr>
        <w:t>m</w:t>
      </w:r>
      <w:r w:rsidRPr="00685062">
        <w:rPr>
          <w:rFonts w:asciiTheme="minorHAnsi" w:hAnsiTheme="minorHAnsi"/>
        </w:rPr>
        <w:t xml:space="preserve"> jednostranně změněny na základě vývoje trhu a cen v průběhu platnosti </w:t>
      </w:r>
      <w:r w:rsidRPr="00685062">
        <w:rPr>
          <w:rFonts w:asciiTheme="minorHAnsi" w:hAnsiTheme="minorHAnsi"/>
        </w:rPr>
        <w:lastRenderedPageBreak/>
        <w:t>smlouvy. Nové podmínky budou ve formě nové přílohy zaslány kupující</w:t>
      </w:r>
      <w:r>
        <w:rPr>
          <w:rFonts w:asciiTheme="minorHAnsi" w:hAnsiTheme="minorHAnsi"/>
        </w:rPr>
        <w:t>mu minimálně 3 měsíce před jejich uvedením v platnost.</w:t>
      </w:r>
    </w:p>
    <w:p w:rsidR="005A797A" w:rsidRPr="002D199D" w:rsidRDefault="005A797A" w:rsidP="005A797A">
      <w:pPr>
        <w:pStyle w:val="Odstavecseseznamem"/>
        <w:jc w:val="both"/>
        <w:rPr>
          <w:rFonts w:asciiTheme="minorHAnsi" w:hAnsiTheme="minorHAnsi"/>
        </w:rPr>
      </w:pP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 xml:space="preserve">Základní slevy pro různé skupiny produktů jsou uvedeny v tabulce č. 1 přílohy této smlouvy, která je její nedílnou součástí.   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 xml:space="preserve">Kupní cena za objednané zboží bude prodávající vyúčtována jednotlivými daňovými doklady – fakturami, které budou kupující předány společně se zbožím nebo zasílány elektronicky. 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Kupující souhlasí, aby mu prodávající doručovala daňové doklady – faktury i v elektronické podobě elektronickou poštou na e-mailovou adresu kupující uvedenou záhlaví této smlouvy. V případně změny uvedené e-mailové adresy se kupující zavazuje informovat neprodleně prodávající s tím, že veškerá rizika vyplývající z neoznámení nové adresy nese kupující.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3E68D3" w:rsidRDefault="003C06BB" w:rsidP="003E68D3">
      <w:pPr>
        <w:pStyle w:val="Odstavecseseznamem"/>
        <w:numPr>
          <w:ilvl w:val="0"/>
          <w:numId w:val="17"/>
        </w:numPr>
        <w:jc w:val="center"/>
        <w:rPr>
          <w:rFonts w:asciiTheme="minorHAnsi" w:hAnsiTheme="minorHAnsi"/>
          <w:b/>
          <w:bCs/>
        </w:rPr>
      </w:pPr>
      <w:r w:rsidRPr="003E68D3">
        <w:rPr>
          <w:rFonts w:asciiTheme="minorHAnsi" w:hAnsiTheme="minorHAnsi"/>
          <w:b/>
          <w:bCs/>
        </w:rPr>
        <w:t>Splatnost kupní ceny</w:t>
      </w:r>
    </w:p>
    <w:p w:rsidR="003E68D3" w:rsidRPr="003E68D3" w:rsidRDefault="003E68D3" w:rsidP="003E68D3">
      <w:pPr>
        <w:pStyle w:val="Odstavecseseznamem"/>
        <w:ind w:left="1080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1"/>
          <w:numId w:val="11"/>
        </w:numPr>
        <w:ind w:left="720"/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Kupující se zavazuje zaplatit prodávajícímu kupní cenu v době splatnosti určené v jednotlivých daňových dokladech </w:t>
      </w:r>
      <w:r w:rsidR="00A54E1B">
        <w:rPr>
          <w:rFonts w:asciiTheme="minorHAnsi" w:hAnsiTheme="minorHAnsi"/>
        </w:rPr>
        <w:t>– faktu</w:t>
      </w:r>
      <w:r w:rsidR="00A54E1B" w:rsidRPr="00685062">
        <w:rPr>
          <w:rFonts w:asciiTheme="minorHAnsi" w:hAnsiTheme="minorHAnsi"/>
        </w:rPr>
        <w:t>rách</w:t>
      </w:r>
      <w:r w:rsidRPr="00685062">
        <w:rPr>
          <w:rFonts w:asciiTheme="minorHAnsi" w:hAnsiTheme="minorHAnsi"/>
        </w:rPr>
        <w:t xml:space="preserve"> vystavených prodávajícím. </w:t>
      </w:r>
    </w:p>
    <w:p w:rsidR="003C06BB" w:rsidRPr="00685062" w:rsidRDefault="003C06BB" w:rsidP="002D199D">
      <w:pPr>
        <w:pStyle w:val="Zkladntext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1"/>
          <w:numId w:val="11"/>
        </w:numPr>
        <w:ind w:left="720"/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Smluvní strany se dohodly na době splatnosti jednotlivých daňových dokladů – faktur v délce 14 kalendářních dnů ode dne jejich vystavení prodávající</w:t>
      </w:r>
      <w:r w:rsidR="00E41503" w:rsidRPr="002D199D">
        <w:rPr>
          <w:rFonts w:asciiTheme="minorHAnsi" w:hAnsiTheme="minorHAnsi"/>
        </w:rPr>
        <w:t>m</w:t>
      </w:r>
      <w:r w:rsidRPr="002D199D">
        <w:rPr>
          <w:rFonts w:asciiTheme="minorHAnsi" w:hAnsiTheme="minorHAnsi"/>
        </w:rPr>
        <w:t xml:space="preserve">. 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3E68D3" w:rsidRDefault="003C06BB" w:rsidP="003E68D3">
      <w:pPr>
        <w:pStyle w:val="Odstavecseseznamem"/>
        <w:numPr>
          <w:ilvl w:val="0"/>
          <w:numId w:val="17"/>
        </w:numPr>
        <w:jc w:val="center"/>
        <w:rPr>
          <w:rFonts w:asciiTheme="minorHAnsi" w:hAnsiTheme="minorHAnsi"/>
          <w:b/>
          <w:bCs/>
        </w:rPr>
      </w:pPr>
      <w:r w:rsidRPr="003E68D3">
        <w:rPr>
          <w:rFonts w:asciiTheme="minorHAnsi" w:hAnsiTheme="minorHAnsi"/>
          <w:b/>
          <w:bCs/>
        </w:rPr>
        <w:t>Výhrada vlastnického práva</w:t>
      </w:r>
    </w:p>
    <w:p w:rsidR="003E68D3" w:rsidRPr="003E68D3" w:rsidRDefault="003E68D3" w:rsidP="003E68D3">
      <w:pPr>
        <w:pStyle w:val="Odstavecseseznamem"/>
        <w:ind w:left="1080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12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Strany se dohodli, že se kupující stane vlastníkem dodaného zboží teprve úplným zaplacením kupní ceny prodávajícímu. </w:t>
      </w:r>
    </w:p>
    <w:p w:rsidR="003C06BB" w:rsidRPr="00685062" w:rsidRDefault="003C06BB" w:rsidP="003C06BB">
      <w:pPr>
        <w:pStyle w:val="Zkladntext"/>
        <w:rPr>
          <w:rFonts w:asciiTheme="minorHAnsi" w:hAnsiTheme="minorHAnsi"/>
        </w:rPr>
      </w:pPr>
    </w:p>
    <w:p w:rsidR="003C06BB" w:rsidRPr="00685062" w:rsidRDefault="003C06BB" w:rsidP="003C06BB">
      <w:pPr>
        <w:pStyle w:val="Zkladntext"/>
        <w:rPr>
          <w:rFonts w:asciiTheme="minorHAnsi" w:hAnsiTheme="minorHAnsi"/>
        </w:rPr>
      </w:pPr>
    </w:p>
    <w:p w:rsidR="003C06BB" w:rsidRPr="003E68D3" w:rsidRDefault="003C06BB" w:rsidP="003E68D3">
      <w:pPr>
        <w:pStyle w:val="Odstavecseseznamem"/>
        <w:numPr>
          <w:ilvl w:val="0"/>
          <w:numId w:val="17"/>
        </w:numPr>
        <w:jc w:val="center"/>
        <w:rPr>
          <w:rFonts w:asciiTheme="minorHAnsi" w:hAnsiTheme="minorHAnsi"/>
          <w:b/>
          <w:bCs/>
        </w:rPr>
      </w:pPr>
      <w:r w:rsidRPr="003E68D3">
        <w:rPr>
          <w:rFonts w:asciiTheme="minorHAnsi" w:hAnsiTheme="minorHAnsi"/>
          <w:b/>
          <w:bCs/>
        </w:rPr>
        <w:t>Smluvní úrok z prodlení, smluvní pokuta</w:t>
      </w:r>
    </w:p>
    <w:p w:rsidR="003E68D3" w:rsidRPr="003E68D3" w:rsidRDefault="003E68D3" w:rsidP="003E68D3">
      <w:pPr>
        <w:pStyle w:val="Odstavecseseznamem"/>
        <w:ind w:left="1080"/>
        <w:rPr>
          <w:rFonts w:asciiTheme="minorHAnsi" w:hAnsiTheme="minorHAnsi"/>
          <w:b/>
          <w:bCs/>
        </w:rPr>
      </w:pPr>
    </w:p>
    <w:p w:rsidR="003C06BB" w:rsidRPr="00685062" w:rsidRDefault="003C06BB" w:rsidP="003D67E0">
      <w:pPr>
        <w:pStyle w:val="Zkladntext"/>
        <w:numPr>
          <w:ilvl w:val="0"/>
          <w:numId w:val="13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>Pro případ prodlení kupující se zaplacením kupní ceny sjednávají strany této smlouvy smluvní úrok z prodlení ve výši dvojnásobku zákonného úroku z prodlení stanoveného nařízením vlády č. 351/2013 Sb. ve znění pozdějších předpisů.</w:t>
      </w:r>
    </w:p>
    <w:p w:rsidR="003C06BB" w:rsidRPr="00685062" w:rsidRDefault="003C06BB" w:rsidP="003C06BB">
      <w:pPr>
        <w:pStyle w:val="Zkladntext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13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Pro případ prodlení kupujícího se zaplacením kupní ceny sjednávají strany této smlouvy smluvní pokutu v dohodnuté výši 0,05 % z dlužné částky denně za každý den, kdy je kupující v prodlení s úhradou. Smluvní pokuta je splatná následující den pod ni, kdy na ni vznikl nárok. </w:t>
      </w:r>
    </w:p>
    <w:p w:rsidR="003C06BB" w:rsidRPr="00685062" w:rsidRDefault="003C06BB" w:rsidP="003C06BB">
      <w:pPr>
        <w:pStyle w:val="Zkladntext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13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Zaplacením smluvní pokuty se kupující nezbavuje povinnosti zaplatit dlužnou kupní cenu. </w:t>
      </w:r>
    </w:p>
    <w:p w:rsidR="003C06BB" w:rsidRPr="00685062" w:rsidRDefault="003C06BB" w:rsidP="003C06BB">
      <w:pPr>
        <w:pStyle w:val="Zkladntext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13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Strany této smlouvy se dohodly, že vylučují v maximálním možném rozsahu ustanovení§ 2050 zákona č. zákona č. 89/2012 Sb. občanského zákoníku ve znění pozdějších předpisů (dále občanský zákoník).  </w:t>
      </w:r>
    </w:p>
    <w:p w:rsidR="003C06BB" w:rsidRPr="00685062" w:rsidRDefault="003C06BB" w:rsidP="003C06BB">
      <w:pPr>
        <w:pStyle w:val="Zkladntext"/>
        <w:rPr>
          <w:rFonts w:asciiTheme="minorHAnsi" w:hAnsiTheme="minorHAnsi"/>
        </w:rPr>
      </w:pPr>
    </w:p>
    <w:p w:rsidR="003C06BB" w:rsidRPr="00685062" w:rsidRDefault="003C06BB" w:rsidP="003D67E0">
      <w:pPr>
        <w:pStyle w:val="Zkladntext"/>
        <w:numPr>
          <w:ilvl w:val="0"/>
          <w:numId w:val="13"/>
        </w:numPr>
        <w:rPr>
          <w:rFonts w:asciiTheme="minorHAnsi" w:hAnsiTheme="minorHAnsi"/>
        </w:rPr>
      </w:pPr>
      <w:r w:rsidRPr="00685062">
        <w:rPr>
          <w:rFonts w:asciiTheme="minorHAnsi" w:hAnsiTheme="minorHAnsi"/>
        </w:rPr>
        <w:t>Kupující se zavazuje smluvní úrok i smluvní pokutu zaplatit nejpozději do 14 kalendářních dnů ode dne jejich vyúčtování prodávající</w:t>
      </w:r>
      <w:r w:rsidR="009B0775">
        <w:rPr>
          <w:rFonts w:asciiTheme="minorHAnsi" w:hAnsiTheme="minorHAnsi"/>
        </w:rPr>
        <w:t>m</w:t>
      </w:r>
      <w:r w:rsidRPr="00685062">
        <w:rPr>
          <w:rFonts w:asciiTheme="minorHAnsi" w:hAnsiTheme="minorHAnsi"/>
        </w:rPr>
        <w:t>.</w:t>
      </w:r>
    </w:p>
    <w:p w:rsidR="003C06BB" w:rsidRPr="00685062" w:rsidRDefault="003C06BB" w:rsidP="003C06BB">
      <w:pPr>
        <w:pStyle w:val="Zkladntext"/>
        <w:rPr>
          <w:rFonts w:asciiTheme="minorHAnsi" w:hAnsiTheme="minorHAnsi"/>
        </w:rPr>
      </w:pPr>
    </w:p>
    <w:p w:rsidR="003C06BB" w:rsidRPr="00685062" w:rsidRDefault="003C06BB" w:rsidP="003C06BB">
      <w:pPr>
        <w:pStyle w:val="Zkladntext"/>
        <w:rPr>
          <w:rFonts w:asciiTheme="minorHAnsi" w:hAnsiTheme="minorHAnsi"/>
        </w:rPr>
      </w:pPr>
    </w:p>
    <w:p w:rsidR="003C06BB" w:rsidRDefault="003C06BB" w:rsidP="003E68D3">
      <w:pPr>
        <w:pStyle w:val="rove20"/>
        <w:numPr>
          <w:ilvl w:val="0"/>
          <w:numId w:val="17"/>
        </w:numPr>
        <w:jc w:val="center"/>
        <w:rPr>
          <w:rFonts w:asciiTheme="minorHAnsi" w:hAnsiTheme="minorHAnsi"/>
          <w:sz w:val="20"/>
          <w:szCs w:val="20"/>
        </w:rPr>
      </w:pPr>
      <w:r w:rsidRPr="00685062">
        <w:rPr>
          <w:rFonts w:asciiTheme="minorHAnsi" w:hAnsiTheme="minorHAnsi"/>
          <w:sz w:val="20"/>
          <w:szCs w:val="20"/>
        </w:rPr>
        <w:t>Rozhodčí doložka</w:t>
      </w:r>
    </w:p>
    <w:p w:rsidR="003E68D3" w:rsidRPr="00685062" w:rsidRDefault="003E68D3" w:rsidP="003E68D3">
      <w:pPr>
        <w:pStyle w:val="rove20"/>
        <w:numPr>
          <w:ilvl w:val="0"/>
          <w:numId w:val="0"/>
        </w:numPr>
        <w:ind w:left="1080"/>
        <w:rPr>
          <w:rFonts w:asciiTheme="minorHAnsi" w:hAnsiTheme="minorHAnsi"/>
          <w:sz w:val="20"/>
          <w:szCs w:val="20"/>
        </w:rPr>
      </w:pPr>
    </w:p>
    <w:p w:rsidR="003C06BB" w:rsidRPr="00685062" w:rsidRDefault="003C06BB" w:rsidP="003D67E0">
      <w:pPr>
        <w:pStyle w:val="Zkladntext"/>
        <w:numPr>
          <w:ilvl w:val="0"/>
          <w:numId w:val="14"/>
        </w:numPr>
        <w:rPr>
          <w:rFonts w:asciiTheme="minorHAnsi" w:hAnsiTheme="minorHAnsi"/>
        </w:rPr>
      </w:pPr>
      <w:r w:rsidRPr="00685062">
        <w:rPr>
          <w:rFonts w:asciiTheme="minorHAnsi" w:hAnsiTheme="minorHAnsi"/>
          <w:bCs/>
        </w:rPr>
        <w:t xml:space="preserve">Všechny spory vzniklé z této smlouvy nebo v souvislosti s ní budou s vyloučením pravomoci obecných soudů rozhodovány s konečnou platností u Rozhodčího soudu při Hospodářské komoře České republiky a Agrární komoře České republiky podle jeho Řádu </w:t>
      </w:r>
      <w:r w:rsidRPr="00685062">
        <w:rPr>
          <w:rFonts w:asciiTheme="minorHAnsi" w:hAnsiTheme="minorHAnsi"/>
        </w:rPr>
        <w:t>jedním rozhodcem jmenovaným předsedou rozhodčího soudu</w:t>
      </w:r>
      <w:r w:rsidRPr="00685062">
        <w:rPr>
          <w:rFonts w:asciiTheme="minorHAnsi" w:hAnsiTheme="minorHAnsi"/>
          <w:bCs/>
        </w:rPr>
        <w:t xml:space="preserve">. Strany se zavazují splnit všechny povinnosti uložené jim v rozhodčím nálezu ve lhůtách v něm uvedených. </w:t>
      </w:r>
    </w:p>
    <w:p w:rsidR="003C06BB" w:rsidRPr="00685062" w:rsidRDefault="003C06BB" w:rsidP="003C06BB">
      <w:pPr>
        <w:pStyle w:val="rove20"/>
        <w:numPr>
          <w:ilvl w:val="0"/>
          <w:numId w:val="0"/>
        </w:numPr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:rsidR="003C06BB" w:rsidRPr="00685062" w:rsidRDefault="003C06BB" w:rsidP="003C06BB">
      <w:pPr>
        <w:pStyle w:val="rove20"/>
        <w:numPr>
          <w:ilvl w:val="0"/>
          <w:numId w:val="0"/>
        </w:numPr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:rsidR="003C06BB" w:rsidRPr="003E68D3" w:rsidRDefault="003C06BB" w:rsidP="003E68D3">
      <w:pPr>
        <w:pStyle w:val="Odstavecseseznamem"/>
        <w:numPr>
          <w:ilvl w:val="0"/>
          <w:numId w:val="17"/>
        </w:numPr>
        <w:jc w:val="center"/>
        <w:rPr>
          <w:rFonts w:asciiTheme="minorHAnsi" w:hAnsiTheme="minorHAnsi"/>
          <w:b/>
          <w:bCs/>
        </w:rPr>
      </w:pPr>
      <w:r w:rsidRPr="003E68D3">
        <w:rPr>
          <w:rFonts w:asciiTheme="minorHAnsi" w:hAnsiTheme="minorHAnsi"/>
          <w:b/>
          <w:bCs/>
        </w:rPr>
        <w:t>Doba platnosti smlouvy</w:t>
      </w:r>
    </w:p>
    <w:p w:rsidR="003E68D3" w:rsidRPr="003E68D3" w:rsidRDefault="003E68D3" w:rsidP="003E68D3">
      <w:pPr>
        <w:pStyle w:val="Odstavecseseznamem"/>
        <w:ind w:left="1080"/>
        <w:rPr>
          <w:rFonts w:asciiTheme="minorHAnsi" w:hAnsiTheme="minorHAnsi"/>
          <w:b/>
          <w:bCs/>
        </w:rPr>
      </w:pPr>
    </w:p>
    <w:p w:rsidR="002E0433" w:rsidRDefault="003C06BB" w:rsidP="003C06BB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2E0433">
        <w:rPr>
          <w:rFonts w:asciiTheme="minorHAnsi" w:hAnsiTheme="minorHAnsi"/>
        </w:rPr>
        <w:t xml:space="preserve">Tato rámcová kupní smlouva uzavírá na dobu </w:t>
      </w:r>
      <w:r w:rsidR="00673F98" w:rsidRPr="002E0433">
        <w:rPr>
          <w:rFonts w:asciiTheme="minorHAnsi" w:hAnsiTheme="minorHAnsi"/>
        </w:rPr>
        <w:t xml:space="preserve">na dobu </w:t>
      </w:r>
      <w:r w:rsidR="002E0433" w:rsidRPr="002E0433">
        <w:rPr>
          <w:rFonts w:asciiTheme="minorHAnsi" w:hAnsiTheme="minorHAnsi"/>
        </w:rPr>
        <w:t>ne</w:t>
      </w:r>
      <w:r w:rsidR="002E0433">
        <w:rPr>
          <w:rFonts w:asciiTheme="minorHAnsi" w:hAnsiTheme="minorHAnsi"/>
        </w:rPr>
        <w:t>určitou.</w:t>
      </w:r>
    </w:p>
    <w:p w:rsidR="003C06BB" w:rsidRPr="00685062" w:rsidRDefault="002E0433" w:rsidP="002E0433">
      <w:pPr>
        <w:pStyle w:val="Odstavecseseznamem"/>
        <w:jc w:val="both"/>
        <w:rPr>
          <w:rFonts w:asciiTheme="minorHAnsi" w:hAnsiTheme="minorHAnsi"/>
        </w:rPr>
      </w:pPr>
      <w:r w:rsidRPr="002E0433">
        <w:rPr>
          <w:rFonts w:asciiTheme="minorHAnsi" w:hAnsiTheme="minorHAnsi"/>
        </w:rPr>
        <w:t xml:space="preserve"> </w:t>
      </w:r>
    </w:p>
    <w:p w:rsidR="003C06BB" w:rsidRPr="002D199D" w:rsidRDefault="003C06BB" w:rsidP="003D67E0">
      <w:pPr>
        <w:pStyle w:val="Odstavecseseznamem"/>
        <w:numPr>
          <w:ilvl w:val="0"/>
          <w:numId w:val="15"/>
        </w:numPr>
        <w:rPr>
          <w:rFonts w:asciiTheme="minorHAnsi" w:hAnsiTheme="minorHAnsi"/>
        </w:rPr>
      </w:pPr>
      <w:r w:rsidRPr="002D199D">
        <w:rPr>
          <w:rFonts w:asciiTheme="minorHAnsi" w:hAnsiTheme="minorHAnsi"/>
        </w:rPr>
        <w:t>Platnost této smlouvy lze ukončit: písemnou dohodou stran;</w:t>
      </w:r>
      <w:r w:rsidR="00673F98" w:rsidRPr="002D199D">
        <w:rPr>
          <w:rFonts w:asciiTheme="minorHAnsi" w:hAnsiTheme="minorHAnsi"/>
        </w:rPr>
        <w:t xml:space="preserve"> </w:t>
      </w:r>
      <w:r w:rsidRPr="002D199D">
        <w:rPr>
          <w:rFonts w:asciiTheme="minorHAnsi" w:hAnsiTheme="minorHAnsi"/>
        </w:rPr>
        <w:t xml:space="preserve">písemnou výpovědí bez udání důvodu kteréhokoliv strany doručenou druhé straně této smlouvy. Výpovědní doba činí 1 měsíc, počíná běžet prvým dnem kalendářního měsíce následujícího po měsíci, ve kterém je výpověď doručena druhém straně. </w:t>
      </w: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Od této smlouvy může každá ze stran písemně odstoupit bez zbytečného odkladu za podmínek stanovených v § 1977 a násl. a v § 2001 a násl. občanského zákoníku. Podstatným porušením této smlouvy se přitom rozumí zejména prodlení kupujícího se zaplacením kupní ceny o více jak 30 kalendářních dní nebo poškození pověsti prodávajícího nebo prodlení prodávajícího s dodáním objednaného zboží o více jak 30 kalendářních dní.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Každá ze stran je oprávněna odstoupit od této smlouvy v případě zahájení insolvenčního řízení vůči druhému z nich, když takovou skutečnost považují strany shodně za porušení této smlouvy podstatným způsobem.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B52A4F" w:rsidRPr="00B52A4F" w:rsidRDefault="003C06BB" w:rsidP="00B52A4F">
      <w:pPr>
        <w:pStyle w:val="Odstavecseseznamem"/>
        <w:numPr>
          <w:ilvl w:val="0"/>
          <w:numId w:val="17"/>
        </w:numPr>
        <w:jc w:val="center"/>
        <w:rPr>
          <w:rFonts w:asciiTheme="minorHAnsi" w:hAnsiTheme="minorHAnsi"/>
          <w:b/>
          <w:bCs/>
        </w:rPr>
      </w:pPr>
      <w:r w:rsidRPr="00B52A4F">
        <w:rPr>
          <w:rFonts w:asciiTheme="minorHAnsi" w:hAnsiTheme="minorHAnsi"/>
          <w:b/>
          <w:bCs/>
        </w:rPr>
        <w:t>Závěrečná ustanovení</w:t>
      </w:r>
    </w:p>
    <w:p w:rsidR="003C06BB" w:rsidRPr="00685062" w:rsidRDefault="003C06BB" w:rsidP="002D199D">
      <w:pPr>
        <w:jc w:val="both"/>
        <w:rPr>
          <w:rFonts w:asciiTheme="minorHAnsi" w:hAnsiTheme="minorHAnsi" w:cs="Arial"/>
          <w:bCs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Tato smlouva se ve všem ostatním řídí příslušnými ustanoveními NOZ. Je vyhotovena ve dvou stejnopisech se dvěma přílohami, z nichž každá strana obdrží po jednom. Je platná a účinná ode dne jejího podpisu  druhou ze smluvních stran.</w:t>
      </w:r>
    </w:p>
    <w:p w:rsidR="003C06BB" w:rsidRPr="00685062" w:rsidRDefault="003C06BB" w:rsidP="002D199D">
      <w:pPr>
        <w:pStyle w:val="Odstavecseseznamem"/>
        <w:ind w:left="284"/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Změny a doplňky této smlouvy je možné činit pouze formou písemných vzestupně číslovaných dodatků podepsaných oběma stranami.</w:t>
      </w:r>
    </w:p>
    <w:p w:rsidR="003C06BB" w:rsidRPr="00685062" w:rsidRDefault="003C06BB" w:rsidP="002D199D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  <w:bCs/>
        </w:rPr>
        <w:t xml:space="preserve">Kupující souhlasí se zpracováním osobních údajů </w:t>
      </w:r>
      <w:r w:rsidRPr="002D199D">
        <w:rPr>
          <w:rFonts w:asciiTheme="minorHAnsi" w:hAnsiTheme="minorHAnsi"/>
        </w:rPr>
        <w:t xml:space="preserve">pouze a výhradně </w:t>
      </w:r>
      <w:r w:rsidRPr="002D199D">
        <w:rPr>
          <w:rFonts w:asciiTheme="minorHAnsi" w:hAnsiTheme="minorHAnsi"/>
          <w:bCs/>
        </w:rPr>
        <w:t xml:space="preserve">ve smyslu příslušných ustanovení zákona č. 101/2000 Sb. o ochraně osobních údajů ve znění pozdějších předpisů.    </w:t>
      </w: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  <w:bCs/>
        </w:rPr>
        <w:t>Kupující souhlasí, aby mu prodávající zasílal elektronickou poštou, na e-mailovou adresu uvedenou v záhlaví, cenové nabídky, akční nabídky a ostatní informace související s podnikáním prodávajícího.</w:t>
      </w:r>
    </w:p>
    <w:p w:rsidR="003C06BB" w:rsidRPr="00685062" w:rsidRDefault="003C06BB" w:rsidP="002D199D">
      <w:pPr>
        <w:pStyle w:val="Odstavecseseznamem"/>
        <w:ind w:left="284"/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 xml:space="preserve">Závaznou písemnou komunikací mezi stranami se rozumí také e-mailová korespondence zasílaná pouze na e-mailové adresy prodávající a kupující uvedené v záhlaví této smlouvy nebo později stranami písemně sdělenými, a to i bez zaručeného elektronického podpisu, s výjimkou písemných dodatků k této smlouvě a projevu vůle o odstoupení od této smlouvy. </w:t>
      </w:r>
    </w:p>
    <w:p w:rsidR="003C06BB" w:rsidRPr="00685062" w:rsidRDefault="003C06BB" w:rsidP="002D199D">
      <w:pPr>
        <w:pStyle w:val="Odstavecseseznamem"/>
        <w:ind w:left="284"/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58"/>
        <w:jc w:val="both"/>
        <w:rPr>
          <w:rFonts w:asciiTheme="minorHAnsi" w:hAnsiTheme="minorHAnsi"/>
          <w:color w:val="000000"/>
        </w:rPr>
      </w:pPr>
      <w:r w:rsidRPr="002D199D">
        <w:rPr>
          <w:rFonts w:asciiTheme="minorHAnsi" w:hAnsiTheme="minorHAnsi"/>
        </w:rPr>
        <w:t xml:space="preserve">Strany si nepřejí, aby nad rámec výslovných ustanovení této smlouvy byla jakákoliv práva a povinnosti dovozovány z dosavadní či budoucí praxe zavedené mezi nimi či zvyklostí zachovávaných obecně či v odvětví týkajícím se předmětu plnění této smlouvy, ledaže je ve smlouvě výslovně sjednáno jinak. </w:t>
      </w:r>
    </w:p>
    <w:p w:rsidR="003C06BB" w:rsidRPr="00685062" w:rsidRDefault="003C06BB" w:rsidP="002D199D">
      <w:pPr>
        <w:pStyle w:val="Odstavecseseznamem"/>
        <w:autoSpaceDE w:val="0"/>
        <w:autoSpaceDN w:val="0"/>
        <w:adjustRightInd w:val="0"/>
        <w:spacing w:after="158"/>
        <w:ind w:left="284"/>
        <w:jc w:val="both"/>
        <w:rPr>
          <w:rFonts w:asciiTheme="minorHAnsi" w:hAnsiTheme="minorHAnsi"/>
          <w:color w:val="000000"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2D199D">
        <w:rPr>
          <w:rFonts w:asciiTheme="minorHAnsi" w:hAnsiTheme="minorHAnsi"/>
          <w:color w:val="000000"/>
        </w:rPr>
        <w:t>Odpověď strany této smlouvy, podle § 1740 odst. 3 NOZ, s dodatkem nebo odchylkou, není přijetím nabídky na uzavření této smlouvy, ani když podstatně nemění podmínky nabídky.</w:t>
      </w:r>
    </w:p>
    <w:p w:rsidR="003C06BB" w:rsidRPr="00685062" w:rsidRDefault="003C06BB" w:rsidP="002D199D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2D199D">
        <w:rPr>
          <w:rFonts w:asciiTheme="minorHAnsi" w:hAnsiTheme="minorHAnsi"/>
        </w:rPr>
        <w:t>Stane-li se jedno ustanovení smlouvy neplatné, platnost ostatních ustanovení se nezmění.  Strany se vzájemně zavazují neplatné ustanovení nahradit platným, které se potřebnému účelu po právní stránce nejvíce přibližuje.</w:t>
      </w:r>
    </w:p>
    <w:p w:rsidR="003C06BB" w:rsidRPr="00685062" w:rsidRDefault="003C06BB" w:rsidP="002D199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color w:val="FF0000"/>
        </w:rPr>
      </w:pPr>
      <w:r w:rsidRPr="002D199D">
        <w:rPr>
          <w:rFonts w:asciiTheme="minorHAnsi" w:hAnsiTheme="minorHAnsi"/>
          <w:color w:val="000000"/>
        </w:rPr>
        <w:t>Ukáže-li se některé z ustanovení této smlouvy zdánlivým (nicotným), posoudí se vliv této vady na ostatní ustanovení smlouvy obdobně podle § 576 NOZ.</w:t>
      </w:r>
    </w:p>
    <w:p w:rsidR="003C06BB" w:rsidRPr="00685062" w:rsidRDefault="003C06BB" w:rsidP="002D199D">
      <w:pPr>
        <w:pStyle w:val="Odstavecseseznamem"/>
        <w:ind w:left="284"/>
        <w:jc w:val="both"/>
        <w:rPr>
          <w:rFonts w:asciiTheme="minorHAnsi" w:hAnsiTheme="minorHAnsi"/>
          <w:color w:val="FF0000"/>
        </w:rPr>
      </w:pPr>
    </w:p>
    <w:p w:rsidR="003C06BB" w:rsidRDefault="003C06BB" w:rsidP="003D67E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  <w:color w:val="000000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strany učiněný při jednání o této smlouvě ani projev učiněný </w:t>
      </w:r>
      <w:r w:rsidRPr="002D199D">
        <w:rPr>
          <w:rFonts w:asciiTheme="minorHAnsi" w:hAnsiTheme="minorHAnsi"/>
        </w:rPr>
        <w:t>po uzavření této smlouvy nesmí být vykládán v rozporu s výslovnými ustanoveními této smlouvy a nezakládá žádný závazek žádné ze stran.</w:t>
      </w:r>
    </w:p>
    <w:p w:rsidR="00D95620" w:rsidRPr="00D95620" w:rsidRDefault="00D95620" w:rsidP="00D95620">
      <w:pPr>
        <w:jc w:val="both"/>
        <w:rPr>
          <w:rFonts w:asciiTheme="minorHAnsi" w:hAnsiTheme="minorHAnsi"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bCs/>
        </w:rPr>
      </w:pPr>
      <w:r w:rsidRPr="002D199D">
        <w:rPr>
          <w:rFonts w:asciiTheme="minorHAnsi" w:hAnsiTheme="minorHAnsi"/>
          <w:bCs/>
        </w:rPr>
        <w:t>Tato smlouva nahrazuje veškerá předešlá ústní i písemná ujednání stran.</w:t>
      </w:r>
    </w:p>
    <w:p w:rsidR="003C06BB" w:rsidRPr="00685062" w:rsidRDefault="003C06BB" w:rsidP="002D199D">
      <w:pPr>
        <w:pStyle w:val="Odstavecseseznamem"/>
        <w:ind w:left="284"/>
        <w:jc w:val="both"/>
        <w:rPr>
          <w:rFonts w:asciiTheme="minorHAnsi" w:hAnsiTheme="minorHAnsi"/>
          <w:bCs/>
        </w:rPr>
      </w:pPr>
    </w:p>
    <w:p w:rsidR="003C06BB" w:rsidRPr="002D199D" w:rsidRDefault="003C06BB" w:rsidP="003D67E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2D199D">
        <w:rPr>
          <w:rFonts w:asciiTheme="minorHAnsi" w:hAnsiTheme="minorHAnsi"/>
        </w:rPr>
        <w:t>Strany prohlašují, že si tuto smlouvu před jejím podpisem přečetly, že byla uzavřena po vzájemném projednání podle jejich vážné vůle, určitě a srozumitelně a že její obsah a účel odpovídají dobrým mravům. Autentičnost této smlouvy potvrzují svými podpisy.</w:t>
      </w:r>
    </w:p>
    <w:p w:rsidR="003C06BB" w:rsidRPr="00685062" w:rsidRDefault="003C06BB" w:rsidP="003C06BB">
      <w:pPr>
        <w:jc w:val="both"/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V Plzni dne ……………………..                                     </w:t>
      </w:r>
      <w:r w:rsidRPr="00685062">
        <w:rPr>
          <w:rFonts w:asciiTheme="minorHAnsi" w:hAnsiTheme="minorHAnsi"/>
        </w:rPr>
        <w:tab/>
      </w:r>
      <w:r w:rsidRPr="00685062">
        <w:rPr>
          <w:rFonts w:asciiTheme="minorHAnsi" w:hAnsiTheme="minorHAnsi"/>
        </w:rPr>
        <w:tab/>
      </w:r>
      <w:r w:rsidR="003E68D3">
        <w:rPr>
          <w:rFonts w:asciiTheme="minorHAnsi" w:hAnsiTheme="minorHAnsi"/>
        </w:rPr>
        <w:tab/>
      </w:r>
      <w:r w:rsidRPr="00685062">
        <w:rPr>
          <w:rFonts w:asciiTheme="minorHAnsi" w:hAnsiTheme="minorHAnsi"/>
        </w:rPr>
        <w:t>V ……………….dne ……………</w:t>
      </w: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prodávající                                                                          </w:t>
      </w:r>
      <w:r w:rsidR="00906497">
        <w:rPr>
          <w:rFonts w:asciiTheme="minorHAnsi" w:hAnsiTheme="minorHAnsi"/>
        </w:rPr>
        <w:tab/>
      </w:r>
      <w:r w:rsidRPr="00685062">
        <w:rPr>
          <w:rFonts w:asciiTheme="minorHAnsi" w:hAnsiTheme="minorHAnsi"/>
        </w:rPr>
        <w:tab/>
      </w:r>
      <w:r w:rsidR="003E68D3">
        <w:rPr>
          <w:rFonts w:asciiTheme="minorHAnsi" w:hAnsiTheme="minorHAnsi"/>
        </w:rPr>
        <w:tab/>
      </w:r>
      <w:r w:rsidRPr="00685062">
        <w:rPr>
          <w:rFonts w:asciiTheme="minorHAnsi" w:hAnsiTheme="minorHAnsi"/>
        </w:rPr>
        <w:t xml:space="preserve">kupující                     </w:t>
      </w: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__________________________________           </w:t>
      </w:r>
      <w:r w:rsidRPr="00685062">
        <w:rPr>
          <w:rFonts w:asciiTheme="minorHAnsi" w:hAnsiTheme="minorHAnsi"/>
        </w:rPr>
        <w:tab/>
        <w:t xml:space="preserve">          </w:t>
      </w:r>
      <w:r w:rsidR="003E68D3">
        <w:rPr>
          <w:rFonts w:asciiTheme="minorHAnsi" w:hAnsiTheme="minorHAnsi"/>
        </w:rPr>
        <w:tab/>
      </w:r>
      <w:r w:rsidR="003E68D3">
        <w:rPr>
          <w:rFonts w:asciiTheme="minorHAnsi" w:hAnsiTheme="minorHAnsi"/>
        </w:rPr>
        <w:tab/>
      </w:r>
      <w:r w:rsidRPr="00685062">
        <w:rPr>
          <w:rFonts w:asciiTheme="minorHAnsi" w:hAnsiTheme="minorHAnsi"/>
        </w:rPr>
        <w:t>_____________________________</w:t>
      </w:r>
    </w:p>
    <w:p w:rsidR="003C06BB" w:rsidRPr="00685062" w:rsidRDefault="003C06BB" w:rsidP="003C06BB">
      <w:pPr>
        <w:rPr>
          <w:rFonts w:asciiTheme="minorHAnsi" w:hAnsiTheme="minorHAnsi"/>
        </w:rPr>
      </w:pPr>
      <w:r w:rsidRPr="00685062">
        <w:rPr>
          <w:rFonts w:asciiTheme="minorHAnsi" w:hAnsiTheme="minorHAnsi"/>
        </w:rPr>
        <w:t xml:space="preserve">Nakladatelství Fraus, s.r.o.  </w:t>
      </w:r>
      <w:r w:rsidR="00B52A4F">
        <w:rPr>
          <w:rFonts w:asciiTheme="minorHAnsi" w:hAnsiTheme="minorHAnsi"/>
        </w:rPr>
        <w:tab/>
      </w:r>
      <w:r w:rsidR="00B52A4F">
        <w:rPr>
          <w:rFonts w:asciiTheme="minorHAnsi" w:hAnsiTheme="minorHAnsi"/>
        </w:rPr>
        <w:tab/>
      </w:r>
      <w:r w:rsidR="00B52A4F">
        <w:rPr>
          <w:rFonts w:asciiTheme="minorHAnsi" w:hAnsiTheme="minorHAnsi"/>
        </w:rPr>
        <w:tab/>
      </w:r>
      <w:r w:rsidR="00B52A4F">
        <w:rPr>
          <w:rFonts w:asciiTheme="minorHAnsi" w:hAnsiTheme="minorHAnsi"/>
        </w:rPr>
        <w:tab/>
      </w:r>
      <w:r w:rsidR="00B52A4F">
        <w:rPr>
          <w:rFonts w:asciiTheme="minorHAnsi" w:hAnsiTheme="minorHAnsi"/>
        </w:rPr>
        <w:tab/>
      </w:r>
      <w:r w:rsidR="002E0433" w:rsidRPr="002E0433">
        <w:rPr>
          <w:rFonts w:asciiTheme="minorHAnsi" w:hAnsiTheme="minorHAnsi"/>
        </w:rPr>
        <w:t>Základní škola</w:t>
      </w:r>
      <w:r w:rsidR="002E0433" w:rsidRPr="002E0433">
        <w:rPr>
          <w:rFonts w:asciiTheme="minorHAnsi" w:hAnsiTheme="minorHAnsi"/>
        </w:rPr>
        <w:tab/>
      </w: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C06BB" w:rsidRPr="00685062" w:rsidRDefault="003C06BB" w:rsidP="003C06BB">
      <w:pPr>
        <w:rPr>
          <w:rFonts w:asciiTheme="minorHAnsi" w:hAnsiTheme="minorHAnsi"/>
        </w:rPr>
      </w:pPr>
    </w:p>
    <w:p w:rsidR="003E68D3" w:rsidRDefault="003E68D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:rsidR="003C06BB" w:rsidRPr="00685062" w:rsidRDefault="003C06BB" w:rsidP="003C06BB">
      <w:pPr>
        <w:pStyle w:val="rove1"/>
        <w:numPr>
          <w:ilvl w:val="0"/>
          <w:numId w:val="0"/>
        </w:numPr>
        <w:rPr>
          <w:rFonts w:asciiTheme="minorHAnsi" w:hAnsiTheme="minorHAnsi"/>
          <w:sz w:val="20"/>
          <w:szCs w:val="20"/>
        </w:rPr>
      </w:pPr>
      <w:r w:rsidRPr="00685062">
        <w:rPr>
          <w:rFonts w:asciiTheme="minorHAnsi" w:hAnsiTheme="minorHAnsi"/>
          <w:sz w:val="20"/>
          <w:szCs w:val="20"/>
        </w:rPr>
        <w:t>Příloha č. 1 k rámcové kupní smlouvě platná od 1.</w:t>
      </w:r>
      <w:r w:rsidR="005A797A">
        <w:rPr>
          <w:rFonts w:asciiTheme="minorHAnsi" w:hAnsiTheme="minorHAnsi"/>
          <w:sz w:val="20"/>
          <w:szCs w:val="20"/>
        </w:rPr>
        <w:t xml:space="preserve"> 4</w:t>
      </w:r>
      <w:r w:rsidR="001355CE">
        <w:rPr>
          <w:rFonts w:asciiTheme="minorHAnsi" w:hAnsiTheme="minorHAnsi"/>
          <w:sz w:val="20"/>
          <w:szCs w:val="20"/>
        </w:rPr>
        <w:t>.</w:t>
      </w:r>
      <w:r w:rsidR="003E68D3">
        <w:rPr>
          <w:rFonts w:asciiTheme="minorHAnsi" w:hAnsiTheme="minorHAnsi"/>
          <w:sz w:val="20"/>
          <w:szCs w:val="20"/>
        </w:rPr>
        <w:t xml:space="preserve"> </w:t>
      </w:r>
      <w:r w:rsidR="002632A6">
        <w:rPr>
          <w:rFonts w:asciiTheme="minorHAnsi" w:hAnsiTheme="minorHAnsi"/>
          <w:sz w:val="20"/>
          <w:szCs w:val="20"/>
        </w:rPr>
        <w:t>2017</w:t>
      </w:r>
    </w:p>
    <w:p w:rsidR="003C06BB" w:rsidRPr="00685062" w:rsidRDefault="003C06BB" w:rsidP="003C06BB">
      <w:pPr>
        <w:pStyle w:val="rove2"/>
        <w:numPr>
          <w:ilvl w:val="0"/>
          <w:numId w:val="0"/>
        </w:numPr>
        <w:rPr>
          <w:rFonts w:asciiTheme="minorHAnsi" w:hAnsiTheme="minorHAnsi"/>
          <w:sz w:val="20"/>
          <w:szCs w:val="20"/>
        </w:rPr>
      </w:pPr>
    </w:p>
    <w:p w:rsidR="003C06BB" w:rsidRPr="00685062" w:rsidRDefault="003C06BB" w:rsidP="003C06BB">
      <w:pPr>
        <w:ind w:left="360"/>
        <w:rPr>
          <w:rFonts w:asciiTheme="minorHAnsi" w:hAnsiTheme="minorHAnsi"/>
        </w:rPr>
      </w:pPr>
      <w:r w:rsidRPr="00685062">
        <w:rPr>
          <w:rFonts w:asciiTheme="minorHAnsi" w:hAnsiTheme="minorHAnsi"/>
          <w:b/>
        </w:rPr>
        <w:t>Tabulka č. 1: Základní slevy z DPC vč. DPH</w:t>
      </w:r>
    </w:p>
    <w:p w:rsidR="006E2003" w:rsidRPr="00685062" w:rsidRDefault="006E2003" w:rsidP="006E2003">
      <w:pPr>
        <w:ind w:left="360"/>
        <w:rPr>
          <w:rFonts w:asciiTheme="minorHAnsi" w:hAnsiTheme="minorHAnsi"/>
        </w:rPr>
      </w:pPr>
    </w:p>
    <w:tbl>
      <w:tblPr>
        <w:tblW w:w="9593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7512"/>
        <w:gridCol w:w="1078"/>
      </w:tblGrid>
      <w:tr w:rsidR="006E2003" w:rsidRPr="00685062" w:rsidTr="000D621E">
        <w:trPr>
          <w:trHeight w:val="200"/>
        </w:trPr>
        <w:tc>
          <w:tcPr>
            <w:tcW w:w="1003" w:type="dxa"/>
            <w:shd w:val="clear" w:color="000000" w:fill="CCCCCC"/>
            <w:vAlign w:val="bottom"/>
          </w:tcPr>
          <w:p w:rsidR="006E2003" w:rsidRPr="00685062" w:rsidRDefault="006E2003" w:rsidP="000D621E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Základ</w:t>
            </w:r>
            <w:r w:rsidRPr="00685062">
              <w:rPr>
                <w:rFonts w:asciiTheme="minorHAnsi" w:hAnsiTheme="minorHAnsi"/>
                <w:b/>
                <w:bCs/>
                <w:color w:val="000000"/>
              </w:rPr>
              <w:t>ní sleva</w:t>
            </w:r>
          </w:p>
        </w:tc>
        <w:tc>
          <w:tcPr>
            <w:tcW w:w="7512" w:type="dxa"/>
            <w:shd w:val="clear" w:color="000000" w:fill="CCCCCC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85062">
              <w:rPr>
                <w:rFonts w:asciiTheme="minorHAnsi" w:hAnsiTheme="minorHAnsi"/>
                <w:b/>
                <w:bCs/>
                <w:color w:val="000000"/>
              </w:rPr>
              <w:t>Popis skupiny</w:t>
            </w:r>
          </w:p>
        </w:tc>
        <w:tc>
          <w:tcPr>
            <w:tcW w:w="1078" w:type="dxa"/>
            <w:shd w:val="clear" w:color="000000" w:fill="CCCCCC"/>
            <w:noWrap/>
            <w:vAlign w:val="bottom"/>
            <w:hideMark/>
          </w:tcPr>
          <w:p w:rsidR="006E2003" w:rsidRPr="00685062" w:rsidRDefault="006E2003" w:rsidP="000D62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85062">
              <w:rPr>
                <w:rFonts w:asciiTheme="minorHAnsi" w:hAnsiTheme="minorHAnsi"/>
                <w:b/>
                <w:bCs/>
                <w:color w:val="000000"/>
              </w:rPr>
              <w:t>Označení cenové skupiny</w:t>
            </w:r>
          </w:p>
        </w:tc>
      </w:tr>
      <w:tr w:rsidR="006E2003" w:rsidRPr="00685062" w:rsidTr="000D621E">
        <w:trPr>
          <w:trHeight w:val="200"/>
        </w:trPr>
        <w:tc>
          <w:tcPr>
            <w:tcW w:w="1003" w:type="dxa"/>
            <w:vAlign w:val="center"/>
          </w:tcPr>
          <w:p w:rsidR="006E2003" w:rsidRDefault="008844BD" w:rsidP="000D6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0% - </w:t>
            </w:r>
            <w:r w:rsidR="006E2003">
              <w:rPr>
                <w:rFonts w:ascii="Calibri" w:hAnsi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Učebnice včetně PS pro základní školy (I. a II. stupeň)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UC_ZS_I, UC_ZS_II</w:t>
            </w:r>
          </w:p>
        </w:tc>
      </w:tr>
      <w:tr w:rsidR="006E2003" w:rsidRPr="00685062" w:rsidTr="000D621E">
        <w:trPr>
          <w:trHeight w:val="200"/>
        </w:trPr>
        <w:tc>
          <w:tcPr>
            <w:tcW w:w="1003" w:type="dxa"/>
            <w:vAlign w:val="center"/>
          </w:tcPr>
          <w:p w:rsidR="006E2003" w:rsidRDefault="008844BD" w:rsidP="000D6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 - 10%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Učebnice včetně PS pro SŠ (III.</w:t>
            </w:r>
            <w:r w:rsidR="00A54E1B">
              <w:rPr>
                <w:rFonts w:asciiTheme="minorHAnsi" w:hAnsiTheme="minorHAnsi"/>
                <w:color w:val="000000"/>
              </w:rPr>
              <w:t xml:space="preserve"> </w:t>
            </w:r>
            <w:r w:rsidRPr="00685062">
              <w:rPr>
                <w:rFonts w:asciiTheme="minorHAnsi" w:hAnsiTheme="minorHAnsi"/>
                <w:color w:val="000000"/>
              </w:rPr>
              <w:t xml:space="preserve">stupeň), VOŠ, VŠ, jazykové a ostatní školy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UC_OST</w:t>
            </w:r>
          </w:p>
        </w:tc>
      </w:tr>
      <w:tr w:rsidR="006E2003" w:rsidRPr="00685062" w:rsidTr="000D621E">
        <w:trPr>
          <w:trHeight w:val="200"/>
        </w:trPr>
        <w:tc>
          <w:tcPr>
            <w:tcW w:w="1003" w:type="dxa"/>
            <w:vAlign w:val="center"/>
          </w:tcPr>
          <w:p w:rsidR="006E2003" w:rsidRDefault="008844BD" w:rsidP="008844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 - 25%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Speciální materiály pro výuku (MP,PU,CD, DVD)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UC_DOP</w:t>
            </w:r>
          </w:p>
        </w:tc>
      </w:tr>
      <w:tr w:rsidR="006E2003" w:rsidRPr="00685062" w:rsidTr="000D621E">
        <w:trPr>
          <w:trHeight w:val="200"/>
        </w:trPr>
        <w:tc>
          <w:tcPr>
            <w:tcW w:w="1003" w:type="dxa"/>
            <w:vAlign w:val="center"/>
          </w:tcPr>
          <w:p w:rsidR="006E2003" w:rsidRDefault="008844BD" w:rsidP="000D6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 - 10%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2E0433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Zahraniční literatura dovážená (NF)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DOV</w:t>
            </w:r>
          </w:p>
        </w:tc>
      </w:tr>
      <w:tr w:rsidR="006E2003" w:rsidRPr="00685062" w:rsidTr="000D621E">
        <w:trPr>
          <w:trHeight w:val="200"/>
        </w:trPr>
        <w:tc>
          <w:tcPr>
            <w:tcW w:w="1003" w:type="dxa"/>
            <w:vAlign w:val="center"/>
          </w:tcPr>
          <w:p w:rsidR="006E2003" w:rsidRDefault="008844BD" w:rsidP="008844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 - 25%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2E0433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Zahraniční materiály dovážené (NF) – speciální (MP, PU, CD, DVD)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UCD_DOP</w:t>
            </w:r>
          </w:p>
        </w:tc>
      </w:tr>
      <w:tr w:rsidR="006E2003" w:rsidRPr="00685062" w:rsidTr="000D621E">
        <w:trPr>
          <w:trHeight w:val="200"/>
        </w:trPr>
        <w:tc>
          <w:tcPr>
            <w:tcW w:w="1003" w:type="dxa"/>
            <w:vAlign w:val="center"/>
          </w:tcPr>
          <w:p w:rsidR="006E2003" w:rsidRDefault="008844BD" w:rsidP="008844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 - 25%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 xml:space="preserve">Další učební materiály určené i pro mimoškolní výuku (reálie, gramatiky apod.)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UC_MAT</w:t>
            </w:r>
          </w:p>
        </w:tc>
      </w:tr>
      <w:tr w:rsidR="006E2003" w:rsidRPr="00685062" w:rsidTr="000D621E">
        <w:trPr>
          <w:trHeight w:val="200"/>
        </w:trPr>
        <w:tc>
          <w:tcPr>
            <w:tcW w:w="1003" w:type="dxa"/>
            <w:vAlign w:val="center"/>
          </w:tcPr>
          <w:p w:rsidR="006E2003" w:rsidRDefault="008844BD" w:rsidP="008844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 - 25%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 xml:space="preserve">Odborné slovníky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SL_NF</w:t>
            </w:r>
          </w:p>
        </w:tc>
      </w:tr>
      <w:tr w:rsidR="006E2003" w:rsidRPr="00685062" w:rsidTr="000D621E">
        <w:trPr>
          <w:trHeight w:val="200"/>
        </w:trPr>
        <w:tc>
          <w:tcPr>
            <w:tcW w:w="1003" w:type="dxa"/>
            <w:vAlign w:val="center"/>
          </w:tcPr>
          <w:p w:rsidR="006E2003" w:rsidRDefault="008844BD" w:rsidP="008844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 - 25%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 xml:space="preserve">Obecné slovníky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SLOV</w:t>
            </w:r>
          </w:p>
        </w:tc>
      </w:tr>
      <w:tr w:rsidR="006E2003" w:rsidRPr="00685062" w:rsidTr="000D621E">
        <w:trPr>
          <w:trHeight w:val="200"/>
        </w:trPr>
        <w:tc>
          <w:tcPr>
            <w:tcW w:w="1003" w:type="dxa"/>
            <w:vAlign w:val="center"/>
          </w:tcPr>
          <w:p w:rsidR="006E2003" w:rsidRDefault="008844BD" w:rsidP="000D6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 - 25%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Zájmová literatura, edice CO-JAK-PROČ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ZL_NF</w:t>
            </w:r>
          </w:p>
        </w:tc>
      </w:tr>
      <w:tr w:rsidR="006E2003" w:rsidRPr="00685062" w:rsidTr="000D621E">
        <w:trPr>
          <w:trHeight w:val="191"/>
        </w:trPr>
        <w:tc>
          <w:tcPr>
            <w:tcW w:w="1003" w:type="dxa"/>
            <w:vAlign w:val="center"/>
          </w:tcPr>
          <w:p w:rsidR="006E2003" w:rsidRDefault="008844BD" w:rsidP="000D6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 - 10%</w:t>
            </w: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Doplňkové materiály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E2003" w:rsidRPr="00685062" w:rsidRDefault="006E2003" w:rsidP="000D621E">
            <w:pPr>
              <w:rPr>
                <w:rFonts w:asciiTheme="minorHAnsi" w:hAnsiTheme="minorHAnsi"/>
                <w:color w:val="000000"/>
              </w:rPr>
            </w:pPr>
            <w:r w:rsidRPr="00685062">
              <w:rPr>
                <w:rFonts w:asciiTheme="minorHAnsi" w:hAnsiTheme="minorHAnsi"/>
                <w:color w:val="000000"/>
              </w:rPr>
              <w:t>DOP_0</w:t>
            </w:r>
          </w:p>
        </w:tc>
      </w:tr>
    </w:tbl>
    <w:p w:rsidR="006E2003" w:rsidRPr="00685062" w:rsidRDefault="006E2003" w:rsidP="006E2003">
      <w:pPr>
        <w:ind w:left="360"/>
        <w:rPr>
          <w:rFonts w:asciiTheme="minorHAnsi" w:hAnsiTheme="minorHAnsi"/>
        </w:rPr>
      </w:pPr>
    </w:p>
    <w:p w:rsidR="006E2003" w:rsidRPr="00685062" w:rsidRDefault="006E2003" w:rsidP="006E2003">
      <w:pPr>
        <w:pStyle w:val="rove2"/>
        <w:numPr>
          <w:ilvl w:val="0"/>
          <w:numId w:val="0"/>
        </w:numPr>
        <w:ind w:left="23"/>
        <w:rPr>
          <w:rFonts w:asciiTheme="minorHAnsi" w:hAnsiTheme="minorHAnsi"/>
          <w:sz w:val="20"/>
          <w:szCs w:val="20"/>
        </w:rPr>
      </w:pPr>
      <w:r w:rsidRPr="00685062">
        <w:rPr>
          <w:rFonts w:asciiTheme="minorHAnsi" w:hAnsiTheme="minorHAnsi"/>
          <w:sz w:val="20"/>
          <w:szCs w:val="20"/>
        </w:rPr>
        <w:t xml:space="preserve">Vysvětlivky: PS – pracovní sešit, PU – příručka učitele, MP – metodická příručka, CD – kompaktní disk </w:t>
      </w:r>
    </w:p>
    <w:p w:rsidR="003C06BB" w:rsidRPr="00685062" w:rsidRDefault="003C06BB" w:rsidP="003C06BB">
      <w:pPr>
        <w:ind w:left="360"/>
        <w:rPr>
          <w:rFonts w:asciiTheme="minorHAnsi" w:hAnsiTheme="minorHAnsi"/>
        </w:rPr>
      </w:pPr>
    </w:p>
    <w:p w:rsidR="003C06BB" w:rsidRPr="00685062" w:rsidRDefault="003C06BB" w:rsidP="003C06BB">
      <w:pPr>
        <w:pStyle w:val="rove2"/>
        <w:numPr>
          <w:ilvl w:val="0"/>
          <w:numId w:val="0"/>
        </w:numPr>
        <w:ind w:left="360"/>
        <w:rPr>
          <w:rFonts w:asciiTheme="minorHAnsi" w:hAnsiTheme="minorHAnsi"/>
          <w:sz w:val="20"/>
          <w:szCs w:val="20"/>
        </w:rPr>
      </w:pPr>
    </w:p>
    <w:p w:rsidR="003C06BB" w:rsidRPr="00685062" w:rsidRDefault="003C06BB" w:rsidP="003C06BB">
      <w:pPr>
        <w:pStyle w:val="rove2"/>
        <w:numPr>
          <w:ilvl w:val="0"/>
          <w:numId w:val="0"/>
        </w:numPr>
        <w:ind w:left="454" w:hanging="454"/>
        <w:rPr>
          <w:rFonts w:asciiTheme="minorHAnsi" w:hAnsiTheme="minorHAnsi"/>
          <w:b/>
          <w:sz w:val="20"/>
          <w:szCs w:val="20"/>
        </w:rPr>
      </w:pPr>
    </w:p>
    <w:p w:rsidR="003C06BB" w:rsidRPr="00685062" w:rsidRDefault="003C06BB" w:rsidP="003C06BB">
      <w:pPr>
        <w:pStyle w:val="rove2"/>
        <w:numPr>
          <w:ilvl w:val="0"/>
          <w:numId w:val="0"/>
        </w:numPr>
        <w:ind w:left="23"/>
        <w:rPr>
          <w:rFonts w:asciiTheme="minorHAnsi" w:hAnsiTheme="minorHAnsi"/>
          <w:b/>
          <w:sz w:val="20"/>
          <w:szCs w:val="20"/>
        </w:rPr>
      </w:pPr>
      <w:r w:rsidRPr="00685062">
        <w:rPr>
          <w:rFonts w:asciiTheme="minorHAnsi" w:hAnsiTheme="minorHAnsi"/>
          <w:sz w:val="20"/>
          <w:szCs w:val="20"/>
        </w:rPr>
        <w:br/>
      </w:r>
      <w:r w:rsidR="003E68D3">
        <w:rPr>
          <w:rFonts w:asciiTheme="minorHAnsi" w:hAnsiTheme="minorHAnsi"/>
          <w:b/>
          <w:sz w:val="20"/>
          <w:szCs w:val="20"/>
        </w:rPr>
        <w:t>Tabulka č. 2</w:t>
      </w:r>
      <w:r w:rsidRPr="00685062">
        <w:rPr>
          <w:rFonts w:asciiTheme="minorHAnsi" w:hAnsiTheme="minorHAnsi"/>
          <w:b/>
          <w:sz w:val="20"/>
          <w:szCs w:val="20"/>
        </w:rPr>
        <w:t>: Smluvní dopravné</w:t>
      </w:r>
      <w:r w:rsidR="00906497">
        <w:rPr>
          <w:rFonts w:asciiTheme="minorHAnsi" w:hAnsiTheme="minorHAnsi"/>
          <w:b/>
          <w:sz w:val="20"/>
          <w:szCs w:val="20"/>
        </w:rPr>
        <w:t xml:space="preserve"> a manipulační po</w:t>
      </w:r>
      <w:r w:rsidR="001355CE">
        <w:rPr>
          <w:rFonts w:asciiTheme="minorHAnsi" w:hAnsiTheme="minorHAnsi"/>
          <w:b/>
          <w:sz w:val="20"/>
          <w:szCs w:val="20"/>
        </w:rPr>
        <w:t>p</w:t>
      </w:r>
      <w:r w:rsidR="00906497">
        <w:rPr>
          <w:rFonts w:asciiTheme="minorHAnsi" w:hAnsiTheme="minorHAnsi"/>
          <w:b/>
          <w:sz w:val="20"/>
          <w:szCs w:val="20"/>
        </w:rPr>
        <w:t>latek</w:t>
      </w:r>
    </w:p>
    <w:p w:rsidR="003C06BB" w:rsidRPr="00685062" w:rsidRDefault="003C06BB" w:rsidP="003C06BB">
      <w:pPr>
        <w:pStyle w:val="rove2"/>
        <w:numPr>
          <w:ilvl w:val="0"/>
          <w:numId w:val="0"/>
        </w:numPr>
        <w:ind w:left="23"/>
        <w:jc w:val="center"/>
        <w:rPr>
          <w:rFonts w:asciiTheme="minorHAnsi" w:hAnsiTheme="minorHAnsi"/>
          <w:bCs/>
          <w:i/>
          <w:iCs/>
          <w:sz w:val="20"/>
          <w:szCs w:val="20"/>
        </w:rPr>
      </w:pPr>
    </w:p>
    <w:tbl>
      <w:tblPr>
        <w:tblW w:w="511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1417"/>
      </w:tblGrid>
      <w:tr w:rsidR="003C06BB" w:rsidRPr="00685062" w:rsidTr="001355CE">
        <w:trPr>
          <w:trHeight w:val="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C06BB" w:rsidRPr="00685062" w:rsidRDefault="001355CE" w:rsidP="001355C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Smluvní</w:t>
            </w:r>
            <w:r w:rsidR="002D199D">
              <w:rPr>
                <w:rFonts w:asciiTheme="minorHAnsi" w:hAnsiTheme="minorHAnsi"/>
                <w:color w:val="000000"/>
              </w:rPr>
              <w:t xml:space="preserve"> doprava</w:t>
            </w:r>
            <w:r>
              <w:rPr>
                <w:rFonts w:asciiTheme="minorHAnsi" w:hAnsiTheme="minorHAnsi"/>
                <w:color w:val="000000"/>
              </w:rPr>
              <w:t xml:space="preserve"> a manipulační poplatek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BB" w:rsidRPr="00685062" w:rsidRDefault="001355CE" w:rsidP="00C25F7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  <w:r w:rsidR="003E68D3">
              <w:rPr>
                <w:rFonts w:asciiTheme="minorHAnsi" w:hAnsiTheme="minorHAnsi"/>
                <w:color w:val="000000"/>
              </w:rPr>
              <w:t>9</w:t>
            </w:r>
            <w:r w:rsidRPr="00685062">
              <w:rPr>
                <w:rFonts w:asciiTheme="minorHAnsi" w:hAnsiTheme="minorHAnsi"/>
                <w:color w:val="000000"/>
              </w:rPr>
              <w:t>,- Kč</w:t>
            </w:r>
          </w:p>
        </w:tc>
      </w:tr>
    </w:tbl>
    <w:p w:rsidR="003E68D3" w:rsidRDefault="003E68D3" w:rsidP="002D199D">
      <w:pPr>
        <w:pStyle w:val="rove2"/>
        <w:numPr>
          <w:ilvl w:val="0"/>
          <w:numId w:val="0"/>
        </w:numPr>
        <w:ind w:left="23"/>
        <w:rPr>
          <w:rFonts w:asciiTheme="minorHAnsi" w:hAnsiTheme="minorHAnsi"/>
          <w:sz w:val="20"/>
          <w:szCs w:val="20"/>
        </w:rPr>
      </w:pPr>
    </w:p>
    <w:p w:rsidR="003C06BB" w:rsidRPr="00685062" w:rsidRDefault="003E68D3" w:rsidP="002D199D">
      <w:pPr>
        <w:pStyle w:val="rove2"/>
        <w:numPr>
          <w:ilvl w:val="0"/>
          <w:numId w:val="0"/>
        </w:numPr>
        <w:ind w:left="23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3E68D3">
        <w:rPr>
          <w:rFonts w:asciiTheme="minorHAnsi" w:hAnsiTheme="minorHAnsi"/>
          <w:sz w:val="20"/>
          <w:szCs w:val="20"/>
        </w:rPr>
        <w:t xml:space="preserve">ři objednávce nad </w:t>
      </w:r>
      <w:r>
        <w:rPr>
          <w:rFonts w:asciiTheme="minorHAnsi" w:hAnsiTheme="minorHAnsi"/>
          <w:sz w:val="20"/>
          <w:szCs w:val="20"/>
        </w:rPr>
        <w:t xml:space="preserve">500 CZK po odečtení slev </w:t>
      </w:r>
      <w:r w:rsidR="00AE0098">
        <w:rPr>
          <w:rFonts w:asciiTheme="minorHAnsi" w:hAnsiTheme="minorHAnsi"/>
          <w:sz w:val="20"/>
          <w:szCs w:val="20"/>
        </w:rPr>
        <w:t xml:space="preserve">je </w:t>
      </w:r>
      <w:r>
        <w:rPr>
          <w:rFonts w:asciiTheme="minorHAnsi" w:hAnsiTheme="minorHAnsi"/>
          <w:sz w:val="20"/>
          <w:szCs w:val="20"/>
        </w:rPr>
        <w:t>dopra</w:t>
      </w:r>
      <w:r w:rsidRPr="003E68D3">
        <w:rPr>
          <w:rFonts w:asciiTheme="minorHAnsi" w:hAnsiTheme="minorHAnsi"/>
          <w:sz w:val="20"/>
          <w:szCs w:val="20"/>
        </w:rPr>
        <w:t>va ZDARMA</w:t>
      </w:r>
      <w:r>
        <w:rPr>
          <w:rFonts w:asciiTheme="minorHAnsi" w:hAnsiTheme="minorHAnsi"/>
          <w:sz w:val="20"/>
          <w:szCs w:val="20"/>
        </w:rPr>
        <w:t xml:space="preserve"> a manipulační poplatek kupující nehradí.</w:t>
      </w:r>
    </w:p>
    <w:p w:rsidR="003C06BB" w:rsidRPr="00685062" w:rsidRDefault="003C06BB" w:rsidP="00D95620">
      <w:pPr>
        <w:pStyle w:val="Nadpis4"/>
        <w:numPr>
          <w:ilvl w:val="0"/>
          <w:numId w:val="0"/>
        </w:numPr>
        <w:jc w:val="left"/>
        <w:rPr>
          <w:rFonts w:asciiTheme="minorHAnsi" w:hAnsiTheme="minorHAnsi"/>
          <w:bCs/>
          <w:i/>
          <w:iCs/>
          <w:sz w:val="20"/>
        </w:rPr>
      </w:pPr>
    </w:p>
    <w:p w:rsidR="003C06BB" w:rsidRPr="00685062" w:rsidRDefault="003C06BB" w:rsidP="003C06BB">
      <w:pPr>
        <w:pStyle w:val="rove2"/>
        <w:numPr>
          <w:ilvl w:val="0"/>
          <w:numId w:val="0"/>
        </w:numPr>
        <w:ind w:left="23"/>
        <w:jc w:val="center"/>
        <w:rPr>
          <w:rFonts w:asciiTheme="minorHAnsi" w:hAnsiTheme="minorHAnsi"/>
          <w:b/>
          <w:sz w:val="20"/>
          <w:szCs w:val="20"/>
        </w:rPr>
      </w:pPr>
    </w:p>
    <w:p w:rsidR="003C06BB" w:rsidRPr="00685062" w:rsidRDefault="003C06BB" w:rsidP="003C06BB">
      <w:pPr>
        <w:pStyle w:val="rove2"/>
        <w:numPr>
          <w:ilvl w:val="0"/>
          <w:numId w:val="0"/>
        </w:numPr>
        <w:ind w:left="454" w:hanging="454"/>
        <w:rPr>
          <w:rFonts w:asciiTheme="minorHAnsi" w:hAnsiTheme="minorHAnsi"/>
          <w:bCs/>
          <w:i/>
          <w:iCs/>
          <w:sz w:val="20"/>
          <w:szCs w:val="20"/>
        </w:rPr>
      </w:pPr>
    </w:p>
    <w:sectPr w:rsidR="003C06BB" w:rsidRPr="00685062" w:rsidSect="00112376">
      <w:footerReference w:type="default" r:id="rId16"/>
      <w:pgSz w:w="11907" w:h="16840"/>
      <w:pgMar w:top="1560" w:right="992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87" w:rsidRDefault="00667A87">
      <w:r>
        <w:separator/>
      </w:r>
    </w:p>
  </w:endnote>
  <w:endnote w:type="continuationSeparator" w:id="0">
    <w:p w:rsidR="00667A87" w:rsidRDefault="0066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CE 47LightCn">
    <w:panose1 w:val="00000000000000000000"/>
    <w:charset w:val="EE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7"/>
      <w:gridCol w:w="1015"/>
    </w:tblGrid>
    <w:tr w:rsidR="00A66FB4">
      <w:tc>
        <w:tcPr>
          <w:tcW w:w="4500" w:type="pct"/>
          <w:tcBorders>
            <w:top w:val="single" w:sz="4" w:space="0" w:color="000000" w:themeColor="text1"/>
          </w:tcBorders>
        </w:tcPr>
        <w:p w:rsidR="00A66FB4" w:rsidRDefault="00F14CC6" w:rsidP="00441FAD">
          <w:pPr>
            <w:pStyle w:val="Zpat"/>
            <w:jc w:val="right"/>
          </w:pPr>
          <w:sdt>
            <w:sdtPr>
              <w:rPr>
                <w:rFonts w:asciiTheme="minorHAnsi" w:hAnsiTheme="minorHAnsi"/>
              </w:rPr>
              <w:alias w:val="Společnost"/>
              <w:id w:val="75971759"/>
              <w:placeholder>
                <w:docPart w:val="888803A90F0B4BEAA59400CAA6386E81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66FB4" w:rsidRPr="003D7AEB">
                <w:rPr>
                  <w:rFonts w:asciiTheme="minorHAnsi" w:hAnsiTheme="minorHAnsi"/>
                </w:rPr>
                <w:t>Nakladatelství Fraus</w:t>
              </w:r>
              <w:r w:rsidR="00A66FB4">
                <w:rPr>
                  <w:rFonts w:asciiTheme="minorHAnsi" w:hAnsiTheme="minorHAnsi"/>
                </w:rPr>
                <w:t>, s.r.o.</w:t>
              </w:r>
            </w:sdtContent>
          </w:sdt>
          <w:r w:rsidR="00A66FB4">
            <w:t xml:space="preserve"> | </w:t>
          </w:r>
          <w:r w:rsidR="00441FAD">
            <w:rPr>
              <w:rFonts w:asciiTheme="minorHAnsi" w:hAnsiTheme="minorHAnsi"/>
            </w:rPr>
            <w:t>Rámcová kupní</w:t>
          </w:r>
          <w:r w:rsidR="00A66FB4" w:rsidRPr="003D7AEB">
            <w:rPr>
              <w:rFonts w:asciiTheme="minorHAnsi" w:hAnsiTheme="minorHAnsi"/>
            </w:rPr>
            <w:t xml:space="preserve"> smlouva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66FB4" w:rsidRDefault="00C26DDA">
          <w:pPr>
            <w:pStyle w:val="Zhlav"/>
            <w:rPr>
              <w:color w:val="FFFFFF" w:themeColor="background1"/>
            </w:rPr>
          </w:pPr>
          <w:r>
            <w:fldChar w:fldCharType="begin"/>
          </w:r>
          <w:r w:rsidR="006F4E71">
            <w:instrText xml:space="preserve"> PAGE   \* MERGEFORMAT </w:instrText>
          </w:r>
          <w:r>
            <w:fldChar w:fldCharType="separate"/>
          </w:r>
          <w:r w:rsidR="00F14CC6" w:rsidRPr="00F14CC6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66FB4" w:rsidRDefault="00A66FB4">
    <w:pPr>
      <w:pStyle w:val="Zpat"/>
    </w:pPr>
  </w:p>
  <w:p w:rsidR="00A66FB4" w:rsidRDefault="00A66F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87" w:rsidRDefault="00667A87">
      <w:r>
        <w:t>k</w:t>
      </w:r>
      <w:r>
        <w:separator/>
      </w:r>
    </w:p>
  </w:footnote>
  <w:footnote w:type="continuationSeparator" w:id="0">
    <w:p w:rsidR="00667A87" w:rsidRDefault="0066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07BE"/>
    <w:multiLevelType w:val="hybridMultilevel"/>
    <w:tmpl w:val="3758BD10"/>
    <w:lvl w:ilvl="0" w:tplc="C834F1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CBA"/>
    <w:multiLevelType w:val="multilevel"/>
    <w:tmpl w:val="EBEC5C48"/>
    <w:lvl w:ilvl="0">
      <w:start w:val="1"/>
      <w:numFmt w:val="upperRoman"/>
      <w:pStyle w:val="Nadpis4"/>
      <w:lvlText w:val="%1."/>
      <w:lvlJc w:val="left"/>
      <w:pPr>
        <w:tabs>
          <w:tab w:val="num" w:pos="6249"/>
        </w:tabs>
        <w:ind w:left="624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7AA"/>
    <w:multiLevelType w:val="hybridMultilevel"/>
    <w:tmpl w:val="B3507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10C4"/>
    <w:multiLevelType w:val="hybridMultilevel"/>
    <w:tmpl w:val="41BC29AA"/>
    <w:lvl w:ilvl="0" w:tplc="EF424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3F3B"/>
    <w:multiLevelType w:val="multilevel"/>
    <w:tmpl w:val="22A8D04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000000"/>
        <w:sz w:val="17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832388B"/>
    <w:multiLevelType w:val="hybridMultilevel"/>
    <w:tmpl w:val="20026CDE"/>
    <w:lvl w:ilvl="0" w:tplc="EF424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00C1"/>
    <w:multiLevelType w:val="singleLevel"/>
    <w:tmpl w:val="87F2BA1C"/>
    <w:lvl w:ilvl="0">
      <w:start w:val="4"/>
      <w:numFmt w:val="upperRoman"/>
      <w:pStyle w:val="Nadpis5"/>
      <w:lvlText w:val="%1."/>
      <w:lvlJc w:val="left"/>
      <w:pPr>
        <w:tabs>
          <w:tab w:val="num" w:pos="4740"/>
        </w:tabs>
        <w:ind w:left="4740" w:hanging="720"/>
      </w:pPr>
      <w:rPr>
        <w:rFonts w:hint="default"/>
        <w:b/>
        <w:strike/>
        <w:sz w:val="24"/>
      </w:rPr>
    </w:lvl>
  </w:abstractNum>
  <w:abstractNum w:abstractNumId="7" w15:restartNumberingAfterBreak="0">
    <w:nsid w:val="2C464396"/>
    <w:multiLevelType w:val="hybridMultilevel"/>
    <w:tmpl w:val="A17E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30BC"/>
    <w:multiLevelType w:val="hybridMultilevel"/>
    <w:tmpl w:val="ACF6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605DA"/>
    <w:multiLevelType w:val="hybridMultilevel"/>
    <w:tmpl w:val="A4B2CFC8"/>
    <w:lvl w:ilvl="0" w:tplc="7862A6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87952"/>
    <w:multiLevelType w:val="hybridMultilevel"/>
    <w:tmpl w:val="D1C2773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78B66AB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257EA0"/>
    <w:multiLevelType w:val="multilevel"/>
    <w:tmpl w:val="057CC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98F01C9"/>
    <w:multiLevelType w:val="hybridMultilevel"/>
    <w:tmpl w:val="31FE6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1662"/>
    <w:multiLevelType w:val="hybridMultilevel"/>
    <w:tmpl w:val="636487B6"/>
    <w:lvl w:ilvl="0" w:tplc="EF424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B2AE0"/>
    <w:multiLevelType w:val="hybridMultilevel"/>
    <w:tmpl w:val="0106B3C4"/>
    <w:lvl w:ilvl="0" w:tplc="56C05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191F"/>
    <w:multiLevelType w:val="hybridMultilevel"/>
    <w:tmpl w:val="7592BBC6"/>
    <w:lvl w:ilvl="0" w:tplc="EF424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86583"/>
    <w:multiLevelType w:val="hybridMultilevel"/>
    <w:tmpl w:val="61A8E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1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13"/>
  </w:num>
  <w:num w:numId="14">
    <w:abstractNumId w:val="15"/>
  </w:num>
  <w:num w:numId="15">
    <w:abstractNumId w:val="5"/>
  </w:num>
  <w:num w:numId="16">
    <w:abstractNumId w:val="0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35"/>
    <w:rsid w:val="00002648"/>
    <w:rsid w:val="00004D0A"/>
    <w:rsid w:val="000067EC"/>
    <w:rsid w:val="00007AB2"/>
    <w:rsid w:val="00007B07"/>
    <w:rsid w:val="0001115C"/>
    <w:rsid w:val="00017D29"/>
    <w:rsid w:val="000248F9"/>
    <w:rsid w:val="00032781"/>
    <w:rsid w:val="000344D3"/>
    <w:rsid w:val="00036E45"/>
    <w:rsid w:val="00041E1F"/>
    <w:rsid w:val="000422D9"/>
    <w:rsid w:val="00042B1E"/>
    <w:rsid w:val="000453E7"/>
    <w:rsid w:val="000476B0"/>
    <w:rsid w:val="0005139D"/>
    <w:rsid w:val="000603BE"/>
    <w:rsid w:val="0006164C"/>
    <w:rsid w:val="00061AB8"/>
    <w:rsid w:val="00064589"/>
    <w:rsid w:val="00070B89"/>
    <w:rsid w:val="000727E6"/>
    <w:rsid w:val="000770F6"/>
    <w:rsid w:val="0007716D"/>
    <w:rsid w:val="00081F80"/>
    <w:rsid w:val="000905EE"/>
    <w:rsid w:val="00090B1D"/>
    <w:rsid w:val="000913D5"/>
    <w:rsid w:val="00091BA7"/>
    <w:rsid w:val="00095143"/>
    <w:rsid w:val="000A58FA"/>
    <w:rsid w:val="000B5F07"/>
    <w:rsid w:val="000B7978"/>
    <w:rsid w:val="000C24B3"/>
    <w:rsid w:val="000C3D22"/>
    <w:rsid w:val="000C515E"/>
    <w:rsid w:val="000C5C1B"/>
    <w:rsid w:val="000D000F"/>
    <w:rsid w:val="000D6D27"/>
    <w:rsid w:val="000D77EB"/>
    <w:rsid w:val="000E2B65"/>
    <w:rsid w:val="000F3A31"/>
    <w:rsid w:val="00101A5E"/>
    <w:rsid w:val="00101E4A"/>
    <w:rsid w:val="001070C0"/>
    <w:rsid w:val="00112376"/>
    <w:rsid w:val="001139D0"/>
    <w:rsid w:val="00120F2E"/>
    <w:rsid w:val="00122D2E"/>
    <w:rsid w:val="00127515"/>
    <w:rsid w:val="00131EF7"/>
    <w:rsid w:val="00134885"/>
    <w:rsid w:val="001355CE"/>
    <w:rsid w:val="00140B92"/>
    <w:rsid w:val="0014389E"/>
    <w:rsid w:val="0014500C"/>
    <w:rsid w:val="001455D3"/>
    <w:rsid w:val="00177A2F"/>
    <w:rsid w:val="001801DC"/>
    <w:rsid w:val="001827E0"/>
    <w:rsid w:val="00185A2B"/>
    <w:rsid w:val="001905B9"/>
    <w:rsid w:val="0019151B"/>
    <w:rsid w:val="00192133"/>
    <w:rsid w:val="00195D79"/>
    <w:rsid w:val="001A344B"/>
    <w:rsid w:val="001A3CF0"/>
    <w:rsid w:val="001A5698"/>
    <w:rsid w:val="001A7F35"/>
    <w:rsid w:val="001B07E4"/>
    <w:rsid w:val="001B2B85"/>
    <w:rsid w:val="001B79D8"/>
    <w:rsid w:val="001C3988"/>
    <w:rsid w:val="001C4DA7"/>
    <w:rsid w:val="001D5D73"/>
    <w:rsid w:val="001D684A"/>
    <w:rsid w:val="001D7842"/>
    <w:rsid w:val="001E1550"/>
    <w:rsid w:val="001E671A"/>
    <w:rsid w:val="001F353D"/>
    <w:rsid w:val="002036ED"/>
    <w:rsid w:val="00214C33"/>
    <w:rsid w:val="002157B1"/>
    <w:rsid w:val="00221B57"/>
    <w:rsid w:val="002322B1"/>
    <w:rsid w:val="00234B44"/>
    <w:rsid w:val="00236CF3"/>
    <w:rsid w:val="00246F01"/>
    <w:rsid w:val="0024723C"/>
    <w:rsid w:val="002504A2"/>
    <w:rsid w:val="00251B75"/>
    <w:rsid w:val="00252472"/>
    <w:rsid w:val="00255F56"/>
    <w:rsid w:val="00260653"/>
    <w:rsid w:val="00262AE8"/>
    <w:rsid w:val="002632A6"/>
    <w:rsid w:val="00270A1B"/>
    <w:rsid w:val="00285C6B"/>
    <w:rsid w:val="002864B9"/>
    <w:rsid w:val="00290E74"/>
    <w:rsid w:val="0029258A"/>
    <w:rsid w:val="00293CF8"/>
    <w:rsid w:val="00296BCC"/>
    <w:rsid w:val="002B2AFC"/>
    <w:rsid w:val="002C2ED6"/>
    <w:rsid w:val="002C4D45"/>
    <w:rsid w:val="002D199D"/>
    <w:rsid w:val="002E0433"/>
    <w:rsid w:val="002E5760"/>
    <w:rsid w:val="002E7252"/>
    <w:rsid w:val="002F66F1"/>
    <w:rsid w:val="002F7B6B"/>
    <w:rsid w:val="0030226C"/>
    <w:rsid w:val="00302D82"/>
    <w:rsid w:val="00306AA3"/>
    <w:rsid w:val="003108FA"/>
    <w:rsid w:val="00312136"/>
    <w:rsid w:val="00320DB9"/>
    <w:rsid w:val="00322461"/>
    <w:rsid w:val="003226C6"/>
    <w:rsid w:val="0032445B"/>
    <w:rsid w:val="00337CAC"/>
    <w:rsid w:val="0034265E"/>
    <w:rsid w:val="003429BC"/>
    <w:rsid w:val="003435C8"/>
    <w:rsid w:val="00343AB8"/>
    <w:rsid w:val="00347EE5"/>
    <w:rsid w:val="0035347C"/>
    <w:rsid w:val="003578F2"/>
    <w:rsid w:val="00362F0D"/>
    <w:rsid w:val="003720F8"/>
    <w:rsid w:val="0037294E"/>
    <w:rsid w:val="00384B53"/>
    <w:rsid w:val="00385955"/>
    <w:rsid w:val="003A1DCD"/>
    <w:rsid w:val="003A40D1"/>
    <w:rsid w:val="003A5785"/>
    <w:rsid w:val="003B08D0"/>
    <w:rsid w:val="003B53BC"/>
    <w:rsid w:val="003C01AD"/>
    <w:rsid w:val="003C06BB"/>
    <w:rsid w:val="003C4BB3"/>
    <w:rsid w:val="003D0EC2"/>
    <w:rsid w:val="003D44A4"/>
    <w:rsid w:val="003D67E0"/>
    <w:rsid w:val="003D793E"/>
    <w:rsid w:val="003D7AEB"/>
    <w:rsid w:val="003D7ED6"/>
    <w:rsid w:val="003E12CC"/>
    <w:rsid w:val="003E5CD7"/>
    <w:rsid w:val="003E68D3"/>
    <w:rsid w:val="003F4153"/>
    <w:rsid w:val="003F7925"/>
    <w:rsid w:val="00401B67"/>
    <w:rsid w:val="00401BED"/>
    <w:rsid w:val="00403E39"/>
    <w:rsid w:val="00407EC1"/>
    <w:rsid w:val="00417FAE"/>
    <w:rsid w:val="004210F0"/>
    <w:rsid w:val="00421497"/>
    <w:rsid w:val="00421E42"/>
    <w:rsid w:val="004221DF"/>
    <w:rsid w:val="004245E1"/>
    <w:rsid w:val="00425B88"/>
    <w:rsid w:val="00432C92"/>
    <w:rsid w:val="0043533B"/>
    <w:rsid w:val="004368F1"/>
    <w:rsid w:val="004379BF"/>
    <w:rsid w:val="00441FAD"/>
    <w:rsid w:val="004437DE"/>
    <w:rsid w:val="00443D38"/>
    <w:rsid w:val="004448C5"/>
    <w:rsid w:val="00446A16"/>
    <w:rsid w:val="00447289"/>
    <w:rsid w:val="00455885"/>
    <w:rsid w:val="00460917"/>
    <w:rsid w:val="004620CE"/>
    <w:rsid w:val="004648A6"/>
    <w:rsid w:val="0047343F"/>
    <w:rsid w:val="004819BB"/>
    <w:rsid w:val="00482F29"/>
    <w:rsid w:val="00486BEF"/>
    <w:rsid w:val="00487E48"/>
    <w:rsid w:val="00491DA3"/>
    <w:rsid w:val="00497FBE"/>
    <w:rsid w:val="004B0837"/>
    <w:rsid w:val="004B345F"/>
    <w:rsid w:val="004B6C12"/>
    <w:rsid w:val="004C61D9"/>
    <w:rsid w:val="004C6362"/>
    <w:rsid w:val="004D5151"/>
    <w:rsid w:val="004E5DEB"/>
    <w:rsid w:val="004E7375"/>
    <w:rsid w:val="004F0790"/>
    <w:rsid w:val="004F13C3"/>
    <w:rsid w:val="004F14A6"/>
    <w:rsid w:val="004F1AED"/>
    <w:rsid w:val="00507FDC"/>
    <w:rsid w:val="00510766"/>
    <w:rsid w:val="00520692"/>
    <w:rsid w:val="00533071"/>
    <w:rsid w:val="00534A88"/>
    <w:rsid w:val="00551215"/>
    <w:rsid w:val="00554DFC"/>
    <w:rsid w:val="005555F5"/>
    <w:rsid w:val="00557773"/>
    <w:rsid w:val="005627DE"/>
    <w:rsid w:val="00562813"/>
    <w:rsid w:val="00563DF3"/>
    <w:rsid w:val="0056581C"/>
    <w:rsid w:val="00567752"/>
    <w:rsid w:val="0057289B"/>
    <w:rsid w:val="0057546C"/>
    <w:rsid w:val="005763DE"/>
    <w:rsid w:val="00577F07"/>
    <w:rsid w:val="00581C3E"/>
    <w:rsid w:val="005832A6"/>
    <w:rsid w:val="0058702E"/>
    <w:rsid w:val="00590DA0"/>
    <w:rsid w:val="005937DA"/>
    <w:rsid w:val="005A61E9"/>
    <w:rsid w:val="005A6F33"/>
    <w:rsid w:val="005A797A"/>
    <w:rsid w:val="005B2ACA"/>
    <w:rsid w:val="005B5D44"/>
    <w:rsid w:val="005C32B5"/>
    <w:rsid w:val="005C5DA6"/>
    <w:rsid w:val="005F2B8C"/>
    <w:rsid w:val="005F333B"/>
    <w:rsid w:val="006018A5"/>
    <w:rsid w:val="00601EB0"/>
    <w:rsid w:val="0060604B"/>
    <w:rsid w:val="00613443"/>
    <w:rsid w:val="00613889"/>
    <w:rsid w:val="00615DB3"/>
    <w:rsid w:val="00617B8A"/>
    <w:rsid w:val="0062467B"/>
    <w:rsid w:val="00624B1F"/>
    <w:rsid w:val="006305E6"/>
    <w:rsid w:val="0063184F"/>
    <w:rsid w:val="00634607"/>
    <w:rsid w:val="006524FC"/>
    <w:rsid w:val="0065303B"/>
    <w:rsid w:val="00654901"/>
    <w:rsid w:val="00665BA5"/>
    <w:rsid w:val="00667A87"/>
    <w:rsid w:val="00670DCB"/>
    <w:rsid w:val="00672548"/>
    <w:rsid w:val="0067314C"/>
    <w:rsid w:val="00673F98"/>
    <w:rsid w:val="00684EA6"/>
    <w:rsid w:val="00685062"/>
    <w:rsid w:val="00685F66"/>
    <w:rsid w:val="00687087"/>
    <w:rsid w:val="0069201E"/>
    <w:rsid w:val="00695518"/>
    <w:rsid w:val="006957BA"/>
    <w:rsid w:val="006972BE"/>
    <w:rsid w:val="006A057D"/>
    <w:rsid w:val="006A098B"/>
    <w:rsid w:val="006A7361"/>
    <w:rsid w:val="006B0E4B"/>
    <w:rsid w:val="006B3AB6"/>
    <w:rsid w:val="006B4DD0"/>
    <w:rsid w:val="006B6AD1"/>
    <w:rsid w:val="006B7551"/>
    <w:rsid w:val="006C1367"/>
    <w:rsid w:val="006C20D9"/>
    <w:rsid w:val="006C709E"/>
    <w:rsid w:val="006D0DD9"/>
    <w:rsid w:val="006E2003"/>
    <w:rsid w:val="006E2195"/>
    <w:rsid w:val="006E3480"/>
    <w:rsid w:val="006E4893"/>
    <w:rsid w:val="006E4D80"/>
    <w:rsid w:val="006E50E6"/>
    <w:rsid w:val="006F088F"/>
    <w:rsid w:val="006F2F48"/>
    <w:rsid w:val="006F4E71"/>
    <w:rsid w:val="006F6051"/>
    <w:rsid w:val="00700CA3"/>
    <w:rsid w:val="00701D8F"/>
    <w:rsid w:val="00703587"/>
    <w:rsid w:val="007041F8"/>
    <w:rsid w:val="00705E1B"/>
    <w:rsid w:val="00717F99"/>
    <w:rsid w:val="00721B4F"/>
    <w:rsid w:val="00730237"/>
    <w:rsid w:val="00734F7F"/>
    <w:rsid w:val="00754483"/>
    <w:rsid w:val="00766055"/>
    <w:rsid w:val="00770662"/>
    <w:rsid w:val="007763C7"/>
    <w:rsid w:val="00780FCB"/>
    <w:rsid w:val="00784281"/>
    <w:rsid w:val="00784D46"/>
    <w:rsid w:val="00787201"/>
    <w:rsid w:val="007B0741"/>
    <w:rsid w:val="007B1F30"/>
    <w:rsid w:val="007B5E7C"/>
    <w:rsid w:val="007B6082"/>
    <w:rsid w:val="007C02F3"/>
    <w:rsid w:val="007D1B54"/>
    <w:rsid w:val="007D2922"/>
    <w:rsid w:val="007D56E2"/>
    <w:rsid w:val="007E1446"/>
    <w:rsid w:val="007E26B9"/>
    <w:rsid w:val="007E3DA9"/>
    <w:rsid w:val="007E4192"/>
    <w:rsid w:val="007E7A6B"/>
    <w:rsid w:val="007F00CD"/>
    <w:rsid w:val="007F0AAC"/>
    <w:rsid w:val="007F2C3A"/>
    <w:rsid w:val="007F307F"/>
    <w:rsid w:val="007F3D90"/>
    <w:rsid w:val="007F4011"/>
    <w:rsid w:val="007F52A6"/>
    <w:rsid w:val="00807FFD"/>
    <w:rsid w:val="008133A2"/>
    <w:rsid w:val="00814D1C"/>
    <w:rsid w:val="008168A7"/>
    <w:rsid w:val="008234A4"/>
    <w:rsid w:val="00826C50"/>
    <w:rsid w:val="00827F05"/>
    <w:rsid w:val="00831291"/>
    <w:rsid w:val="00833D39"/>
    <w:rsid w:val="00833E5D"/>
    <w:rsid w:val="00845374"/>
    <w:rsid w:val="00850F8A"/>
    <w:rsid w:val="00856335"/>
    <w:rsid w:val="00857CB9"/>
    <w:rsid w:val="008604EA"/>
    <w:rsid w:val="008618C1"/>
    <w:rsid w:val="00861FC7"/>
    <w:rsid w:val="008669EF"/>
    <w:rsid w:val="00871745"/>
    <w:rsid w:val="008739BF"/>
    <w:rsid w:val="00881969"/>
    <w:rsid w:val="008844BD"/>
    <w:rsid w:val="00886D7D"/>
    <w:rsid w:val="008875A4"/>
    <w:rsid w:val="00891521"/>
    <w:rsid w:val="00893C65"/>
    <w:rsid w:val="008A072C"/>
    <w:rsid w:val="008A0995"/>
    <w:rsid w:val="008A2EC9"/>
    <w:rsid w:val="008A6079"/>
    <w:rsid w:val="008B3A9A"/>
    <w:rsid w:val="008B3BBF"/>
    <w:rsid w:val="008B4F95"/>
    <w:rsid w:val="008B504C"/>
    <w:rsid w:val="008B7479"/>
    <w:rsid w:val="008C1A2F"/>
    <w:rsid w:val="008C1B1F"/>
    <w:rsid w:val="008C4B69"/>
    <w:rsid w:val="008C64AE"/>
    <w:rsid w:val="008D099E"/>
    <w:rsid w:val="008D0EE8"/>
    <w:rsid w:val="008D254E"/>
    <w:rsid w:val="008D7ECA"/>
    <w:rsid w:val="008E233D"/>
    <w:rsid w:val="008E2D02"/>
    <w:rsid w:val="008F0D47"/>
    <w:rsid w:val="008F120D"/>
    <w:rsid w:val="008F2F2D"/>
    <w:rsid w:val="009003CD"/>
    <w:rsid w:val="00901E9F"/>
    <w:rsid w:val="009055F8"/>
    <w:rsid w:val="00906497"/>
    <w:rsid w:val="00907943"/>
    <w:rsid w:val="00907CDC"/>
    <w:rsid w:val="009134D9"/>
    <w:rsid w:val="00916569"/>
    <w:rsid w:val="009236DA"/>
    <w:rsid w:val="00923CFF"/>
    <w:rsid w:val="00924720"/>
    <w:rsid w:val="0092586D"/>
    <w:rsid w:val="00931DC1"/>
    <w:rsid w:val="00931E74"/>
    <w:rsid w:val="00933A09"/>
    <w:rsid w:val="0093620F"/>
    <w:rsid w:val="0093665D"/>
    <w:rsid w:val="00937B9D"/>
    <w:rsid w:val="009441F4"/>
    <w:rsid w:val="0095174F"/>
    <w:rsid w:val="00956DB3"/>
    <w:rsid w:val="009622E6"/>
    <w:rsid w:val="00965274"/>
    <w:rsid w:val="0097526F"/>
    <w:rsid w:val="00980643"/>
    <w:rsid w:val="00980EAD"/>
    <w:rsid w:val="00981C96"/>
    <w:rsid w:val="00983FE5"/>
    <w:rsid w:val="009941EF"/>
    <w:rsid w:val="0099586E"/>
    <w:rsid w:val="00996E4E"/>
    <w:rsid w:val="009A2C08"/>
    <w:rsid w:val="009A48E5"/>
    <w:rsid w:val="009B0775"/>
    <w:rsid w:val="009B58BA"/>
    <w:rsid w:val="009C0754"/>
    <w:rsid w:val="009C0F1C"/>
    <w:rsid w:val="009C1336"/>
    <w:rsid w:val="009C1428"/>
    <w:rsid w:val="009C24A3"/>
    <w:rsid w:val="009C4C4C"/>
    <w:rsid w:val="009D03D4"/>
    <w:rsid w:val="009D2F2A"/>
    <w:rsid w:val="009D3E9B"/>
    <w:rsid w:val="009E24AA"/>
    <w:rsid w:val="009E6CDF"/>
    <w:rsid w:val="009F411B"/>
    <w:rsid w:val="00A0129E"/>
    <w:rsid w:val="00A10DB6"/>
    <w:rsid w:val="00A12B84"/>
    <w:rsid w:val="00A167F9"/>
    <w:rsid w:val="00A168FD"/>
    <w:rsid w:val="00A20810"/>
    <w:rsid w:val="00A22343"/>
    <w:rsid w:val="00A225DF"/>
    <w:rsid w:val="00A24E1A"/>
    <w:rsid w:val="00A2762E"/>
    <w:rsid w:val="00A27D83"/>
    <w:rsid w:val="00A30CC1"/>
    <w:rsid w:val="00A35251"/>
    <w:rsid w:val="00A44204"/>
    <w:rsid w:val="00A46C92"/>
    <w:rsid w:val="00A5249B"/>
    <w:rsid w:val="00A54E1B"/>
    <w:rsid w:val="00A5511E"/>
    <w:rsid w:val="00A56F7E"/>
    <w:rsid w:val="00A570EC"/>
    <w:rsid w:val="00A575F2"/>
    <w:rsid w:val="00A66FB4"/>
    <w:rsid w:val="00A71813"/>
    <w:rsid w:val="00A740EA"/>
    <w:rsid w:val="00A841FE"/>
    <w:rsid w:val="00A86142"/>
    <w:rsid w:val="00A95830"/>
    <w:rsid w:val="00A95878"/>
    <w:rsid w:val="00AA077A"/>
    <w:rsid w:val="00AA11B5"/>
    <w:rsid w:val="00AA122F"/>
    <w:rsid w:val="00AB25EE"/>
    <w:rsid w:val="00AB6D33"/>
    <w:rsid w:val="00AC3809"/>
    <w:rsid w:val="00AC4E2E"/>
    <w:rsid w:val="00AC7605"/>
    <w:rsid w:val="00AD1501"/>
    <w:rsid w:val="00AD673C"/>
    <w:rsid w:val="00AE0098"/>
    <w:rsid w:val="00AE0AC0"/>
    <w:rsid w:val="00AE7D44"/>
    <w:rsid w:val="00AF0B84"/>
    <w:rsid w:val="00AF4239"/>
    <w:rsid w:val="00AF5459"/>
    <w:rsid w:val="00B02D9A"/>
    <w:rsid w:val="00B03964"/>
    <w:rsid w:val="00B0670C"/>
    <w:rsid w:val="00B138A1"/>
    <w:rsid w:val="00B228DD"/>
    <w:rsid w:val="00B237E3"/>
    <w:rsid w:val="00B24135"/>
    <w:rsid w:val="00B2421E"/>
    <w:rsid w:val="00B24A15"/>
    <w:rsid w:val="00B24ECE"/>
    <w:rsid w:val="00B25676"/>
    <w:rsid w:val="00B31326"/>
    <w:rsid w:val="00B31AB2"/>
    <w:rsid w:val="00B322FB"/>
    <w:rsid w:val="00B334AA"/>
    <w:rsid w:val="00B371C6"/>
    <w:rsid w:val="00B475D4"/>
    <w:rsid w:val="00B514BC"/>
    <w:rsid w:val="00B514E5"/>
    <w:rsid w:val="00B52A4F"/>
    <w:rsid w:val="00B53D3F"/>
    <w:rsid w:val="00B72A3D"/>
    <w:rsid w:val="00B73A53"/>
    <w:rsid w:val="00B8242E"/>
    <w:rsid w:val="00B853F6"/>
    <w:rsid w:val="00B87700"/>
    <w:rsid w:val="00B92CD3"/>
    <w:rsid w:val="00B92CDA"/>
    <w:rsid w:val="00BB1B7F"/>
    <w:rsid w:val="00BB1DC8"/>
    <w:rsid w:val="00BB48A8"/>
    <w:rsid w:val="00BC4DBB"/>
    <w:rsid w:val="00BC7FD3"/>
    <w:rsid w:val="00BD3ADA"/>
    <w:rsid w:val="00BD5E2E"/>
    <w:rsid w:val="00BE00AD"/>
    <w:rsid w:val="00BE2765"/>
    <w:rsid w:val="00BE3D76"/>
    <w:rsid w:val="00BE430E"/>
    <w:rsid w:val="00BE5902"/>
    <w:rsid w:val="00BE6579"/>
    <w:rsid w:val="00BF1C71"/>
    <w:rsid w:val="00BF1CA2"/>
    <w:rsid w:val="00BF573A"/>
    <w:rsid w:val="00BF6C0F"/>
    <w:rsid w:val="00C1289D"/>
    <w:rsid w:val="00C1654E"/>
    <w:rsid w:val="00C2013B"/>
    <w:rsid w:val="00C26DDA"/>
    <w:rsid w:val="00C364E1"/>
    <w:rsid w:val="00C3660A"/>
    <w:rsid w:val="00C419B1"/>
    <w:rsid w:val="00C44F9D"/>
    <w:rsid w:val="00C4536E"/>
    <w:rsid w:val="00C51947"/>
    <w:rsid w:val="00C53FDE"/>
    <w:rsid w:val="00C60439"/>
    <w:rsid w:val="00C636DD"/>
    <w:rsid w:val="00C667A4"/>
    <w:rsid w:val="00C77A54"/>
    <w:rsid w:val="00C816F0"/>
    <w:rsid w:val="00C81DAE"/>
    <w:rsid w:val="00C84FE1"/>
    <w:rsid w:val="00C87B66"/>
    <w:rsid w:val="00C964AB"/>
    <w:rsid w:val="00CA1077"/>
    <w:rsid w:val="00CA2B1A"/>
    <w:rsid w:val="00CA4760"/>
    <w:rsid w:val="00CA662A"/>
    <w:rsid w:val="00CA6AC4"/>
    <w:rsid w:val="00CB17AB"/>
    <w:rsid w:val="00CB54CF"/>
    <w:rsid w:val="00CB6398"/>
    <w:rsid w:val="00CC4166"/>
    <w:rsid w:val="00CD006A"/>
    <w:rsid w:val="00CD122B"/>
    <w:rsid w:val="00CD18B1"/>
    <w:rsid w:val="00CD299A"/>
    <w:rsid w:val="00CD38C4"/>
    <w:rsid w:val="00CD3F90"/>
    <w:rsid w:val="00CD7212"/>
    <w:rsid w:val="00CE1451"/>
    <w:rsid w:val="00CE5AB4"/>
    <w:rsid w:val="00CE63A1"/>
    <w:rsid w:val="00CE6FD7"/>
    <w:rsid w:val="00CE7E48"/>
    <w:rsid w:val="00CF11F1"/>
    <w:rsid w:val="00CF6185"/>
    <w:rsid w:val="00CF7252"/>
    <w:rsid w:val="00D01024"/>
    <w:rsid w:val="00D01576"/>
    <w:rsid w:val="00D01602"/>
    <w:rsid w:val="00D05EB8"/>
    <w:rsid w:val="00D07137"/>
    <w:rsid w:val="00D13515"/>
    <w:rsid w:val="00D17C98"/>
    <w:rsid w:val="00D235F4"/>
    <w:rsid w:val="00D30324"/>
    <w:rsid w:val="00D30F99"/>
    <w:rsid w:val="00D52014"/>
    <w:rsid w:val="00D639A7"/>
    <w:rsid w:val="00D642B4"/>
    <w:rsid w:val="00D72494"/>
    <w:rsid w:val="00D8086C"/>
    <w:rsid w:val="00D849C1"/>
    <w:rsid w:val="00D859EE"/>
    <w:rsid w:val="00D94368"/>
    <w:rsid w:val="00D94480"/>
    <w:rsid w:val="00D95620"/>
    <w:rsid w:val="00DA235F"/>
    <w:rsid w:val="00DA3C95"/>
    <w:rsid w:val="00DA4663"/>
    <w:rsid w:val="00DA4BD5"/>
    <w:rsid w:val="00DB1CD7"/>
    <w:rsid w:val="00DB6D97"/>
    <w:rsid w:val="00DC246D"/>
    <w:rsid w:val="00DC43C8"/>
    <w:rsid w:val="00DC720D"/>
    <w:rsid w:val="00DD3FEC"/>
    <w:rsid w:val="00DE15EF"/>
    <w:rsid w:val="00DE2C61"/>
    <w:rsid w:val="00DE693E"/>
    <w:rsid w:val="00DF3514"/>
    <w:rsid w:val="00DF4645"/>
    <w:rsid w:val="00DF4B03"/>
    <w:rsid w:val="00DF778E"/>
    <w:rsid w:val="00E03A21"/>
    <w:rsid w:val="00E140D1"/>
    <w:rsid w:val="00E22E2C"/>
    <w:rsid w:val="00E25A5D"/>
    <w:rsid w:val="00E26138"/>
    <w:rsid w:val="00E27DE2"/>
    <w:rsid w:val="00E30398"/>
    <w:rsid w:val="00E30DC0"/>
    <w:rsid w:val="00E32B81"/>
    <w:rsid w:val="00E32DAB"/>
    <w:rsid w:val="00E41503"/>
    <w:rsid w:val="00E448A5"/>
    <w:rsid w:val="00E45243"/>
    <w:rsid w:val="00E4686B"/>
    <w:rsid w:val="00E50145"/>
    <w:rsid w:val="00E55A29"/>
    <w:rsid w:val="00E55BE4"/>
    <w:rsid w:val="00E6392D"/>
    <w:rsid w:val="00E67BF4"/>
    <w:rsid w:val="00E67CA1"/>
    <w:rsid w:val="00E74156"/>
    <w:rsid w:val="00E746FB"/>
    <w:rsid w:val="00E747FC"/>
    <w:rsid w:val="00E802F7"/>
    <w:rsid w:val="00E84042"/>
    <w:rsid w:val="00E8477E"/>
    <w:rsid w:val="00E905EA"/>
    <w:rsid w:val="00E934A4"/>
    <w:rsid w:val="00E964BD"/>
    <w:rsid w:val="00EA0320"/>
    <w:rsid w:val="00EA535D"/>
    <w:rsid w:val="00EB0456"/>
    <w:rsid w:val="00EB40AA"/>
    <w:rsid w:val="00EC0FAB"/>
    <w:rsid w:val="00EC287E"/>
    <w:rsid w:val="00ED643A"/>
    <w:rsid w:val="00EE08EF"/>
    <w:rsid w:val="00EE12D2"/>
    <w:rsid w:val="00EE3372"/>
    <w:rsid w:val="00EE6EE5"/>
    <w:rsid w:val="00EF0191"/>
    <w:rsid w:val="00F0551F"/>
    <w:rsid w:val="00F05F89"/>
    <w:rsid w:val="00F10591"/>
    <w:rsid w:val="00F11330"/>
    <w:rsid w:val="00F14CC6"/>
    <w:rsid w:val="00F20159"/>
    <w:rsid w:val="00F24C1F"/>
    <w:rsid w:val="00F25233"/>
    <w:rsid w:val="00F26955"/>
    <w:rsid w:val="00F33ACE"/>
    <w:rsid w:val="00F37461"/>
    <w:rsid w:val="00F41737"/>
    <w:rsid w:val="00F43E29"/>
    <w:rsid w:val="00F51E1A"/>
    <w:rsid w:val="00F5255E"/>
    <w:rsid w:val="00F52CAE"/>
    <w:rsid w:val="00F550AB"/>
    <w:rsid w:val="00F557FE"/>
    <w:rsid w:val="00F622E1"/>
    <w:rsid w:val="00F65471"/>
    <w:rsid w:val="00F762CC"/>
    <w:rsid w:val="00F866C7"/>
    <w:rsid w:val="00F97DE3"/>
    <w:rsid w:val="00FB67F3"/>
    <w:rsid w:val="00FC2454"/>
    <w:rsid w:val="00FC6668"/>
    <w:rsid w:val="00FD01C3"/>
    <w:rsid w:val="00FD3A08"/>
    <w:rsid w:val="00FE0A30"/>
    <w:rsid w:val="00FE18B5"/>
    <w:rsid w:val="00FE1E4E"/>
    <w:rsid w:val="00FE4487"/>
    <w:rsid w:val="00FE59F2"/>
    <w:rsid w:val="00FE609C"/>
    <w:rsid w:val="00FE7962"/>
    <w:rsid w:val="00FF2D19"/>
    <w:rsid w:val="00FF5118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B83864-67F3-4D10-BEB1-C7ADC058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6F0"/>
  </w:style>
  <w:style w:type="paragraph" w:styleId="Nadpis1">
    <w:name w:val="heading 1"/>
    <w:basedOn w:val="Normln"/>
    <w:next w:val="Normln"/>
    <w:qFormat/>
    <w:rsid w:val="00112376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12376"/>
    <w:pPr>
      <w:keepNext/>
      <w:ind w:left="3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12376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5B2ACA"/>
    <w:pPr>
      <w:keepNext/>
      <w:numPr>
        <w:numId w:val="1"/>
      </w:numPr>
      <w:tabs>
        <w:tab w:val="clear" w:pos="6249"/>
        <w:tab w:val="num" w:pos="4974"/>
      </w:tabs>
      <w:ind w:left="4974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12376"/>
    <w:pPr>
      <w:keepNext/>
      <w:numPr>
        <w:numId w:val="2"/>
      </w:numPr>
      <w:ind w:left="11" w:hanging="11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112376"/>
    <w:pPr>
      <w:jc w:val="center"/>
    </w:pPr>
    <w:rPr>
      <w:i/>
      <w:sz w:val="40"/>
    </w:rPr>
  </w:style>
  <w:style w:type="paragraph" w:styleId="Zkladntext">
    <w:name w:val="Body Text"/>
    <w:basedOn w:val="Normln"/>
    <w:rsid w:val="00112376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00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0AD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basedOn w:val="Standardnpsmoodstavce"/>
    <w:semiHidden/>
    <w:unhideWhenUsed/>
    <w:rsid w:val="00101E4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01E4A"/>
  </w:style>
  <w:style w:type="character" w:customStyle="1" w:styleId="TextkomenteChar">
    <w:name w:val="Text komentáře Char"/>
    <w:basedOn w:val="Standardnpsmoodstavce"/>
    <w:link w:val="Textkomente"/>
    <w:semiHidden/>
    <w:rsid w:val="00101E4A"/>
    <w:rPr>
      <w:rFonts w:ascii="Tms Rmn" w:hAnsi="Tms Rmn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1E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1E4A"/>
    <w:rPr>
      <w:rFonts w:ascii="Tms Rmn" w:hAnsi="Tms Rmn"/>
      <w:b/>
      <w:bCs/>
      <w:lang w:val="de-DE"/>
    </w:rPr>
  </w:style>
  <w:style w:type="paragraph" w:styleId="Odstavecseseznamem">
    <w:name w:val="List Paragraph"/>
    <w:basedOn w:val="Normln"/>
    <w:qFormat/>
    <w:rsid w:val="0032445B"/>
    <w:pPr>
      <w:ind w:left="720"/>
      <w:contextualSpacing/>
    </w:pPr>
  </w:style>
  <w:style w:type="paragraph" w:styleId="Revize">
    <w:name w:val="Revision"/>
    <w:hidden/>
    <w:uiPriority w:val="99"/>
    <w:semiHidden/>
    <w:rsid w:val="008604EA"/>
    <w:rPr>
      <w:rFonts w:ascii="Tms Rmn" w:hAnsi="Tms Rmn"/>
      <w:lang w:val="de-DE"/>
    </w:rPr>
  </w:style>
  <w:style w:type="paragraph" w:styleId="Zhlav">
    <w:name w:val="header"/>
    <w:basedOn w:val="Normln"/>
    <w:link w:val="ZhlavChar"/>
    <w:uiPriority w:val="99"/>
    <w:unhideWhenUsed/>
    <w:rsid w:val="008D0E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0EE8"/>
    <w:rPr>
      <w:rFonts w:ascii="Tms Rmn" w:hAnsi="Tms Rmn"/>
      <w:lang w:val="de-DE"/>
    </w:rPr>
  </w:style>
  <w:style w:type="paragraph" w:styleId="Zpat">
    <w:name w:val="footer"/>
    <w:basedOn w:val="Normln"/>
    <w:link w:val="ZpatChar"/>
    <w:uiPriority w:val="99"/>
    <w:unhideWhenUsed/>
    <w:rsid w:val="008D0E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0EE8"/>
    <w:rPr>
      <w:rFonts w:ascii="Tms Rmn" w:hAnsi="Tms Rmn"/>
      <w:lang w:val="de-DE"/>
    </w:rPr>
  </w:style>
  <w:style w:type="character" w:styleId="Hypertextovodkaz">
    <w:name w:val="Hyperlink"/>
    <w:basedOn w:val="Standardnpsmoodstavce"/>
    <w:uiPriority w:val="99"/>
    <w:unhideWhenUsed/>
    <w:rsid w:val="00721B4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23CFF"/>
    <w:rPr>
      <w:b/>
      <w:bCs/>
    </w:rPr>
  </w:style>
  <w:style w:type="paragraph" w:customStyle="1" w:styleId="rove2">
    <w:name w:val="úroveň2"/>
    <w:basedOn w:val="Normln"/>
    <w:rsid w:val="009F411B"/>
    <w:pPr>
      <w:numPr>
        <w:ilvl w:val="1"/>
        <w:numId w:val="3"/>
      </w:numPr>
      <w:tabs>
        <w:tab w:val="left" w:pos="540"/>
      </w:tabs>
      <w:spacing w:after="60"/>
    </w:pPr>
    <w:rPr>
      <w:rFonts w:ascii="Arial" w:hAnsi="Arial"/>
      <w:sz w:val="16"/>
      <w:szCs w:val="24"/>
    </w:rPr>
  </w:style>
  <w:style w:type="paragraph" w:customStyle="1" w:styleId="rove1">
    <w:name w:val="úroveň1"/>
    <w:basedOn w:val="Normln"/>
    <w:rsid w:val="009F411B"/>
    <w:pPr>
      <w:numPr>
        <w:numId w:val="3"/>
      </w:numPr>
      <w:tabs>
        <w:tab w:val="left" w:pos="227"/>
      </w:tabs>
    </w:pPr>
    <w:rPr>
      <w:rFonts w:ascii="Frutiger CE 47LightCn" w:hAnsi="Frutiger CE 47LightCn"/>
      <w:b/>
      <w:bCs/>
      <w:sz w:val="17"/>
      <w:szCs w:val="24"/>
    </w:rPr>
  </w:style>
  <w:style w:type="table" w:styleId="Mkatabulky">
    <w:name w:val="Table Grid"/>
    <w:basedOn w:val="Normlntabulka"/>
    <w:uiPriority w:val="59"/>
    <w:rsid w:val="0061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20">
    <w:name w:val="úroveň 2"/>
    <w:basedOn w:val="Normln"/>
    <w:rsid w:val="003C06BB"/>
    <w:pPr>
      <w:numPr>
        <w:ilvl w:val="1"/>
        <w:numId w:val="4"/>
      </w:numPr>
      <w:ind w:left="794" w:hanging="454"/>
    </w:pPr>
    <w:rPr>
      <w:b/>
      <w:bCs/>
      <w:sz w:val="22"/>
      <w:szCs w:val="22"/>
    </w:rPr>
  </w:style>
  <w:style w:type="character" w:customStyle="1" w:styleId="data1">
    <w:name w:val="data1"/>
    <w:basedOn w:val="Standardnpsmoodstavce"/>
    <w:rsid w:val="008844BD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us.cz" TargetMode="External"/><Relationship Id="rId13" Type="http://schemas.openxmlformats.org/officeDocument/2006/relationships/hyperlink" Target="http://www.fraus.cz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au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au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raus.cz" TargetMode="External"/><Relationship Id="rId10" Type="http://schemas.openxmlformats.org/officeDocument/2006/relationships/hyperlink" Target="http://www.fraus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aus.cz" TargetMode="External"/><Relationship Id="rId14" Type="http://schemas.openxmlformats.org/officeDocument/2006/relationships/hyperlink" Target="http://www.frau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-knihkup.s%20komis.prodejem%20zbo&#382;&#23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8803A90F0B4BEAA59400CAA6386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3811B-CF2E-4E3B-8FAC-390911B089E7}"/>
      </w:docPartPr>
      <w:docPartBody>
        <w:p w:rsidR="002E19F2" w:rsidRDefault="002E19F2" w:rsidP="002E19F2">
          <w:pPr>
            <w:pStyle w:val="888803A90F0B4BEAA59400CAA6386E81"/>
          </w:pPr>
          <w: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CE 47LightCn">
    <w:panose1 w:val="00000000000000000000"/>
    <w:charset w:val="EE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19F2"/>
    <w:rsid w:val="00050AE5"/>
    <w:rsid w:val="00063D84"/>
    <w:rsid w:val="00122532"/>
    <w:rsid w:val="00274974"/>
    <w:rsid w:val="002C6181"/>
    <w:rsid w:val="002D1BAD"/>
    <w:rsid w:val="002E19F2"/>
    <w:rsid w:val="004841D5"/>
    <w:rsid w:val="005F65A1"/>
    <w:rsid w:val="006D5AFC"/>
    <w:rsid w:val="007D0674"/>
    <w:rsid w:val="00935B8B"/>
    <w:rsid w:val="009E52E7"/>
    <w:rsid w:val="00A57922"/>
    <w:rsid w:val="00A57BCD"/>
    <w:rsid w:val="00BD2023"/>
    <w:rsid w:val="00C17394"/>
    <w:rsid w:val="00C41BAC"/>
    <w:rsid w:val="00C4465F"/>
    <w:rsid w:val="00D14C2E"/>
    <w:rsid w:val="00D81BB0"/>
    <w:rsid w:val="00F07C9D"/>
    <w:rsid w:val="00F51287"/>
    <w:rsid w:val="00F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1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7A2E9DDDC934309B3D819E425048C66">
    <w:name w:val="F7A2E9DDDC934309B3D819E425048C66"/>
    <w:rsid w:val="002E19F2"/>
  </w:style>
  <w:style w:type="paragraph" w:customStyle="1" w:styleId="888803A90F0B4BEAA59400CAA6386E81">
    <w:name w:val="888803A90F0B4BEAA59400CAA6386E81"/>
    <w:rsid w:val="002E1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A3DFB-1567-47B8-AAA5-5B807FA9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S-knihkup.s komis.prodejem zboží</Template>
  <TotalTime>0</TotalTime>
  <Pages>6</Pages>
  <Words>1995</Words>
  <Characters>11777</Characters>
  <Application>Microsoft Office Word</Application>
  <DocSecurity>4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FRAUS</vt:lpstr>
    </vt:vector>
  </TitlesOfParts>
  <Company>Nakladatelství Fraus, s.r.o.</Company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FRAUS</dc:title>
  <dc:subject>Rámcová kupní smlouva</dc:subject>
  <dc:creator>Lucie Juhászová</dc:creator>
  <cp:lastModifiedBy>douslu</cp:lastModifiedBy>
  <cp:revision>2</cp:revision>
  <cp:lastPrinted>2016-03-08T12:45:00Z</cp:lastPrinted>
  <dcterms:created xsi:type="dcterms:W3CDTF">2017-09-21T12:22:00Z</dcterms:created>
  <dcterms:modified xsi:type="dcterms:W3CDTF">2017-09-21T12:22:00Z</dcterms:modified>
</cp:coreProperties>
</file>