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40" w:line="228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52"/>
          <w:szCs w:val="52"/>
          <w:shd w:val="clear" w:color="auto" w:fill="auto"/>
          <w:lang w:val="cs-CZ" w:eastAsia="cs-CZ" w:bidi="cs-CZ"/>
        </w:rPr>
        <w:t>SMLOUVA o zřízení věcného</w:t>
        <w:br/>
        <w:t>břemene - služebnosti</w:t>
        <w:br/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uzavřená podle ust. § 1257 a násl. občanského zákoníku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CHMEL spol. s r. o.</w:t>
      </w:r>
      <w:bookmarkEnd w:id="0"/>
      <w:bookmarkEnd w:id="1"/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zapsaná v obchodním rejstříku u Městského soudu v Praze v oddílu C, vložce 25466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09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Sídlo:</w:t>
        <w:tab/>
        <w:t>Anny Letenské 1120/17, 120 00 Praha 2 Vinohrady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09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IČO:</w:t>
        <w:tab/>
        <w:t>47541768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09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DIČ:</w:t>
        <w:tab/>
        <w:t>CZ47541768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Bankovní spojení: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účtu: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Zastoupená: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jako povinná z věcného břemene (dále jen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„povinná“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Povodí Ohře, státní podnik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093" w:val="left"/>
          <w:tab w:pos="5150" w:val="center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 xml:space="preserve">zapsaný v obchodním rejstříku u Krajského soudu v Ústí nad Labem v oddílu A, vložce č. 13052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Sídlo:</w:t>
        <w:tab/>
        <w:t>Bezručova 4219, 430 03</w:t>
        <w:tab/>
        <w:t>Chomutov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09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IČO:</w:t>
        <w:tab/>
        <w:t>70889988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09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DIČ:</w:t>
        <w:tab/>
        <w:t>CZ70889988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Bankovní spojení: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účtu: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Zastoupený: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jako oprávněný z věcného břemene (dále jen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„oprávněný“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)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uzavírají níže uvedeného dne, měsíce a roku tuto smlouvu o zřízení věcného břemene - služebnosti.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I.</w:t>
      </w:r>
      <w:bookmarkEnd w:id="3"/>
      <w:bookmarkEnd w:id="4"/>
      <w:bookmarkEnd w:id="5"/>
    </w:p>
    <w:p>
      <w:pPr>
        <w:pStyle w:val="Style1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3" w:name="bookmark3"/>
      <w:bookmarkStart w:id="4" w:name="bookmark4"/>
      <w:bookmarkStart w:id="6" w:name="bookmark6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Prohlášení</w:t>
      </w:r>
      <w:bookmarkEnd w:id="3"/>
      <w:bookmarkEnd w:id="4"/>
      <w:bookmarkEnd w:id="6"/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1) Povinná prohlašuje, že má ve svém vlastnictví níže uvedenou nemovitou věc:</w:t>
      </w:r>
    </w:p>
    <w:tbl>
      <w:tblPr>
        <w:tblOverlap w:val="never"/>
        <w:jc w:val="center"/>
        <w:tblLayout w:type="fixed"/>
      </w:tblPr>
      <w:tblGrid>
        <w:gridCol w:w="1795"/>
        <w:gridCol w:w="3883"/>
        <w:gridCol w:w="2986"/>
      </w:tblGrid>
      <w:tr>
        <w:trPr>
          <w:trHeight w:val="43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p. p. č.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druh pozemku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k. ú.</w:t>
            </w:r>
          </w:p>
        </w:tc>
      </w:tr>
      <w:tr>
        <w:trPr>
          <w:trHeight w:val="49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1004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orná půda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Mukoděly</w:t>
            </w:r>
          </w:p>
        </w:tc>
      </w:tr>
    </w:tbl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dále jen „dotčená nemovitá věc“.</w:t>
      </w:r>
    </w:p>
    <w:p>
      <w:pPr>
        <w:widowControl w:val="0"/>
        <w:spacing w:after="179" w:line="1" w:lineRule="exact"/>
      </w:pP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21" w:val="left"/>
        </w:tabs>
        <w:bidi w:val="0"/>
        <w:spacing w:before="0" w:after="60" w:line="240" w:lineRule="auto"/>
        <w:ind w:left="440" w:right="0" w:hanging="440"/>
        <w:jc w:val="left"/>
      </w:pPr>
      <w:bookmarkStart w:id="7" w:name="bookmark7"/>
      <w:bookmarkEnd w:id="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Tato dotčená nemovitá věc je zapsána na LV č. 62 u Katastrálního úřadu pro Ústecký kraj, Katastrálního pracoviště Žatec.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21" w:val="left"/>
        </w:tabs>
        <w:bidi w:val="0"/>
        <w:spacing w:before="0" w:after="60" w:line="240" w:lineRule="auto"/>
        <w:ind w:left="440" w:right="0" w:hanging="440"/>
        <w:jc w:val="left"/>
      </w:pPr>
      <w:bookmarkStart w:id="8" w:name="bookmark8"/>
      <w:bookmarkEnd w:id="8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Účelem této smlouvy je zřízení věcného břemene ke stavbě: „Komplexní řešení sucha na Rakovnicku, II. etapa, přivaděč vody z Ohře do nádrže Vidhostice, přivaděč vody z nádrže Vidhostice do Rakovnického potoka včetně přípojky z budoucí nádrže Kryry“, jejímž investorem je oprávněný.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21" w:val="left"/>
        </w:tabs>
        <w:bidi w:val="0"/>
        <w:spacing w:before="0" w:after="440" w:line="240" w:lineRule="auto"/>
        <w:ind w:left="440" w:right="0" w:hanging="440"/>
        <w:jc w:val="left"/>
      </w:pPr>
      <w:bookmarkStart w:id="9" w:name="bookmark9"/>
      <w:bookmarkEnd w:id="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Povinná je srozuměna s tím, že výše uvedená akce je hrazená za použití finančních prostředků z rozpočtové kapitoly Operace státních finančních aktiv a prostředků státního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rozpočtu. Výše uvedené finanční prostředky jsou uvolňovány do rozpočtu oprávněného na základě vydaného Rozhodnutí o poskytnutí dotace a jsou určeny výlučně na úhradu ceny za zřízení věcného břemene.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II.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0" w:name="bookmark10"/>
      <w:bookmarkStart w:id="11" w:name="bookmark11"/>
      <w:bookmarkStart w:id="12" w:name="bookmark12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Předmět věcného břemene - služebnosti</w:t>
      </w:r>
      <w:bookmarkEnd w:id="10"/>
      <w:bookmarkEnd w:id="11"/>
      <w:bookmarkEnd w:id="12"/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13" w:val="left"/>
        </w:tabs>
        <w:bidi w:val="0"/>
        <w:spacing w:before="0" w:line="240" w:lineRule="auto"/>
        <w:ind w:left="440" w:right="0" w:hanging="440"/>
        <w:jc w:val="both"/>
      </w:pPr>
      <w:bookmarkStart w:id="13" w:name="bookmark13"/>
      <w:bookmarkEnd w:id="1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Povinná zřizuje k dotčené nemovité věci dle čl. I. této smlouvy ve prospěch oprávněného služebnost inženýrské sítě – podzemního potrubí, realizovaného v rámci stavby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„Komplexní řešení sucha na Rakovnicku, II. etapa“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a právo stezky a cesty v souvislosti s prováděním kontroly, obnovy, oprav a údržby této inženýrské sítě, a to v rozsahu geometrického plánu č.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222-389/2025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, který je nedílnou součástí této smlouvy.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13" w:val="left"/>
        </w:tabs>
        <w:bidi w:val="0"/>
        <w:spacing w:before="0" w:line="240" w:lineRule="auto"/>
        <w:ind w:left="440" w:right="0" w:hanging="440"/>
        <w:jc w:val="both"/>
      </w:pPr>
      <w:bookmarkStart w:id="14" w:name="bookmark14"/>
      <w:bookmarkEnd w:id="14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Povinná se zdrží všeho, co vede k ohrožení inženýrské sítě, umožní oprávněnému vstup na dotčenou nemovitou věc po nezbytnou dobu a v nutném rozsahu za výše uvedeným účelem.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3) Rozsah sjednaného věcného břemene je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:</w:t>
      </w:r>
    </w:p>
    <w:tbl>
      <w:tblPr>
        <w:tblOverlap w:val="never"/>
        <w:jc w:val="center"/>
        <w:tblLayout w:type="fixed"/>
      </w:tblPr>
      <w:tblGrid>
        <w:gridCol w:w="1421"/>
        <w:gridCol w:w="2952"/>
        <w:gridCol w:w="2362"/>
        <w:gridCol w:w="1930"/>
      </w:tblGrid>
      <w:tr>
        <w:trPr>
          <w:trHeight w:val="43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p. p. č.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druh pozemku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k. ú.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rozsah VB v m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vertAlign w:val="superscript"/>
                <w:lang w:val="cs-CZ" w:eastAsia="cs-CZ" w:bidi="cs-CZ"/>
              </w:rPr>
              <w:t>2</w:t>
            </w:r>
          </w:p>
        </w:tc>
      </w:tr>
      <w:tr>
        <w:trPr>
          <w:trHeight w:val="49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1004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orná půda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Mukoděly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622</w:t>
            </w:r>
          </w:p>
        </w:tc>
      </w:tr>
    </w:tbl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Touto smlouvou zřízené věcné břemeno se vztahuje k dotčené nemovité věci a se změnou vlastnictví k ní přechází na nové vlastníky.</w:t>
      </w:r>
    </w:p>
    <w:p>
      <w:pPr>
        <w:widowControl w:val="0"/>
        <w:spacing w:after="43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III.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5" w:name="bookmark15"/>
      <w:bookmarkStart w:id="16" w:name="bookmark16"/>
      <w:bookmarkStart w:id="17" w:name="bookmark1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Prohlášení smluvních stran</w:t>
      </w:r>
      <w:bookmarkEnd w:id="15"/>
      <w:bookmarkEnd w:id="16"/>
      <w:bookmarkEnd w:id="17"/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413" w:val="left"/>
        </w:tabs>
        <w:bidi w:val="0"/>
        <w:spacing w:before="0" w:line="240" w:lineRule="auto"/>
        <w:ind w:left="0" w:right="0" w:firstLine="0"/>
        <w:jc w:val="both"/>
      </w:pPr>
      <w:bookmarkStart w:id="18" w:name="bookmark18"/>
      <w:bookmarkEnd w:id="18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Oprávněný právo odpovídající věcnému břemeni dle čl. II přijímá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413" w:val="left"/>
        </w:tabs>
        <w:bidi w:val="0"/>
        <w:spacing w:before="0" w:line="240" w:lineRule="auto"/>
        <w:ind w:left="440" w:right="0" w:hanging="440"/>
        <w:jc w:val="both"/>
      </w:pPr>
      <w:bookmarkStart w:id="19" w:name="bookmark19"/>
      <w:bookmarkEnd w:id="1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Povinná se zavazuje strpět věcné břemeno spočívající v umístění inženýrské sítě na dotčené nemovité věci dle bodu II. se všemi s tím spojenými zákonnými právy, povinnostmi a omezeními uvedenými v bodu II.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413" w:val="left"/>
        </w:tabs>
        <w:bidi w:val="0"/>
        <w:spacing w:before="0" w:line="240" w:lineRule="auto"/>
        <w:ind w:left="440" w:right="0" w:hanging="440"/>
        <w:jc w:val="both"/>
      </w:pPr>
      <w:bookmarkStart w:id="20" w:name="bookmark20"/>
      <w:bookmarkEnd w:id="20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Oprávněný se zavazuje, že výkonem práv vyplývajících z věcného břemene bude do práv povinné zasahovat jen v nezbytné míře v rámci účelu, pro který je věcné břemeno zřízeno. Termín vstupu, důvod a rozsah prací oznámí oprávněný povinné předem. V případě havárie a v případě nebezpečí z prodlení oznámí oprávněný vstup povinné telefonicky nebo dodatečně.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413" w:val="left"/>
        </w:tabs>
        <w:bidi w:val="0"/>
        <w:spacing w:before="0" w:after="440" w:line="240" w:lineRule="auto"/>
        <w:ind w:left="440" w:right="0" w:hanging="440"/>
        <w:jc w:val="both"/>
      </w:pPr>
      <w:bookmarkStart w:id="21" w:name="bookmark21"/>
      <w:bookmarkEnd w:id="2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Pokud vstupem na pozemek vznikne vlastníkovi pozemku škoda, má nárok na její úhradu.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2" w:name="bookmark22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I</w:t>
      </w:r>
      <w:bookmarkEnd w:id="22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Doba trvání věcného břemene - služebnosti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Právo odpovídající věcnému břemeni se zřizuje na dobu trvání stavby.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3" w:name="bookmark23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</w:t>
      </w:r>
      <w:bookmarkEnd w:id="23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Cena věcného břemene a platební podmínky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427" w:val="left"/>
        </w:tabs>
        <w:bidi w:val="0"/>
        <w:spacing w:before="0" w:line="240" w:lineRule="auto"/>
        <w:ind w:left="440" w:right="0" w:hanging="440"/>
        <w:jc w:val="both"/>
      </w:pPr>
      <w:bookmarkStart w:id="24" w:name="bookmark24"/>
      <w:bookmarkEnd w:id="24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Finanční náhrada za zřízení věcného břemene – služebnosti na dotčené nemovité věci byla stanovena na základě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„Zásad pro vypořádání práv k nemovitým věcem dotčeným plánovanou realizací komplexního řešení sucha na Rakovnicku – II. etapa“ ve smyslu Usnesení vlády ČR ze dne 5. listopadu 2021 č. 958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, a činí: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52 870,- Kč bez DPH</w:t>
        <w:br/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(slovy: padesát dva tisíc osm set sedmdesát korun českých)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427" w:val="left"/>
        </w:tabs>
        <w:bidi w:val="0"/>
        <w:spacing w:before="0" w:after="700" w:line="240" w:lineRule="auto"/>
        <w:ind w:left="440" w:right="0" w:hanging="440"/>
        <w:jc w:val="both"/>
      </w:pPr>
      <w:bookmarkStart w:id="25" w:name="bookmark25"/>
      <w:bookmarkEnd w:id="25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Dohodnutá částka je splatná nejpozději do 30 dnů ode dne, kdy bude oprávněnému doručen platební doklad. Platebním dokladem je faktura, která musí obsahovat všechny náležitosti účetního - daňového dokladu podle účinných právních předpisů. Fakturu vystaví strana povinná a doručí straně oprávněné neprodleně po obdržení vyrozumění o provedení vkladu věcného břemene do katastru nemovitostí.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6" w:name="bookmark26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</w:t>
      </w:r>
      <w:bookmarkEnd w:id="26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I.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center"/>
      </w:pPr>
      <w:bookmarkStart w:id="27" w:name="bookmark27"/>
      <w:bookmarkStart w:id="28" w:name="bookmark28"/>
      <w:bookmarkStart w:id="29" w:name="bookmark2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Ostatní ujednání</w:t>
      </w:r>
      <w:bookmarkEnd w:id="27"/>
      <w:bookmarkEnd w:id="28"/>
      <w:bookmarkEnd w:id="29"/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427" w:val="left"/>
        </w:tabs>
        <w:bidi w:val="0"/>
        <w:spacing w:before="0" w:after="60" w:line="240" w:lineRule="auto"/>
        <w:ind w:left="440" w:right="0" w:hanging="440"/>
        <w:jc w:val="both"/>
      </w:pPr>
      <w:bookmarkStart w:id="30" w:name="bookmark30"/>
      <w:bookmarkEnd w:id="30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Smluvní strany se dohodly, že na základě této smlouvy lze zapsat do katastru nemovitostí u místně příslušného katastrálního úřadu vklad věcného břemene pro Českou republiku s právem hospodařit pro oprávněného. Smluvní strany se dohodly, že návrh na provedení vkladu dle této smlouvy do katastru nemovitostí podá oprávněný bez zbytečného odkladu po obdržení Rozhodnutí o poskytnutí dotace.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427" w:val="left"/>
        </w:tabs>
        <w:bidi w:val="0"/>
        <w:spacing w:before="0" w:after="60" w:line="240" w:lineRule="auto"/>
        <w:ind w:left="440" w:right="0" w:hanging="440"/>
        <w:jc w:val="both"/>
      </w:pPr>
      <w:bookmarkStart w:id="31" w:name="bookmark31"/>
      <w:bookmarkEnd w:id="3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Smluvní strany se dohodly, že náklady spojené s vkladem smlouvy do katastru nemovitostí (správní poplatek) ponese oprávněný.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427" w:val="left"/>
        </w:tabs>
        <w:bidi w:val="0"/>
        <w:spacing w:before="0" w:after="560" w:line="240" w:lineRule="auto"/>
        <w:ind w:left="440" w:right="0" w:hanging="440"/>
        <w:jc w:val="both"/>
      </w:pPr>
      <w:bookmarkStart w:id="32" w:name="bookmark32"/>
      <w:bookmarkEnd w:id="32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Smluvní strany se zavazují poskytnout si veškerou součinnost a potřebné informace pro povolení vkladu věcného břemene do katastru nemovitostí. V případě, že katastr nemovitostí zamítne, a to z jakéhokoliv důvodu, povolení vkladu věcného břemene, zavazují se smluvní strany neprodleně využít všech možností k odstranění důvodu zamítnutí povolení vkladu věcného břemene. Nepodaří-li se důvod zamítnutí povolení vkladu věcného břemene odstranit ani v přiměřené lhůtě, tato smlouva na zřízení věcného břemene se ruší, a právní účinky této smlouvy již nastalé pominou. Smluvní strany jsou v tomto případě povinny vzájemně si vrátit veškerá poskytnutá plnění dle této smlouvy a ponesou si své náklady.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33" w:name="bookmark33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</w:t>
      </w:r>
      <w:bookmarkEnd w:id="33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II.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34" w:name="bookmark34"/>
      <w:bookmarkStart w:id="35" w:name="bookmark35"/>
      <w:bookmarkStart w:id="36" w:name="bookmark36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Compliance doložka</w:t>
      </w:r>
      <w:bookmarkEnd w:id="34"/>
      <w:bookmarkEnd w:id="35"/>
      <w:bookmarkEnd w:id="36"/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427" w:val="left"/>
        </w:tabs>
        <w:bidi w:val="0"/>
        <w:spacing w:before="0" w:line="240" w:lineRule="auto"/>
        <w:ind w:left="440" w:right="0" w:hanging="440"/>
        <w:jc w:val="both"/>
      </w:pPr>
      <w:bookmarkStart w:id="37" w:name="bookmark37"/>
      <w:bookmarkEnd w:id="3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Smluvní strany níže svým podpisem stvrzují, že v průběhu vyjednávání o této Smlouvě vždy jednaly a postupovaly čestně a transparentně, a současně se zavazují, že takto budou jednat i při plnění této Smlouvy a veškerých činností s ní souvisejících.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427" w:val="left"/>
        </w:tabs>
        <w:bidi w:val="0"/>
        <w:spacing w:before="0" w:after="200" w:line="240" w:lineRule="auto"/>
        <w:ind w:left="440" w:right="0" w:hanging="440"/>
        <w:jc w:val="both"/>
      </w:pPr>
      <w:bookmarkStart w:id="38" w:name="bookmark38"/>
      <w:bookmarkEnd w:id="38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Smluvní strany se dále zavazují vždy jednat tak a přijmout taková opatření, aby nedošlo ke vzniku důvodného podezření na spáchání trestného činu či k samotnému jeho spáchání (včetně formy účastenství), tj. jednat tak, aby kterékoli ze smluvních stran nemohla být přičtena odpovědnost podle zákona č. 418/2011 Sb., o trestní odpovědnosti právnických osob a řízení proti nim, nebo nevznikla trestní odpovědnost fyzických osob (včetně zaměstnanců) podle trestního zákoníku, případně aby nebylo zahájeno trestní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stíhání proti kterékoli ze smluvních stran, včetně jejích zaměstnanců podle platných právních předpisů.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427" w:val="left"/>
        </w:tabs>
        <w:bidi w:val="0"/>
        <w:spacing w:before="0" w:after="200" w:line="240" w:lineRule="auto"/>
        <w:ind w:left="440" w:right="0" w:hanging="440"/>
        <w:jc w:val="both"/>
      </w:pPr>
      <w:bookmarkStart w:id="39" w:name="bookmark39"/>
      <w:bookmarkEnd w:id="3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Povinná prohlašuje, že se seznámila se zásadami, hodnotami a cíli Compliance programu Povodí Ohře, s. p. (viz </w:t>
      </w:r>
      <w:r>
        <w:fldChar w:fldCharType="begin"/>
      </w:r>
      <w:r>
        <w:rPr/>
        <w:instrText> HYPERLINK "http://www.poh.cz/protikorupcni-a-compliance-program/d-1346/p1=1458" </w:instrText>
      </w:r>
      <w:r>
        <w:fldChar w:fldCharType="separate"/>
      </w:r>
      <w:r>
        <w:rPr>
          <w:color w:val="0000FF"/>
          <w:spacing w:val="0"/>
          <w:w w:val="100"/>
          <w:position w:val="0"/>
          <w:shd w:val="clear" w:color="auto" w:fill="auto"/>
          <w:lang w:val="cs-CZ" w:eastAsia="cs-CZ" w:bidi="cs-CZ"/>
        </w:rPr>
        <w:t>http://www.poh.cz/protikorupcni-a-compliance-</w:t>
      </w:r>
      <w:r>
        <w:fldChar w:fldCharType="end"/>
      </w:r>
      <w:r>
        <w:rPr>
          <w:color w:val="0000FF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</w:t>
      </w:r>
      <w:r>
        <w:fldChar w:fldCharType="begin"/>
      </w:r>
      <w:r>
        <w:rPr/>
        <w:instrText> HYPERLINK "http://www.poh.cz/protikorupcni-a-compliance-program/d-1346/p1=1458" </w:instrText>
      </w:r>
      <w:r>
        <w:fldChar w:fldCharType="separate"/>
      </w:r>
      <w:r>
        <w:rPr>
          <w:color w:val="0000FF"/>
          <w:spacing w:val="0"/>
          <w:w w:val="100"/>
          <w:position w:val="0"/>
          <w:shd w:val="clear" w:color="auto" w:fill="auto"/>
          <w:lang w:val="cs-CZ" w:eastAsia="cs-CZ" w:bidi="cs-CZ"/>
        </w:rPr>
        <w:t>program/d-1346/p1=1458</w:t>
      </w:r>
      <w:r>
        <w:fldChar w:fldCharType="end"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), dále s Etickým kodexem Povodí Ohře, státní podnik a Protikorupčním programem Povodí Ohře, státní podnik. Povinná se při plnění této Smlouvy zavazuje po celou dobu jejího trvání dodržovat zásady a hodnoty obsažené v uvedených dokumentech, pokud to jejich povaha umožňuje.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427" w:val="left"/>
        </w:tabs>
        <w:bidi w:val="0"/>
        <w:spacing w:before="0" w:after="440" w:line="240" w:lineRule="auto"/>
        <w:ind w:left="440" w:right="0" w:hanging="440"/>
        <w:jc w:val="both"/>
      </w:pPr>
      <w:bookmarkStart w:id="40" w:name="bookmark40"/>
      <w:bookmarkEnd w:id="40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Smluvní strany se dále zavazují navzájem si neprodleně oznámit důvodné podezření ohledně možného naplnění skutkové podstaty jakéhokoli z trestných činů v souvislosti s touto smlouvou, zejména trestného činu korupční povahy, a to bez ohledu a nad rámec případné zákonné oznamovací povinnosti; obdobné platí ve vztahu k jednání, které je v rozporu se zásadami vyjádřenými v tomto článku.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41" w:name="bookmark41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</w:t>
      </w:r>
      <w:bookmarkEnd w:id="41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III.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bookmarkStart w:id="42" w:name="bookmark42"/>
      <w:bookmarkStart w:id="43" w:name="bookmark43"/>
      <w:bookmarkStart w:id="44" w:name="bookmark44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Ochrana a zpracování osobních údajů</w:t>
      </w:r>
      <w:bookmarkEnd w:id="42"/>
      <w:bookmarkEnd w:id="43"/>
      <w:bookmarkEnd w:id="4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V případě, že v souvislosti s touto smlouvou dochází ke zpracovávání osobních údajů, jsou tyto zpracovávány v souladu s platnými právními předpisy, které upravují ochranu a zpracování osobních údajů, zejména s nařízením Evropského parlamentu a Rady (EU) č. 2016/679 ze dne 27. 4. 2016 o ochraně fyzických osob v souvislosti se zpracováním osobních údajů a o volném pohybu těchto údajů a o zrušení směrnice 95/46/ES (obecné nařízení o ochraně osobních údajů). Informace o zpracování osobních údajů, včetně účelu a důvodu zpracování, naleznete na </w:t>
      </w:r>
      <w:r>
        <w:fldChar w:fldCharType="begin"/>
      </w:r>
      <w:r>
        <w:rPr/>
        <w:instrText> HYPERLINK "http://www.poh.cz/informace-o-zpracovani-osobnich-udaju/d-1369/p1=1459" </w:instrText>
      </w:r>
      <w:r>
        <w:fldChar w:fldCharType="separate"/>
      </w:r>
      <w:r>
        <w:rPr>
          <w:color w:val="0000FF"/>
          <w:spacing w:val="0"/>
          <w:w w:val="100"/>
          <w:position w:val="0"/>
          <w:shd w:val="clear" w:color="auto" w:fill="auto"/>
          <w:lang w:val="cs-CZ" w:eastAsia="cs-CZ" w:bidi="cs-CZ"/>
        </w:rPr>
        <w:t>http://www.poh.cz/informace-o-zpracovani-osobnich-</w:t>
      </w:r>
      <w:r>
        <w:fldChar w:fldCharType="end"/>
      </w:r>
      <w:r>
        <w:rPr>
          <w:color w:val="0000FF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</w:t>
      </w:r>
      <w:r>
        <w:fldChar w:fldCharType="begin"/>
      </w:r>
      <w:r>
        <w:rPr/>
        <w:instrText> HYPERLINK "http://www.poh.cz/informace-o-zpracovani-osobnich-udaju/d-1369/p1=1459" </w:instrText>
      </w:r>
      <w:r>
        <w:fldChar w:fldCharType="separate"/>
      </w:r>
      <w:r>
        <w:rPr>
          <w:color w:val="0000FF"/>
          <w:spacing w:val="0"/>
          <w:w w:val="100"/>
          <w:position w:val="0"/>
          <w:shd w:val="clear" w:color="auto" w:fill="auto"/>
          <w:lang w:val="cs-CZ" w:eastAsia="cs-CZ" w:bidi="cs-CZ"/>
        </w:rPr>
        <w:t>udaju/d-1369/p1=1459</w:t>
      </w:r>
      <w:r>
        <w:fldChar w:fldCharType="end"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.</w:t>
      </w:r>
    </w:p>
    <w:p>
      <w:pPr>
        <w:pStyle w:val="Style12"/>
        <w:keepNext/>
        <w:keepLines/>
        <w:widowControl w:val="0"/>
        <w:numPr>
          <w:ilvl w:val="0"/>
          <w:numId w:val="13"/>
        </w:numPr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bookmarkStart w:id="45" w:name="bookmark45"/>
      <w:bookmarkStart w:id="46" w:name="bookmark46"/>
      <w:bookmarkStart w:id="47" w:name="bookmark47"/>
      <w:bookmarkStart w:id="48" w:name="bookmark48"/>
      <w:bookmarkEnd w:id="4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br/>
        <w:t>Závěrečná ustanovení</w:t>
      </w:r>
      <w:bookmarkEnd w:id="45"/>
      <w:bookmarkEnd w:id="46"/>
      <w:bookmarkEnd w:id="4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440" w:right="0" w:hanging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1) Smlouva nabývá účinnosti podpisem všech smluvních stran. Smlouva nepodléhá uveřejnění dle zákona č. 340/2015 Sb., o registru smluv, v platném znění, a nebude uveřejněna.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427" w:val="left"/>
        </w:tabs>
        <w:bidi w:val="0"/>
        <w:spacing w:before="0" w:after="60" w:line="240" w:lineRule="auto"/>
        <w:ind w:left="440" w:right="0" w:hanging="440"/>
        <w:jc w:val="both"/>
      </w:pPr>
      <w:bookmarkStart w:id="49" w:name="bookmark49"/>
      <w:bookmarkEnd w:id="49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 případě, že ze strany Ministerstva zemědělství nebude vydáno Rozhodnutí o poskytnutí dotace k proplacení ceny za zřízení věcného břemene dle této smlouvy, tato smlouva se od počátku ruší a smluvní strany nemají vůči sobě nárok na jakákoli plnění z této smlouvy.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427" w:val="left"/>
        </w:tabs>
        <w:bidi w:val="0"/>
        <w:spacing w:before="0" w:after="60" w:line="240" w:lineRule="auto"/>
        <w:ind w:left="440" w:right="0" w:hanging="440"/>
        <w:jc w:val="both"/>
      </w:pPr>
      <w:bookmarkStart w:id="50" w:name="bookmark50"/>
      <w:bookmarkEnd w:id="50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Právní účinky vkladu nastávají k okamžiku, kdy návrh na vklad došel příslušnému katastrálnímu úřadu. Návrh na vklad věcného břemene bude podepsán povinnou a oprávněným současně s podpisem této smlouvy.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427" w:val="left"/>
        </w:tabs>
        <w:bidi w:val="0"/>
        <w:spacing w:before="0" w:after="60" w:line="240" w:lineRule="auto"/>
        <w:ind w:left="440" w:right="0" w:hanging="440"/>
        <w:jc w:val="both"/>
      </w:pPr>
      <w:bookmarkStart w:id="51" w:name="bookmark51"/>
      <w:bookmarkEnd w:id="5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Tato smlouva je vyhotovena ve třech stejnopisech majících povahu originálu, z nichž jeden bude určen jako příloha k návrhu na zápis vkladu věcného břemene do katastru nemovitostí, jedno vyhotovení obdrží povinná a jedno vyhotovení oprávněný.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427" w:val="left"/>
        </w:tabs>
        <w:bidi w:val="0"/>
        <w:spacing w:before="0" w:after="60" w:line="240" w:lineRule="auto"/>
        <w:ind w:left="440" w:right="0" w:hanging="440"/>
        <w:jc w:val="both"/>
      </w:pPr>
      <w:bookmarkStart w:id="52" w:name="bookmark52"/>
      <w:bookmarkEnd w:id="52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Smluvní strany tímto vzájemně prohlašují a stvrzují svými podpisy, že si smlouvu řádně přečetly a pochopily, s jejím obsahem souhlasí, a že ji uzavírají bez nátlaku o své svobodné a vážné vůli.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427" w:val="left"/>
        </w:tabs>
        <w:bidi w:val="0"/>
        <w:spacing w:before="0" w:after="200" w:line="240" w:lineRule="auto"/>
        <w:ind w:left="440" w:right="0" w:hanging="440"/>
        <w:jc w:val="both"/>
      </w:pPr>
      <w:bookmarkStart w:id="53" w:name="bookmark53"/>
      <w:bookmarkEnd w:id="5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Smluvní strany prohlašují, že souhlasí s případným poskytnutím textu této smlouvy v souladu se zákonem č. 106/1999 Sb., o svobodném přístupu k informacím, ve znění pozdějších předpisů.</w:t>
      </w:r>
      <w:r>
        <w:br w:type="page"/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427" w:val="left"/>
        </w:tabs>
        <w:bidi w:val="0"/>
        <w:spacing w:before="0" w:after="440" w:line="240" w:lineRule="auto"/>
        <w:ind w:left="440" w:right="0" w:hanging="440"/>
        <w:jc w:val="left"/>
      </w:pPr>
      <w:bookmarkStart w:id="54" w:name="bookmark54"/>
      <w:bookmarkEnd w:id="54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Tuto smlouvu je možné změnit pouze písemnými dodatky, vzestupně číslovanými a podepsanými zástupci obou smluvních stran.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0" w:line="480" w:lineRule="auto"/>
        <w:ind w:left="0" w:right="0" w:firstLine="0"/>
        <w:jc w:val="left"/>
      </w:pPr>
      <w:bookmarkStart w:id="55" w:name="bookmark55"/>
      <w:bookmarkStart w:id="56" w:name="bookmark56"/>
      <w:bookmarkStart w:id="57" w:name="bookmark5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Přílohy:</w:t>
      </w:r>
      <w:bookmarkEnd w:id="55"/>
      <w:bookmarkEnd w:id="56"/>
      <w:bookmarkEnd w:id="57"/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427" w:val="left"/>
        </w:tabs>
        <w:bidi w:val="0"/>
        <w:spacing w:before="0" w:after="0" w:line="240" w:lineRule="auto"/>
        <w:ind w:left="0" w:right="0" w:firstLine="0"/>
        <w:jc w:val="left"/>
      </w:pPr>
      <w:bookmarkStart w:id="58" w:name="bookmark58"/>
      <w:bookmarkEnd w:id="58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GP č. 222-389/2025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427" w:val="left"/>
        </w:tabs>
        <w:bidi w:val="0"/>
        <w:spacing w:before="0" w:after="0" w:line="48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4037330</wp:posOffset>
                </wp:positionH>
                <wp:positionV relativeFrom="paragraph">
                  <wp:posOffset>304800</wp:posOffset>
                </wp:positionV>
                <wp:extent cx="2170430" cy="688975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70430" cy="6889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48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 xml:space="preserve">V Chomutově dne …………………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Za oprávněného: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17.90000000000003pt;margin-top:24.pt;width:170.90000000000001pt;height:54.2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48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 xml:space="preserve">V Chomutově dne …………………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Za oprávněného: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59" w:name="bookmark59"/>
      <w:bookmarkEnd w:id="5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Výpis z katastru nemovitostí V ……………….. dne …………….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20" w:line="480" w:lineRule="auto"/>
        <w:ind w:left="0" w:right="0" w:firstLine="0"/>
        <w:jc w:val="left"/>
      </w:pP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 povinnou: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5487" w:val="left"/>
        </w:tabs>
        <w:bidi w:val="0"/>
        <w:spacing w:before="0" w:after="440" w:line="240" w:lineRule="auto"/>
        <w:ind w:left="182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885825</wp:posOffset>
                </wp:positionH>
                <wp:positionV relativeFrom="paragraph">
                  <wp:posOffset>12700</wp:posOffset>
                </wp:positionV>
                <wp:extent cx="1898650" cy="719455"/>
                <wp:wrapSquare wrapText="bothSides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98650" cy="7194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2933" w:val="left"/>
                              </w:tabs>
                              <w:bidi w:val="0"/>
                              <w:spacing w:before="0" w:after="44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ab/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CHMEL spol. s r. o.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69.75pt;margin-top:1.pt;width:149.5pt;height:56.649999999999999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2933" w:val="left"/>
                        </w:tabs>
                        <w:bidi w:val="0"/>
                        <w:spacing w:before="0" w:after="44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ab/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CHMEL spol. s r. o.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82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Povodí Ohře, státní podnik</w:t>
      </w:r>
    </w:p>
    <w:sectPr>
      <w:headerReference w:type="default" r:id="rId5"/>
      <w:footerReference w:type="default" r:id="rId6"/>
      <w:footnotePr>
        <w:pos w:val="pageBottom"/>
        <w:numFmt w:val="decimal"/>
        <w:numRestart w:val="continuous"/>
      </w:footnotePr>
      <w:pgSz w:w="11909" w:h="16838"/>
      <w:pgMar w:top="1224" w:left="1392" w:right="1386" w:bottom="1248" w:header="0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6597650</wp:posOffset>
              </wp:positionH>
              <wp:positionV relativeFrom="page">
                <wp:posOffset>10082530</wp:posOffset>
              </wp:positionV>
              <wp:extent cx="64135" cy="17081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4135" cy="1708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519.5pt;margin-top:793.89999999999998pt;width:5.0499999999999998pt;height:13.450000000000001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4863465</wp:posOffset>
              </wp:positionH>
              <wp:positionV relativeFrom="page">
                <wp:posOffset>435610</wp:posOffset>
              </wp:positionV>
              <wp:extent cx="1450975" cy="18923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450975" cy="1892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cs-CZ" w:eastAsia="cs-CZ" w:bidi="cs-CZ"/>
                            </w:rPr>
                            <w:t>Číslo smlouvy: 22/2026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382.94999999999999pt;margin-top:34.300000000000004pt;width:114.25pt;height:14.9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cs-CZ" w:eastAsia="cs-CZ" w:bidi="cs-CZ"/>
                      </w:rPr>
                      <w:t>Číslo smlouvy: 22/2026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2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8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1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12">
    <w:multiLevelType w:val="multilevel"/>
    <w:lvl w:ilvl="0">
      <w:start w:val="9"/>
      <w:numFmt w:val="upperRoman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14">
    <w:multiLevelType w:val="multilevel"/>
    <w:lvl w:ilvl="0">
      <w:start w:val="2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16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Char Style 3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9">
    <w:name w:val="Char Style 9"/>
    <w:basedOn w:val="DefaultParagraphFont"/>
    <w:link w:val="Style8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3">
    <w:name w:val="Char Style 13"/>
    <w:basedOn w:val="DefaultParagraphFont"/>
    <w:link w:val="Style12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6">
    <w:name w:val="Char Style 16"/>
    <w:basedOn w:val="DefaultParagraphFont"/>
    <w:link w:val="Style15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8">
    <w:name w:val="Char Style 18"/>
    <w:basedOn w:val="DefaultParagraphFont"/>
    <w:link w:val="Style17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FFFFFF"/>
      <w:spacing w:after="1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8">
    <w:name w:val="Style 8"/>
    <w:basedOn w:val="Normal"/>
    <w:link w:val="CharStyle9"/>
    <w:pPr>
      <w:widowControl w:val="0"/>
      <w:shd w:val="clear" w:color="auto" w:fill="FFFFFF"/>
    </w:pPr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2">
    <w:name w:val="Style 12"/>
    <w:basedOn w:val="Normal"/>
    <w:link w:val="CharStyle13"/>
    <w:pPr>
      <w:widowControl w:val="0"/>
      <w:shd w:val="clear" w:color="auto" w:fill="FFFFFF"/>
      <w:spacing w:after="180"/>
      <w:jc w:val="center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15">
    <w:name w:val="Style 15"/>
    <w:basedOn w:val="Normal"/>
    <w:link w:val="CharStyle16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17">
    <w:name w:val="Style 17"/>
    <w:basedOn w:val="Normal"/>
    <w:link w:val="CharStyle18"/>
    <w:pPr>
      <w:widowControl w:val="0"/>
      <w:shd w:val="clear" w:color="auto" w:fill="FFFFFF"/>
      <w:spacing w:after="1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SMLOUVA</dc:title>
  <dc:subject/>
  <dc:creator>Povodí Ohře a.s.</dc:creator>
  <cp:keywords/>
</cp:coreProperties>
</file>