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2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52"/>
          <w:szCs w:val="52"/>
          <w:shd w:val="clear" w:color="auto" w:fill="auto"/>
          <w:lang w:val="cs-CZ" w:eastAsia="cs-CZ" w:bidi="cs-CZ"/>
        </w:rPr>
        <w:t>SMLOUVA o zřízení věcného</w:t>
        <w:br/>
        <w:t>břemene - služebnosti</w:t>
        <w:br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podle ust. § 1257 a násl. občanského zákoníku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CHMEL spol. s r. o.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zapsaná v obchodním rejstříku u Městského soudu v Praze v oddílu C, vložce 25466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Anny Letenské 1120/17, 120 00 Praha 2 Vinohrady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47541768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CZ47541768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jako povinná z věcného břemene 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„povinná“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93" w:val="left"/>
          <w:tab w:pos="5150" w:val="center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zapsaný v obchodním rejstříku u Krajského soudu v Ústí nad Labem v oddílu A, vložce č. 13052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</w:t>
        <w:tab/>
        <w:t>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jako oprávněný z věcného břemene 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„oprávněný“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níže uvedeného dne, měsíce a roku tuto smlouvu o zřízení věcného břemene - služebnosti.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  <w:bookmarkEnd w:id="3"/>
      <w:bookmarkEnd w:id="4"/>
      <w:bookmarkEnd w:id="5"/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Prohlášení</w:t>
      </w:r>
      <w:bookmarkEnd w:id="3"/>
      <w:bookmarkEnd w:id="4"/>
      <w:bookmarkEnd w:id="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Povinná prohlašuje, že má ve svém vlastnictví níže uvedenou nemovitou věc:</w:t>
      </w:r>
    </w:p>
    <w:tbl>
      <w:tblPr>
        <w:tblOverlap w:val="never"/>
        <w:jc w:val="center"/>
        <w:tblLayout w:type="fixed"/>
      </w:tblPr>
      <w:tblGrid>
        <w:gridCol w:w="1795"/>
        <w:gridCol w:w="3883"/>
        <w:gridCol w:w="2986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p. p. 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pozemku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ú.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Mukoděly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„dotčená nemovitá věc“.</w:t>
      </w:r>
    </w:p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after="60" w:line="240" w:lineRule="auto"/>
        <w:ind w:left="440" w:right="0" w:hanging="44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dotčená nemovitá věc je zapsána na LV č. 62 u Katastrálního úřadu pro Ústecký kraj, Katastrálního pracoviště Žatec.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after="60" w:line="240" w:lineRule="auto"/>
        <w:ind w:left="440" w:right="0" w:hanging="44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Účelem této smlouvy je zřízení věcného břemene ke stavbě: „Komplexní řešení sucha na Rakovnicku, II. etapa, přivaděč vody z Ohře do nádrže Vidhostice, přivaděč vody z nádrže Vidhostice do Rakovnického potoka včetně přípojky z budoucí nádrže Kryry“, jejímž investorem je oprávněný.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after="440" w:line="240" w:lineRule="auto"/>
        <w:ind w:left="440" w:right="0" w:hanging="44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Povinná je srozuměna s tím, že výše uvedená akce je hrazená za použití finančních prostředků z rozpočtové kapitoly Operace státních finančních aktiv a prostředků státního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rozpočtu. Výše uvedené finanční prostředky jsou uvolňovány do rozpočtu oprávněného na základě vydaného Rozhodnutí o poskytnutí dotace a jsou určeny výlučně na úhradu ceny za zřízení věcného břemene.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věcného břemene - služebnosti</w:t>
      </w:r>
      <w:bookmarkEnd w:id="10"/>
      <w:bookmarkEnd w:id="11"/>
      <w:bookmarkEnd w:id="12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440" w:right="0" w:hanging="4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Povinná zřizuje k dotčené nemovité věci dle čl. I. této smlouvy ve prospěch oprávněného služebnost inženýrské sítě – podzemního potrubí, realizovaného v rámci stavby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„Komplexní řešení sucha na Rakovnicku, II. etapa“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právo stezky a cesty v souvislosti s prováděním kontroly, obnovy, oprav a údržby této inženýrské sítě, a to v rozsahu geometrického plánu č.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222-389/2025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který je nedílnou součástí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440" w:right="0" w:hanging="44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Povinná se zdrží všeho, co vede k ohrožení inženýrské sítě, umožní oprávněnému vstup na dotčenou nemovitou věc po nezbytnou dobu a v nutném rozsahu za výše uvedeným účelem.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3) Rozsah sjednaného věcného břemene je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:</w:t>
      </w:r>
    </w:p>
    <w:tbl>
      <w:tblPr>
        <w:tblOverlap w:val="never"/>
        <w:jc w:val="center"/>
        <w:tblLayout w:type="fixed"/>
      </w:tblPr>
      <w:tblGrid>
        <w:gridCol w:w="1421"/>
        <w:gridCol w:w="2952"/>
        <w:gridCol w:w="2362"/>
        <w:gridCol w:w="1930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p. p. 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pozemku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ú.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rozsah VB v 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Mukoděly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622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Touto smlouvou zřízené věcné břemeno se vztahuje k dotčené nemovité věci a se změnou vlastnictví k ní přechází na nové vlastníky.</w:t>
      </w:r>
    </w:p>
    <w:p>
      <w:pPr>
        <w:widowControl w:val="0"/>
        <w:spacing w:after="4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Prohlášení smluvních stran</w:t>
      </w:r>
      <w:bookmarkEnd w:id="15"/>
      <w:bookmarkEnd w:id="16"/>
      <w:bookmarkEnd w:id="17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3" w:val="left"/>
        </w:tabs>
        <w:bidi w:val="0"/>
        <w:spacing w:before="0" w:line="240" w:lineRule="auto"/>
        <w:ind w:left="0" w:right="0" w:firstLine="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právo odpovídající věcnému břemeni dle čl. II přijímá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3" w:val="left"/>
        </w:tabs>
        <w:bidi w:val="0"/>
        <w:spacing w:before="0" w:line="240" w:lineRule="auto"/>
        <w:ind w:left="440" w:right="0" w:hanging="44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Povinná se zavazuje strpět věcné břemeno spočívající v umístění inženýrské sítě na dotčené nemovité věci dle bodu II. se všemi s tím spojenými zákonnými právy, povinnostmi a omezeními uvedenými v bodu II.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3" w:val="left"/>
        </w:tabs>
        <w:bidi w:val="0"/>
        <w:spacing w:before="0" w:line="240" w:lineRule="auto"/>
        <w:ind w:left="440" w:right="0" w:hanging="4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se zavazuje, že výkonem práv vyplývajících z věcného břemene bude do práv povinné zasahovat jen v nezbytné míře v rámci účelu, pro který je věcné břemeno zřízeno. Termín vstupu, důvod a rozsah prací oznámí oprávněný povinné předem. V případě havárie a v případě nebezpečí z prodlení oznámí oprávněný vstup povinné telefonicky nebo dodatečně.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3" w:val="left"/>
        </w:tabs>
        <w:bidi w:val="0"/>
        <w:spacing w:before="0" w:after="440" w:line="240" w:lineRule="auto"/>
        <w:ind w:left="440" w:right="0" w:hanging="4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vstupem na pozemek vznikne vlastníkovi pozemku škoda, má nárok na její úhradu.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bookmarkEnd w:id="2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trvání věcného břemene - služebnosti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Právo odpovídající věcnému břemeni se zřizuje na dobu trvání stavby.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3" w:name="bookmark2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věcného břemene a platební podmínky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Finanční náhrada za zřízení věcného břemene – služebnosti na dotčené nemovité věci byla stanovena na základě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„Zásad pro vypořádání práv k nemovitým věcem dotčeným plánovanou realizací komplexního řešení sucha na Rakovnicku – II. etapa“ ve smyslu Usnesení vlády ČR ze dne 5. listopadu 2021 č. 958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a činí: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52 870,- Kč bez DPH</w:t>
        <w:br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padesát dva tisíc osm set sedmdesát korun českých)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700" w:line="240" w:lineRule="auto"/>
        <w:ind w:left="440" w:right="0" w:hanging="44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Dohodnutá částka je splatná nejpozději do 30 dnů ode dne, kdy bude oprávněnému doručen platební doklad. Platebním dokladem je faktura, která musí obsahovat všechny náležitosti účetního - daňového dokladu podle účinných právních předpisů. Fakturu vystaví strana povinná a doručí straně oprávněné neprodleně po obdržení vyrozumění o provedení vkladu věcného břemene do katastru nemovitostí.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6" w:name="bookmark2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27"/>
      <w:bookmarkEnd w:id="28"/>
      <w:bookmarkEnd w:id="29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na základě této smlouvy lze zapsat do katastru nemovitostí u místně příslušného katastrálního úřadu vklad věcného břemene pro Českou republiku s právem hospodařit pro oprávněného. Smluvní strany se dohodly, že návrh na provedení vkladu dle této smlouvy do katastru nemovitostí podá oprávněný bez zbytečného odkladu po obdržení Rozhodnutí o poskytnutí dotace.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náklady spojené s vkladem smlouvy do katastru nemovitostí (správní poplatek) ponese oprávněný.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560" w:line="240" w:lineRule="auto"/>
        <w:ind w:left="440" w:right="0" w:hanging="44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zavazují poskytnout si veškerou součinnost a potřebné informace pro povolení vkladu věcného břemene do katastru nemovitostí. V případě, že katastr nemovitostí zamítne, a to z jakéhokoliv důvodu, povolení vkladu věcného břemene, zavazují se smluvní strany neprodleně využít všech možností k odstranění důvodu zamítnutí povolení vkladu věcného břemene. Nepodaří-li se důvod zamítnutí povolení vkladu věcného břemene odstranit ani v přiměřené lhůtě, tato smlouva na zřízení věcného břemene se ruší, a právní účinky této smlouvy již nastalé pominou. Smluvní strany jsou v tomto případě povinny vzájemně si vrátit veškerá poskytnutá plnění dle této smlouvy a ponesou si své náklady.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3" w:name="bookmark3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Compliance doložka</w:t>
      </w:r>
      <w:bookmarkEnd w:id="34"/>
      <w:bookmarkEnd w:id="35"/>
      <w:bookmarkEnd w:id="36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440" w:right="0" w:hanging="44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stíhání proti kterékoli ze smluvních stran, včetně jejích zaměstnanců podle platných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440" w:right="0" w:hanging="44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Povinná prohlašuje, že se seznámila se zásadami, hodnotami a cíli Compliance programu Povodí Ohře, s. p. (viz </w:t>
      </w:r>
      <w:r>
        <w:fldChar w:fldCharType="begin"/>
      </w:r>
      <w:r>
        <w:rPr/>
        <w:instrText> HYPERLINK "http://www.poh.cz/protikorupcni-a-compliance-program/d-1346/p1=1458"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http://www.poh.cz/protikorupcni-a-compliance-</w:t>
      </w:r>
      <w:r>
        <w:fldChar w:fldCharType="end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"http://www.poh.cz/protikorupcni-a-compliance-program/d-1346/p1=1458"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program/d-1346/p1=1458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), dále s Etickým kodexem Povodí Ohře, státní podnik a Protikorupčním programem Povodí Ohře, státní podnik. Povinná se při plnění této Smlouvy zavazuje po celou dobu jejího trvání dodržovat zásady a hodnoty obsažené v uvedených dokumentech, pokud to jejich povaha umožňuje.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440" w:line="240" w:lineRule="auto"/>
        <w:ind w:left="440" w:right="0" w:hanging="44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zavazují navzájem si neprodleně oznámit důvodné podezření ohledně možného naplnění skutkové podstaty jakéhokoli z trestných činů v souvislosti s touto smlouvou, zejména trestného činu korupční povahy, a to bez ohledu a nad rámec případné zákonné oznamovací povinnosti; obdobné platí ve vztahu k jednání, které je v rozporu se zásadami vyjádřenými v tomto článku.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1" w:name="bookmark4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  <w:bookmarkEnd w:id="42"/>
      <w:bookmarkEnd w:id="43"/>
      <w:bookmarkEnd w:id="4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</w:t>
      </w:r>
      <w:r>
        <w:fldChar w:fldCharType="end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12"/>
        <w:keepNext/>
        <w:keepLines/>
        <w:widowControl w:val="0"/>
        <w:numPr>
          <w:ilvl w:val="0"/>
          <w:numId w:val="13"/>
        </w:numPr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45" w:name="bookmark45"/>
      <w:bookmarkStart w:id="46" w:name="bookmark46"/>
      <w:bookmarkStart w:id="47" w:name="bookmark47"/>
      <w:bookmarkStart w:id="48" w:name="bookmark48"/>
      <w:bookmarkEnd w:id="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br/>
        <w:t>Závěrečná ustanovení</w:t>
      </w:r>
      <w:bookmarkEnd w:id="45"/>
      <w:bookmarkEnd w:id="46"/>
      <w:bookmarkEnd w:id="4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Smlouva nabývá účinnosti podpisem všech smluvních stran. Smlouva nepodléhá uveřejnění dle zákona č. 340/2015 Sb., o registru smluv, v platném znění, a nebude uveřejněna.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49" w:name="bookmark49"/>
      <w:bookmarkEnd w:id="4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ze strany Ministerstva zemědělství nebude vydáno Rozhodnutí o poskytnutí dotace k proplacení ceny za zřízení věcného břemene dle této smlouvy, tato smlouva se od počátku ruší a smluvní strany nemají vůči sobě nárok na jakákoli plnění z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Právní účinky vkladu nastávají k okamžiku, kdy návrh na vklad došel příslušnému katastrálnímu úřadu. Návrh na vklad věcného břemene bude podepsán povinnou a oprávněným současně s podpisem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třech stejnopisech majících povahu originálu, z nichž jeden bude určen jako příloha k návrhu na zápis vkladu věcného břemene do katastru nemovitostí, jedno vyhotovení obdrží povinná a jedno vyhotovení oprávněný.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tímto vzájemně prohlašují a stvrzují svými podpisy, že si smlouvu řádně přečetly a pochopily, s jejím obsahem souhlasí, a že ji uzavírají bez nátlaku o své svobodné a vážné vůli.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440" w:right="0" w:hanging="44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případným poskytnutím textu této smlouvy v souladu se zákonem č. 106/1999 Sb., o svobodném přístupu k informacím, ve znění pozdějších předpisů.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440" w:line="240" w:lineRule="auto"/>
        <w:ind w:left="440" w:right="0" w:hanging="440"/>
        <w:jc w:val="left"/>
      </w:pPr>
      <w:bookmarkStart w:id="54" w:name="bookmark54"/>
      <w:bookmarkEnd w:id="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Tuto smlouvu je možné změnit pouze písemnými dodatky, vzestupně číslovanými a podepsanými zástupci obou smluvních stran.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  <w:bookmarkEnd w:id="55"/>
      <w:bookmarkEnd w:id="56"/>
      <w:bookmarkEnd w:id="57"/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0" w:right="0" w:firstLine="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GP č. 222-389/2025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427" w:val="left"/>
        </w:tabs>
        <w:bidi w:val="0"/>
        <w:spacing w:before="0" w:after="0" w:line="48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4037330</wp:posOffset>
                </wp:positionH>
                <wp:positionV relativeFrom="paragraph">
                  <wp:posOffset>304800</wp:posOffset>
                </wp:positionV>
                <wp:extent cx="2170430" cy="68897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0430" cy="688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Chomutově dne …………………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oprávněného: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7.90000000000003pt;margin-top:24.pt;width:170.90000000000001pt;height:54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Chomutově dne …………………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oprávněného: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59" w:name="bookmark59"/>
      <w:bookmarkEnd w:id="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Výpis z katastru nemovitostí V ……………….. dne …………….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20" w:line="48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povinnou: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5487" w:val="left"/>
        </w:tabs>
        <w:bidi w:val="0"/>
        <w:spacing w:before="0" w:after="440" w:line="240" w:lineRule="auto"/>
        <w:ind w:left="18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12700</wp:posOffset>
                </wp:positionV>
                <wp:extent cx="1898650" cy="71945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8650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2933" w:val="left"/>
                              </w:tabs>
                              <w:bidi w:val="0"/>
                              <w:spacing w:before="0" w:after="4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CHMEL spol. s r. 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5pt;margin-top:1.pt;width:149.5pt;height:56.6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933" w:val="left"/>
                        </w:tabs>
                        <w:bidi w:val="0"/>
                        <w:spacing w:before="0" w:after="4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CHMEL spol. s r. 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224" w:left="1392" w:right="1386" w:bottom="124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6597650</wp:posOffset>
              </wp:positionH>
              <wp:positionV relativeFrom="page">
                <wp:posOffset>10082530</wp:posOffset>
              </wp:positionV>
              <wp:extent cx="64135" cy="17081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19.5pt;margin-top:793.89999999999998pt;width:5.0499999999999998pt;height:13.4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4863465</wp:posOffset>
              </wp:positionH>
              <wp:positionV relativeFrom="page">
                <wp:posOffset>435610</wp:posOffset>
              </wp:positionV>
              <wp:extent cx="1450975" cy="1892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5097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Číslo smlouvy: 22/2026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82.94999999999999pt;margin-top:34.300000000000004pt;width:114.25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Číslo smlouvy: 22/2026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9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2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</dc:title>
  <dc:subject/>
  <dc:creator>Povodí Ohře a.s.</dc:creator>
  <cp:keywords/>
</cp:coreProperties>
</file>