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66C8" w14:textId="77777777" w:rsidR="00C60C0F" w:rsidRDefault="00A84ED5" w:rsidP="00A84ED5">
      <w:pPr>
        <w:pStyle w:val="RLnzevsmlouvy"/>
        <w:spacing w:after="0"/>
        <w:rPr>
          <w:rFonts w:cs="Calibri"/>
          <w:sz w:val="22"/>
          <w:szCs w:val="22"/>
        </w:rPr>
      </w:pPr>
      <w:r w:rsidRPr="005E38D2">
        <w:rPr>
          <w:rFonts w:cs="Calibri"/>
          <w:sz w:val="22"/>
          <w:szCs w:val="22"/>
        </w:rPr>
        <w:t xml:space="preserve">Dodatek č. 1 </w:t>
      </w:r>
    </w:p>
    <w:p w14:paraId="3CE17811" w14:textId="0F661116" w:rsidR="00A84ED5" w:rsidRPr="005E38D2" w:rsidRDefault="00A84ED5" w:rsidP="00A84ED5">
      <w:pPr>
        <w:pStyle w:val="RLnzevsmlouvy"/>
        <w:spacing w:after="0"/>
        <w:rPr>
          <w:rFonts w:cs="Calibri"/>
          <w:sz w:val="22"/>
          <w:szCs w:val="22"/>
        </w:rPr>
      </w:pPr>
      <w:r w:rsidRPr="005E38D2">
        <w:rPr>
          <w:rFonts w:cs="Calibri"/>
          <w:sz w:val="22"/>
          <w:szCs w:val="22"/>
        </w:rPr>
        <w:t>k</w:t>
      </w:r>
      <w:r w:rsidR="00C60C0F">
        <w:rPr>
          <w:rFonts w:cs="Calibri"/>
          <w:sz w:val="22"/>
          <w:szCs w:val="22"/>
        </w:rPr>
        <w:t xml:space="preserve"> </w:t>
      </w:r>
      <w:r w:rsidRPr="005E38D2">
        <w:rPr>
          <w:rFonts w:cs="Calibri"/>
          <w:sz w:val="22"/>
          <w:szCs w:val="22"/>
        </w:rPr>
        <w:t xml:space="preserve">rámcově SMLOUVě na dodávku ip kamer a příslušenství </w:t>
      </w:r>
      <w:r w:rsidR="00C60C0F">
        <w:rPr>
          <w:rFonts w:cs="Calibri"/>
          <w:sz w:val="22"/>
          <w:szCs w:val="22"/>
        </w:rPr>
        <w:t>II</w:t>
      </w:r>
      <w:r w:rsidRPr="005E38D2">
        <w:rPr>
          <w:rFonts w:cs="Calibri"/>
          <w:sz w:val="22"/>
          <w:szCs w:val="22"/>
        </w:rPr>
        <w:t xml:space="preserve"> </w:t>
      </w:r>
    </w:p>
    <w:p w14:paraId="64089BDD" w14:textId="6F8A7D9C" w:rsidR="00A84ED5" w:rsidRPr="005E38D2" w:rsidRDefault="00A84ED5" w:rsidP="00A84ED5">
      <w:pPr>
        <w:jc w:val="center"/>
        <w:rPr>
          <w:rFonts w:eastAsiaTheme="minorHAnsi" w:cs="Calibri"/>
          <w:szCs w:val="22"/>
          <w:lang w:eastAsia="en-US"/>
          <w14:ligatures w14:val="standardContextual"/>
        </w:rPr>
      </w:pPr>
      <w:r w:rsidRPr="005E38D2">
        <w:rPr>
          <w:rFonts w:eastAsiaTheme="minorHAnsi" w:cs="Calibri"/>
          <w:szCs w:val="22"/>
          <w:lang w:eastAsia="en-US"/>
          <w14:ligatures w14:val="standardContextual"/>
        </w:rPr>
        <w:t>(dále jen „</w:t>
      </w:r>
      <w:r w:rsidRPr="005E38D2">
        <w:rPr>
          <w:rFonts w:eastAsiaTheme="minorHAnsi" w:cs="Calibri"/>
          <w:b/>
          <w:bCs/>
          <w:szCs w:val="22"/>
          <w:lang w:eastAsia="en-US"/>
          <w14:ligatures w14:val="standardContextual"/>
        </w:rPr>
        <w:t>Dodatek</w:t>
      </w:r>
      <w:r w:rsidRPr="005E38D2">
        <w:rPr>
          <w:rFonts w:eastAsiaTheme="minorHAnsi" w:cs="Calibri"/>
          <w:szCs w:val="22"/>
          <w:lang w:eastAsia="en-US"/>
          <w14:ligatures w14:val="standardContextual"/>
        </w:rPr>
        <w:t>“)</w:t>
      </w:r>
    </w:p>
    <w:p w14:paraId="39505357" w14:textId="77777777" w:rsidR="00A84ED5" w:rsidRPr="005E38D2" w:rsidRDefault="00A84ED5" w:rsidP="00A84ED5">
      <w:pPr>
        <w:jc w:val="center"/>
        <w:rPr>
          <w:rFonts w:eastAsiaTheme="minorHAnsi" w:cs="Calibri"/>
          <w:szCs w:val="22"/>
          <w:lang w:eastAsia="en-US"/>
          <w14:ligatures w14:val="standardContextual"/>
        </w:rPr>
      </w:pPr>
    </w:p>
    <w:p w14:paraId="16B11018" w14:textId="77777777" w:rsidR="00C60C0F" w:rsidRPr="006A2A41" w:rsidRDefault="00C60C0F" w:rsidP="00C60C0F">
      <w:pPr>
        <w:pStyle w:val="RLdajeosmluvnstran"/>
        <w:spacing w:after="0"/>
        <w:rPr>
          <w:szCs w:val="22"/>
        </w:rPr>
      </w:pPr>
      <w:r w:rsidRPr="006A2A41">
        <w:rPr>
          <w:szCs w:val="22"/>
        </w:rPr>
        <w:t>Smluvní strany:</w:t>
      </w:r>
    </w:p>
    <w:p w14:paraId="21C333B9" w14:textId="77777777" w:rsidR="00C60C0F" w:rsidRPr="006A2A41" w:rsidRDefault="00C60C0F" w:rsidP="00C60C0F">
      <w:pPr>
        <w:pStyle w:val="RLdajeosmluvnstran"/>
        <w:spacing w:after="0"/>
        <w:rPr>
          <w:szCs w:val="22"/>
        </w:rPr>
      </w:pPr>
    </w:p>
    <w:p w14:paraId="58A4133A" w14:textId="77777777" w:rsidR="00C60C0F" w:rsidRPr="006A2A41" w:rsidRDefault="00C60C0F" w:rsidP="00C60C0F">
      <w:pPr>
        <w:pStyle w:val="RLdajeosmluvnstran"/>
        <w:rPr>
          <w:b/>
          <w:szCs w:val="22"/>
          <w:highlight w:val="yellow"/>
        </w:rPr>
      </w:pPr>
      <w:r w:rsidRPr="006A2A41">
        <w:rPr>
          <w:b/>
          <w:szCs w:val="22"/>
        </w:rPr>
        <w:t>Technologie hlavního města Prahy, a.s.</w:t>
      </w:r>
    </w:p>
    <w:p w14:paraId="29827BCD" w14:textId="77777777" w:rsidR="00C60C0F" w:rsidRPr="006A2A41" w:rsidRDefault="00C60C0F" w:rsidP="00C60C0F">
      <w:pPr>
        <w:pStyle w:val="RLdajeosmluvnstran"/>
        <w:rPr>
          <w:szCs w:val="22"/>
        </w:rPr>
      </w:pPr>
      <w:r w:rsidRPr="006A2A41">
        <w:rPr>
          <w:szCs w:val="22"/>
        </w:rPr>
        <w:t xml:space="preserve">se sídlem: </w:t>
      </w:r>
      <w:r w:rsidRPr="006A2A41">
        <w:rPr>
          <w:b/>
          <w:szCs w:val="22"/>
        </w:rPr>
        <w:t>Dělnická 213/12, 170 00, Praha 7</w:t>
      </w:r>
    </w:p>
    <w:p w14:paraId="0DD43840" w14:textId="77777777" w:rsidR="00C60C0F" w:rsidRPr="006A2A41" w:rsidRDefault="00C60C0F" w:rsidP="00C60C0F">
      <w:pPr>
        <w:pStyle w:val="ZKLADN"/>
        <w:jc w:val="center"/>
        <w:rPr>
          <w:rStyle w:val="doplnuchazeChar"/>
          <w:rFonts w:eastAsiaTheme="minorHAnsi"/>
          <w:sz w:val="22"/>
          <w:szCs w:val="22"/>
          <w:lang w:val="cs-CZ"/>
        </w:rPr>
      </w:pPr>
      <w:r w:rsidRPr="006A2A41">
        <w:rPr>
          <w:rFonts w:ascii="Calibri" w:hAnsi="Calibri"/>
          <w:sz w:val="22"/>
          <w:szCs w:val="22"/>
          <w:lang w:val="cs-CZ"/>
        </w:rPr>
        <w:t xml:space="preserve">IČO: </w:t>
      </w:r>
      <w:r w:rsidRPr="006A2A41">
        <w:rPr>
          <w:rFonts w:ascii="Calibri" w:hAnsi="Calibri"/>
          <w:b/>
          <w:sz w:val="22"/>
          <w:szCs w:val="22"/>
          <w:lang w:val="cs-CZ"/>
        </w:rPr>
        <w:t>25672541</w:t>
      </w:r>
      <w:r w:rsidRPr="006A2A41" w:rsidDel="00382924">
        <w:rPr>
          <w:rFonts w:ascii="Calibri" w:hAnsi="Calibri"/>
          <w:b/>
          <w:sz w:val="22"/>
          <w:szCs w:val="22"/>
          <w:lang w:val="cs-CZ"/>
        </w:rPr>
        <w:t xml:space="preserve"> </w:t>
      </w:r>
      <w:r w:rsidRPr="006A2A41">
        <w:rPr>
          <w:rFonts w:ascii="Calibri" w:hAnsi="Calibri"/>
          <w:sz w:val="22"/>
          <w:szCs w:val="22"/>
          <w:lang w:val="cs-CZ"/>
        </w:rPr>
        <w:t xml:space="preserve">DIČ: </w:t>
      </w:r>
      <w:r w:rsidRPr="006A2A41">
        <w:rPr>
          <w:rFonts w:ascii="Calibri" w:hAnsi="Calibri"/>
          <w:b/>
          <w:sz w:val="22"/>
          <w:szCs w:val="22"/>
        </w:rPr>
        <w:t>CZ25672541</w:t>
      </w:r>
      <w:r w:rsidRPr="006A2A41" w:rsidDel="00382924">
        <w:rPr>
          <w:rStyle w:val="doplnuchazeChar"/>
          <w:rFonts w:eastAsiaTheme="minorHAnsi"/>
          <w:sz w:val="22"/>
          <w:szCs w:val="22"/>
          <w:lang w:val="cs-CZ"/>
        </w:rPr>
        <w:t xml:space="preserve"> </w:t>
      </w:r>
    </w:p>
    <w:p w14:paraId="217E9B63" w14:textId="77777777" w:rsidR="00C60C0F" w:rsidRPr="006A2A41" w:rsidRDefault="00C60C0F" w:rsidP="00C60C0F">
      <w:pPr>
        <w:pStyle w:val="ZKLADN"/>
        <w:jc w:val="center"/>
        <w:rPr>
          <w:rFonts w:ascii="Calibri" w:hAnsi="Calibri"/>
          <w:sz w:val="22"/>
          <w:szCs w:val="22"/>
          <w:lang w:val="cs-CZ" w:eastAsia="en-US"/>
        </w:rPr>
      </w:pPr>
      <w:r w:rsidRPr="006A2A41">
        <w:rPr>
          <w:rStyle w:val="doplnuchazeChar"/>
          <w:rFonts w:eastAsiaTheme="minorHAnsi"/>
          <w:sz w:val="22"/>
          <w:szCs w:val="22"/>
          <w:lang w:val="cs-CZ"/>
        </w:rPr>
        <w:t xml:space="preserve">ID datové schránky: </w:t>
      </w:r>
      <w:r w:rsidRPr="006A2A41">
        <w:rPr>
          <w:rFonts w:ascii="Calibri" w:hAnsi="Calibri"/>
          <w:b/>
          <w:sz w:val="22"/>
          <w:szCs w:val="22"/>
          <w:lang w:val="cs-CZ" w:eastAsia="en-US"/>
        </w:rPr>
        <w:t>u5hgkji</w:t>
      </w:r>
    </w:p>
    <w:p w14:paraId="111BD7EB" w14:textId="77777777" w:rsidR="00C60C0F" w:rsidRPr="006A2A41" w:rsidRDefault="00C60C0F" w:rsidP="00C60C0F">
      <w:pPr>
        <w:pStyle w:val="RLdajeosmluvnstran"/>
        <w:rPr>
          <w:szCs w:val="22"/>
        </w:rPr>
      </w:pPr>
      <w:r w:rsidRPr="006A2A41">
        <w:rPr>
          <w:szCs w:val="22"/>
        </w:rPr>
        <w:t xml:space="preserve">společnost zapsaná v obchodním rejstříku vedeném </w:t>
      </w:r>
      <w:r w:rsidRPr="006A2A41">
        <w:rPr>
          <w:b/>
          <w:szCs w:val="22"/>
        </w:rPr>
        <w:t>Městským soudem v Praze</w:t>
      </w:r>
      <w:r w:rsidRPr="006A2A41">
        <w:rPr>
          <w:szCs w:val="22"/>
        </w:rPr>
        <w:t xml:space="preserve"> </w:t>
      </w:r>
    </w:p>
    <w:p w14:paraId="743719A0" w14:textId="77777777" w:rsidR="00C60C0F" w:rsidRPr="006A2A41" w:rsidRDefault="00C60C0F" w:rsidP="00C60C0F">
      <w:pPr>
        <w:pStyle w:val="RLdajeosmluvnstran"/>
        <w:rPr>
          <w:szCs w:val="22"/>
        </w:rPr>
      </w:pPr>
      <w:r w:rsidRPr="006A2A41">
        <w:rPr>
          <w:szCs w:val="22"/>
        </w:rPr>
        <w:t xml:space="preserve">oddíl </w:t>
      </w:r>
      <w:r w:rsidRPr="006A2A41">
        <w:rPr>
          <w:b/>
          <w:szCs w:val="22"/>
        </w:rPr>
        <w:t>B</w:t>
      </w:r>
      <w:r w:rsidRPr="006A2A41">
        <w:rPr>
          <w:szCs w:val="22"/>
        </w:rPr>
        <w:t>, vložka </w:t>
      </w:r>
      <w:r w:rsidRPr="006A2A41">
        <w:rPr>
          <w:b/>
          <w:szCs w:val="22"/>
        </w:rPr>
        <w:t>5402</w:t>
      </w:r>
    </w:p>
    <w:p w14:paraId="00DF055E" w14:textId="77777777" w:rsidR="00C60C0F" w:rsidRPr="006A2A41" w:rsidRDefault="00C60C0F" w:rsidP="00C60C0F">
      <w:pPr>
        <w:pStyle w:val="RLdajeosmluvnstran"/>
        <w:rPr>
          <w:szCs w:val="22"/>
        </w:rPr>
      </w:pPr>
      <w:r w:rsidRPr="006A2A41">
        <w:rPr>
          <w:szCs w:val="22"/>
        </w:rPr>
        <w:t xml:space="preserve">bank. spojení: </w:t>
      </w:r>
      <w:r w:rsidRPr="006A2A41">
        <w:rPr>
          <w:b/>
          <w:szCs w:val="22"/>
        </w:rPr>
        <w:t>Komerční banka, a.s.</w:t>
      </w:r>
      <w:r w:rsidRPr="006A2A41">
        <w:rPr>
          <w:szCs w:val="22"/>
        </w:rPr>
        <w:t xml:space="preserve">, č. účtu: </w:t>
      </w:r>
      <w:r w:rsidRPr="006A2A41">
        <w:rPr>
          <w:b/>
          <w:szCs w:val="22"/>
        </w:rPr>
        <w:t>115-5836140217/0100</w:t>
      </w:r>
    </w:p>
    <w:p w14:paraId="06DD8C8B" w14:textId="77777777" w:rsidR="00C60C0F" w:rsidRDefault="00C60C0F" w:rsidP="00C60C0F">
      <w:pPr>
        <w:pStyle w:val="RLdajeosmluvnstran"/>
        <w:rPr>
          <w:rFonts w:cs="Calibri"/>
          <w:b/>
          <w:szCs w:val="22"/>
        </w:rPr>
      </w:pPr>
      <w:r w:rsidRPr="00D83FA9">
        <w:rPr>
          <w:rFonts w:cs="Calibri"/>
          <w:szCs w:val="22"/>
        </w:rPr>
        <w:t xml:space="preserve">zastoupená: </w:t>
      </w:r>
      <w:r>
        <w:rPr>
          <w:rFonts w:cs="Calibri"/>
          <w:b/>
          <w:szCs w:val="22"/>
        </w:rPr>
        <w:t>Tomášem Jílkem, předsedou představenstva,</w:t>
      </w:r>
    </w:p>
    <w:p w14:paraId="7C65561C" w14:textId="77777777" w:rsidR="00C60C0F" w:rsidRDefault="00C60C0F" w:rsidP="00C60C0F">
      <w:pPr>
        <w:pStyle w:val="RLdajeosmluvnstran"/>
        <w:rPr>
          <w:rFonts w:cs="Calibri"/>
          <w:b/>
          <w:szCs w:val="22"/>
        </w:rPr>
      </w:pPr>
      <w:r>
        <w:rPr>
          <w:rFonts w:cs="Calibri"/>
          <w:b/>
          <w:szCs w:val="22"/>
        </w:rPr>
        <w:t>Tomášem Novotným, místopředsedou představenstva,</w:t>
      </w:r>
    </w:p>
    <w:p w14:paraId="56A55C8E" w14:textId="77777777" w:rsidR="00C60C0F" w:rsidRDefault="00C60C0F" w:rsidP="00C60C0F">
      <w:pPr>
        <w:pStyle w:val="RLdajeosmluvnstran"/>
        <w:rPr>
          <w:rFonts w:cs="Calibri"/>
          <w:b/>
          <w:szCs w:val="22"/>
        </w:rPr>
      </w:pPr>
      <w:r>
        <w:rPr>
          <w:rFonts w:cs="Calibri"/>
          <w:b/>
          <w:szCs w:val="22"/>
        </w:rPr>
        <w:t>Liborem Fialou, členem představenstva,</w:t>
      </w:r>
    </w:p>
    <w:p w14:paraId="20DC96DE" w14:textId="77777777" w:rsidR="00C60C0F" w:rsidRPr="00D83FA9" w:rsidRDefault="00C60C0F" w:rsidP="00C60C0F">
      <w:pPr>
        <w:pStyle w:val="RLdajeosmluvnstran"/>
        <w:rPr>
          <w:rFonts w:cs="Calibri"/>
          <w:b/>
          <w:szCs w:val="22"/>
        </w:rPr>
      </w:pPr>
      <w:r>
        <w:rPr>
          <w:rFonts w:cs="Calibri"/>
          <w:b/>
          <w:szCs w:val="22"/>
        </w:rPr>
        <w:t>Michalem Fišerem, členem představenstva</w:t>
      </w:r>
    </w:p>
    <w:p w14:paraId="49948FF9" w14:textId="77777777" w:rsidR="00C60C0F" w:rsidRPr="00D83FA9" w:rsidRDefault="00C60C0F" w:rsidP="00C60C0F">
      <w:pPr>
        <w:pStyle w:val="RLdajeosmluvnstran"/>
        <w:rPr>
          <w:rFonts w:cs="Calibri"/>
          <w:b/>
          <w:szCs w:val="22"/>
        </w:rPr>
      </w:pPr>
      <w:r w:rsidRPr="00D83FA9">
        <w:rPr>
          <w:rFonts w:cs="Calibri"/>
          <w:bCs/>
          <w:szCs w:val="22"/>
        </w:rPr>
        <w:t>č. smlouvy:</w:t>
      </w:r>
      <w:r w:rsidRPr="00D83FA9">
        <w:rPr>
          <w:rFonts w:cs="Calibri"/>
          <w:b/>
          <w:szCs w:val="22"/>
        </w:rPr>
        <w:t xml:space="preserve"> </w:t>
      </w:r>
      <w:r>
        <w:rPr>
          <w:rFonts w:cs="Calibri"/>
          <w:b/>
          <w:szCs w:val="22"/>
        </w:rPr>
        <w:t>01/26</w:t>
      </w:r>
    </w:p>
    <w:p w14:paraId="63642EAD" w14:textId="77777777" w:rsidR="00C60C0F" w:rsidRPr="006A2A41" w:rsidRDefault="00C60C0F" w:rsidP="00C60C0F">
      <w:pPr>
        <w:spacing w:after="0"/>
        <w:jc w:val="center"/>
        <w:rPr>
          <w:szCs w:val="22"/>
          <w:lang w:eastAsia="en-US"/>
        </w:rPr>
      </w:pPr>
      <w:r w:rsidRPr="006A2A41">
        <w:rPr>
          <w:szCs w:val="22"/>
          <w:lang w:eastAsia="en-US"/>
        </w:rPr>
        <w:t xml:space="preserve">(dále jen </w:t>
      </w:r>
      <w:r w:rsidRPr="008E338D">
        <w:rPr>
          <w:b/>
          <w:bCs/>
          <w:szCs w:val="22"/>
          <w:lang w:eastAsia="en-US"/>
        </w:rPr>
        <w:t>„</w:t>
      </w:r>
      <w:r w:rsidRPr="006A2A41">
        <w:rPr>
          <w:b/>
          <w:szCs w:val="22"/>
          <w:lang w:eastAsia="en-US"/>
        </w:rPr>
        <w:t>Objednatel</w:t>
      </w:r>
      <w:r w:rsidRPr="008E338D">
        <w:rPr>
          <w:b/>
          <w:bCs/>
          <w:szCs w:val="22"/>
          <w:lang w:eastAsia="en-US"/>
        </w:rPr>
        <w:t>“</w:t>
      </w:r>
      <w:r w:rsidRPr="006A2A41">
        <w:rPr>
          <w:szCs w:val="22"/>
          <w:lang w:eastAsia="en-US"/>
        </w:rPr>
        <w:t>)</w:t>
      </w:r>
    </w:p>
    <w:p w14:paraId="155FA048" w14:textId="77777777" w:rsidR="00C60C0F" w:rsidRPr="006A2A41" w:rsidRDefault="00C60C0F" w:rsidP="00C60C0F">
      <w:pPr>
        <w:pStyle w:val="RLdajeosmluvnstran"/>
        <w:spacing w:after="0"/>
        <w:rPr>
          <w:szCs w:val="22"/>
        </w:rPr>
      </w:pPr>
    </w:p>
    <w:p w14:paraId="1094A02F" w14:textId="77777777" w:rsidR="00C60C0F" w:rsidRPr="006A2A41" w:rsidRDefault="00C60C0F" w:rsidP="00C60C0F">
      <w:pPr>
        <w:pStyle w:val="RLdajeosmluvnstran"/>
        <w:spacing w:after="0"/>
        <w:rPr>
          <w:szCs w:val="22"/>
        </w:rPr>
      </w:pPr>
      <w:r w:rsidRPr="006A2A41">
        <w:rPr>
          <w:szCs w:val="22"/>
        </w:rPr>
        <w:t>a</w:t>
      </w:r>
    </w:p>
    <w:p w14:paraId="30D1DD21" w14:textId="77777777" w:rsidR="00C60C0F" w:rsidRPr="006A2A41" w:rsidRDefault="00C60C0F" w:rsidP="00C60C0F">
      <w:pPr>
        <w:pStyle w:val="RLdajeosmluvnstran"/>
        <w:spacing w:after="0"/>
        <w:rPr>
          <w:szCs w:val="22"/>
        </w:rPr>
      </w:pPr>
    </w:p>
    <w:p w14:paraId="7E1CFB59" w14:textId="77777777" w:rsidR="00C60C0F" w:rsidRPr="00D83FA9" w:rsidRDefault="00C60C0F" w:rsidP="00C60C0F">
      <w:pPr>
        <w:pStyle w:val="RLdajeosmluvnstran"/>
        <w:rPr>
          <w:rFonts w:cs="Calibri"/>
          <w:b/>
          <w:szCs w:val="22"/>
        </w:rPr>
      </w:pPr>
      <w:r>
        <w:rPr>
          <w:rFonts w:cs="Calibri"/>
          <w:b/>
          <w:szCs w:val="22"/>
        </w:rPr>
        <w:t>KH servis a.s.</w:t>
      </w:r>
    </w:p>
    <w:p w14:paraId="38E386A9" w14:textId="77777777" w:rsidR="00C60C0F" w:rsidRPr="00D83FA9" w:rsidRDefault="00C60C0F" w:rsidP="00C60C0F">
      <w:pPr>
        <w:pStyle w:val="RLdajeosmluvnstran"/>
        <w:rPr>
          <w:rFonts w:cs="Calibri"/>
          <w:szCs w:val="22"/>
        </w:rPr>
      </w:pPr>
      <w:r w:rsidRPr="00D83FA9">
        <w:rPr>
          <w:rFonts w:cs="Calibri"/>
          <w:szCs w:val="22"/>
        </w:rPr>
        <w:t xml:space="preserve">se sídlem: </w:t>
      </w:r>
      <w:r w:rsidRPr="00E25007">
        <w:rPr>
          <w:rFonts w:cs="Calibri"/>
          <w:b/>
          <w:szCs w:val="22"/>
        </w:rPr>
        <w:t>Hvožďanská 2235/2, Chodov, 148 00 Praha 4</w:t>
      </w:r>
    </w:p>
    <w:p w14:paraId="0BB1C8A8" w14:textId="28927A8D" w:rsidR="00C60C0F" w:rsidRPr="00D83FA9" w:rsidRDefault="00C60C0F" w:rsidP="00C60C0F">
      <w:pPr>
        <w:pStyle w:val="ZKLADN"/>
        <w:jc w:val="center"/>
        <w:rPr>
          <w:rFonts w:ascii="Calibri" w:hAnsi="Calibri" w:cs="Calibri"/>
          <w:sz w:val="22"/>
          <w:szCs w:val="22"/>
          <w:lang w:val="cs-CZ"/>
        </w:rPr>
      </w:pPr>
      <w:r w:rsidRPr="00D83FA9">
        <w:rPr>
          <w:rFonts w:ascii="Calibri" w:hAnsi="Calibri" w:cs="Calibri"/>
          <w:sz w:val="22"/>
          <w:szCs w:val="22"/>
          <w:lang w:val="cs-CZ"/>
        </w:rPr>
        <w:t xml:space="preserve">IČO: </w:t>
      </w:r>
      <w:r w:rsidRPr="00E25007">
        <w:rPr>
          <w:rFonts w:ascii="Calibri" w:hAnsi="Calibri" w:cs="Calibri"/>
          <w:b/>
          <w:bCs/>
          <w:sz w:val="22"/>
          <w:szCs w:val="22"/>
          <w:lang w:val="cs-CZ"/>
        </w:rPr>
        <w:t>45279748</w:t>
      </w:r>
      <w:r w:rsidRPr="00D83FA9">
        <w:rPr>
          <w:rFonts w:ascii="Calibri" w:hAnsi="Calibri" w:cs="Calibri"/>
          <w:b/>
          <w:sz w:val="22"/>
          <w:szCs w:val="22"/>
          <w:lang w:val="cs-CZ"/>
        </w:rPr>
        <w:t xml:space="preserve">, </w:t>
      </w:r>
      <w:r w:rsidRPr="00D83FA9">
        <w:rPr>
          <w:rFonts w:ascii="Calibri" w:hAnsi="Calibri" w:cs="Calibri"/>
          <w:sz w:val="22"/>
          <w:szCs w:val="22"/>
          <w:lang w:val="cs-CZ"/>
        </w:rPr>
        <w:t xml:space="preserve">DIČ: </w:t>
      </w:r>
      <w:r w:rsidRPr="00E25007">
        <w:rPr>
          <w:rFonts w:ascii="Calibri" w:hAnsi="Calibri" w:cs="Calibri"/>
          <w:b/>
          <w:bCs/>
          <w:sz w:val="22"/>
          <w:szCs w:val="22"/>
          <w:lang w:val="cs-CZ"/>
        </w:rPr>
        <w:t>CZ</w:t>
      </w:r>
      <w:r w:rsidR="00AB24FD">
        <w:rPr>
          <w:rFonts w:ascii="Calibri" w:hAnsi="Calibri" w:cs="Calibri"/>
          <w:b/>
          <w:bCs/>
          <w:sz w:val="22"/>
          <w:szCs w:val="22"/>
          <w:lang w:val="cs-CZ"/>
        </w:rPr>
        <w:t>699008218</w:t>
      </w:r>
    </w:p>
    <w:p w14:paraId="3E6B7E8B" w14:textId="77777777" w:rsidR="00C60C0F" w:rsidRPr="00D83FA9" w:rsidRDefault="00C60C0F" w:rsidP="00C60C0F">
      <w:pPr>
        <w:pStyle w:val="RLdajeosmluvnstran"/>
        <w:rPr>
          <w:rFonts w:cs="Calibri"/>
          <w:szCs w:val="22"/>
        </w:rPr>
      </w:pPr>
      <w:r w:rsidRPr="00D83FA9">
        <w:rPr>
          <w:rFonts w:cs="Calibri"/>
          <w:szCs w:val="22"/>
        </w:rPr>
        <w:t xml:space="preserve">společnost zapsaná v obchodním rejstříku vedeném </w:t>
      </w:r>
      <w:r w:rsidRPr="006A2A41">
        <w:rPr>
          <w:b/>
          <w:szCs w:val="22"/>
        </w:rPr>
        <w:t>Městským soudem v Praze</w:t>
      </w:r>
      <w:r w:rsidRPr="00D83FA9">
        <w:rPr>
          <w:rFonts w:cs="Calibri"/>
          <w:szCs w:val="22"/>
        </w:rPr>
        <w:t xml:space="preserve">, </w:t>
      </w:r>
    </w:p>
    <w:p w14:paraId="3CE26619" w14:textId="77777777" w:rsidR="00C60C0F" w:rsidRDefault="00C60C0F" w:rsidP="00C60C0F">
      <w:pPr>
        <w:pStyle w:val="RLdajeosmluvnstran"/>
        <w:rPr>
          <w:rFonts w:cs="Calibri"/>
          <w:b/>
          <w:szCs w:val="22"/>
        </w:rPr>
      </w:pPr>
      <w:r w:rsidRPr="00D83FA9">
        <w:rPr>
          <w:rFonts w:cs="Calibri"/>
          <w:szCs w:val="22"/>
        </w:rPr>
        <w:t xml:space="preserve">oddíl </w:t>
      </w:r>
      <w:r>
        <w:rPr>
          <w:rFonts w:cs="Calibri"/>
          <w:b/>
          <w:szCs w:val="22"/>
        </w:rPr>
        <w:t>B</w:t>
      </w:r>
      <w:r w:rsidRPr="00D83FA9">
        <w:rPr>
          <w:rFonts w:cs="Calibri"/>
          <w:szCs w:val="22"/>
        </w:rPr>
        <w:t>, vložka </w:t>
      </w:r>
      <w:r w:rsidRPr="0053321F">
        <w:rPr>
          <w:rFonts w:cs="Calibri"/>
          <w:b/>
          <w:szCs w:val="22"/>
        </w:rPr>
        <w:t>26001</w:t>
      </w:r>
    </w:p>
    <w:p w14:paraId="5473B17C" w14:textId="77777777" w:rsidR="00C60C0F" w:rsidRDefault="00C60C0F" w:rsidP="00C60C0F">
      <w:pPr>
        <w:pStyle w:val="RLdajeosmluvnstran"/>
        <w:rPr>
          <w:rFonts w:cs="Calibri"/>
          <w:b/>
          <w:szCs w:val="22"/>
        </w:rPr>
      </w:pPr>
      <w:r w:rsidRPr="00D83FA9">
        <w:rPr>
          <w:rFonts w:cs="Calibri"/>
          <w:szCs w:val="22"/>
        </w:rPr>
        <w:t xml:space="preserve">ID datové schránky: </w:t>
      </w:r>
      <w:proofErr w:type="spellStart"/>
      <w:r w:rsidRPr="00B55413">
        <w:rPr>
          <w:rFonts w:cs="Calibri"/>
          <w:b/>
          <w:bCs/>
          <w:szCs w:val="22"/>
        </w:rPr>
        <w:t>yjnerrz</w:t>
      </w:r>
      <w:proofErr w:type="spellEnd"/>
    </w:p>
    <w:p w14:paraId="756CCB2B" w14:textId="77777777" w:rsidR="00C60C0F" w:rsidRPr="00D83FA9" w:rsidRDefault="00C60C0F" w:rsidP="00C60C0F">
      <w:pPr>
        <w:pStyle w:val="RLdajeosmluvnstran"/>
        <w:rPr>
          <w:rFonts w:cs="Calibri"/>
          <w:szCs w:val="22"/>
        </w:rPr>
      </w:pPr>
      <w:r w:rsidRPr="00D83FA9">
        <w:rPr>
          <w:rFonts w:cs="Calibri"/>
          <w:szCs w:val="22"/>
        </w:rPr>
        <w:t>bank. spojení:</w:t>
      </w:r>
      <w:r>
        <w:rPr>
          <w:rFonts w:cs="Calibri"/>
          <w:szCs w:val="22"/>
        </w:rPr>
        <w:t xml:space="preserve"> </w:t>
      </w:r>
      <w:r w:rsidRPr="00B55413">
        <w:rPr>
          <w:rFonts w:cs="Calibri"/>
          <w:b/>
          <w:bCs/>
          <w:szCs w:val="22"/>
        </w:rPr>
        <w:t>Komerční banka, a.s.</w:t>
      </w:r>
      <w:r w:rsidRPr="00D83FA9">
        <w:rPr>
          <w:rFonts w:cs="Calibri"/>
          <w:szCs w:val="22"/>
        </w:rPr>
        <w:t xml:space="preserve">, č. účtu: </w:t>
      </w:r>
      <w:r w:rsidRPr="00B55413">
        <w:rPr>
          <w:rFonts w:cs="Calibri"/>
          <w:b/>
          <w:bCs/>
          <w:szCs w:val="22"/>
        </w:rPr>
        <w:t>823646101/0100</w:t>
      </w:r>
    </w:p>
    <w:p w14:paraId="69BB2AC1" w14:textId="77777777" w:rsidR="00C60C0F" w:rsidRDefault="00C60C0F" w:rsidP="00C60C0F">
      <w:pPr>
        <w:pStyle w:val="RLdajeosmluvnstran"/>
        <w:rPr>
          <w:rFonts w:cs="Calibri"/>
          <w:b/>
          <w:szCs w:val="22"/>
        </w:rPr>
      </w:pPr>
      <w:r w:rsidRPr="00D83FA9">
        <w:rPr>
          <w:rFonts w:cs="Calibri"/>
          <w:szCs w:val="22"/>
        </w:rPr>
        <w:t xml:space="preserve">zastoupená: </w:t>
      </w:r>
      <w:r>
        <w:rPr>
          <w:rFonts w:cs="Calibri"/>
          <w:b/>
          <w:szCs w:val="22"/>
        </w:rPr>
        <w:t>Ing. Jiřím Kolářem, předsedou představenstva,</w:t>
      </w:r>
    </w:p>
    <w:p w14:paraId="4C640AF3" w14:textId="77777777" w:rsidR="00C60C0F" w:rsidRPr="00D83FA9" w:rsidRDefault="00C60C0F" w:rsidP="00C60C0F">
      <w:pPr>
        <w:pStyle w:val="RLdajeosmluvnstran"/>
        <w:rPr>
          <w:rFonts w:cs="Calibri"/>
          <w:b/>
          <w:szCs w:val="22"/>
        </w:rPr>
      </w:pPr>
      <w:r>
        <w:rPr>
          <w:rFonts w:cs="Calibri"/>
          <w:b/>
          <w:szCs w:val="22"/>
        </w:rPr>
        <w:t xml:space="preserve">Bc. Tomášem </w:t>
      </w:r>
      <w:proofErr w:type="spellStart"/>
      <w:r>
        <w:rPr>
          <w:rFonts w:cs="Calibri"/>
          <w:b/>
          <w:szCs w:val="22"/>
        </w:rPr>
        <w:t>Nettlem</w:t>
      </w:r>
      <w:proofErr w:type="spellEnd"/>
      <w:r>
        <w:rPr>
          <w:rFonts w:cs="Calibri"/>
          <w:b/>
          <w:szCs w:val="22"/>
        </w:rPr>
        <w:t>, členem představenstva</w:t>
      </w:r>
    </w:p>
    <w:p w14:paraId="3504E824" w14:textId="77777777" w:rsidR="00C60C0F" w:rsidRPr="006A2A41" w:rsidRDefault="00C60C0F" w:rsidP="00C60C0F">
      <w:pPr>
        <w:pStyle w:val="RLdajeosmluvnstran"/>
        <w:rPr>
          <w:szCs w:val="22"/>
        </w:rPr>
      </w:pPr>
      <w:r w:rsidRPr="006A2A41">
        <w:rPr>
          <w:szCs w:val="22"/>
        </w:rPr>
        <w:t xml:space="preserve">(dále jen </w:t>
      </w:r>
      <w:r w:rsidRPr="008E338D">
        <w:rPr>
          <w:b/>
          <w:bCs/>
          <w:szCs w:val="22"/>
        </w:rPr>
        <w:t>„</w:t>
      </w:r>
      <w:r w:rsidRPr="006A2A41">
        <w:rPr>
          <w:b/>
          <w:szCs w:val="22"/>
        </w:rPr>
        <w:t>Dodavatel</w:t>
      </w:r>
      <w:r w:rsidRPr="008E338D">
        <w:rPr>
          <w:b/>
          <w:bCs/>
          <w:szCs w:val="22"/>
        </w:rPr>
        <w:t>“</w:t>
      </w:r>
      <w:r w:rsidRPr="006A2A41">
        <w:rPr>
          <w:szCs w:val="22"/>
        </w:rPr>
        <w:t>)</w:t>
      </w:r>
    </w:p>
    <w:p w14:paraId="41D9CE33" w14:textId="3818579E" w:rsidR="00A84ED5" w:rsidRPr="005E38D2" w:rsidRDefault="00A84ED5" w:rsidP="00A84ED5">
      <w:pPr>
        <w:pStyle w:val="RLdajeosmluvnstran"/>
        <w:rPr>
          <w:rFonts w:cs="Calibri"/>
          <w:szCs w:val="22"/>
        </w:rPr>
      </w:pPr>
      <w:r w:rsidRPr="005E38D2">
        <w:rPr>
          <w:rFonts w:cs="Calibri"/>
          <w:szCs w:val="22"/>
        </w:rPr>
        <w:t xml:space="preserve">(Objednatel a </w:t>
      </w:r>
      <w:r w:rsidR="00C827B9" w:rsidRPr="005E38D2">
        <w:rPr>
          <w:rFonts w:cs="Calibri"/>
          <w:szCs w:val="22"/>
        </w:rPr>
        <w:t>Dodavatel</w:t>
      </w:r>
      <w:r w:rsidRPr="005E38D2">
        <w:rPr>
          <w:rFonts w:cs="Calibri"/>
          <w:szCs w:val="22"/>
        </w:rPr>
        <w:t xml:space="preserve"> společně také jako </w:t>
      </w:r>
      <w:r w:rsidRPr="005E38D2">
        <w:rPr>
          <w:rFonts w:cs="Calibri"/>
          <w:b/>
          <w:bCs/>
          <w:szCs w:val="22"/>
        </w:rPr>
        <w:t>„Smluvní strany“</w:t>
      </w:r>
      <w:r w:rsidRPr="005E38D2">
        <w:rPr>
          <w:rFonts w:cs="Calibri"/>
          <w:szCs w:val="22"/>
        </w:rPr>
        <w:t>)</w:t>
      </w:r>
    </w:p>
    <w:p w14:paraId="5BC84814" w14:textId="77777777" w:rsidR="00A84ED5" w:rsidRPr="005E38D2" w:rsidRDefault="00A84ED5" w:rsidP="00A84ED5">
      <w:pPr>
        <w:pStyle w:val="RLdajeosmluvnstran"/>
        <w:jc w:val="both"/>
        <w:rPr>
          <w:rFonts w:cs="Calibri"/>
          <w:szCs w:val="22"/>
        </w:rPr>
      </w:pPr>
    </w:p>
    <w:p w14:paraId="7796F02E" w14:textId="75018A4E" w:rsidR="00A84ED5" w:rsidRPr="005E38D2" w:rsidRDefault="00A84ED5" w:rsidP="00A84ED5">
      <w:pPr>
        <w:pStyle w:val="RLdajeosmluvnstran"/>
        <w:jc w:val="both"/>
        <w:rPr>
          <w:rFonts w:cs="Calibri"/>
          <w:szCs w:val="22"/>
        </w:rPr>
      </w:pPr>
      <w:r w:rsidRPr="005E38D2">
        <w:rPr>
          <w:rFonts w:cs="Calibri"/>
          <w:szCs w:val="22"/>
        </w:rPr>
        <w:lastRenderedPageBreak/>
        <w:t>Vzhledem k tomu, že:</w:t>
      </w:r>
    </w:p>
    <w:p w14:paraId="2CAD8261" w14:textId="25B522F0" w:rsidR="005E38D2" w:rsidRPr="005E38D2" w:rsidRDefault="00A84ED5" w:rsidP="005E38D2">
      <w:pPr>
        <w:pStyle w:val="Odstavecseseznamem"/>
        <w:numPr>
          <w:ilvl w:val="0"/>
          <w:numId w:val="1"/>
        </w:numPr>
        <w:spacing w:after="160" w:line="259" w:lineRule="auto"/>
        <w:jc w:val="both"/>
        <w:rPr>
          <w:rFonts w:cs="Calibri"/>
          <w:szCs w:val="22"/>
          <w14:ligatures w14:val="standardContextual"/>
        </w:rPr>
      </w:pPr>
      <w:r w:rsidRPr="005E38D2">
        <w:rPr>
          <w:rFonts w:cs="Calibri"/>
          <w:szCs w:val="22"/>
        </w:rPr>
        <w:t xml:space="preserve">Objednatel a </w:t>
      </w:r>
      <w:r w:rsidR="00C827B9" w:rsidRPr="005E38D2">
        <w:rPr>
          <w:rFonts w:cs="Calibri"/>
          <w:szCs w:val="22"/>
        </w:rPr>
        <w:t>Dodavatel</w:t>
      </w:r>
      <w:r w:rsidRPr="005E38D2">
        <w:rPr>
          <w:rFonts w:cs="Calibri"/>
          <w:szCs w:val="22"/>
        </w:rPr>
        <w:t xml:space="preserve"> uzavřeli dne </w:t>
      </w:r>
      <w:r w:rsidRPr="005E38D2">
        <w:rPr>
          <w:rFonts w:cs="Calibri"/>
          <w:szCs w:val="22"/>
          <w14:ligatures w14:val="standardContextual"/>
        </w:rPr>
        <w:t>1</w:t>
      </w:r>
      <w:r w:rsidR="00C827B9" w:rsidRPr="005E38D2">
        <w:rPr>
          <w:rFonts w:cs="Calibri"/>
          <w:szCs w:val="22"/>
          <w14:ligatures w14:val="standardContextual"/>
        </w:rPr>
        <w:t>4</w:t>
      </w:r>
      <w:r w:rsidRPr="005E38D2">
        <w:rPr>
          <w:rFonts w:cs="Calibri"/>
          <w:szCs w:val="22"/>
          <w14:ligatures w14:val="standardContextual"/>
        </w:rPr>
        <w:t xml:space="preserve">. </w:t>
      </w:r>
      <w:r w:rsidR="00C827B9" w:rsidRPr="005E38D2">
        <w:rPr>
          <w:rFonts w:cs="Calibri"/>
          <w:szCs w:val="22"/>
          <w14:ligatures w14:val="standardContextual"/>
        </w:rPr>
        <w:t>7</w:t>
      </w:r>
      <w:r w:rsidRPr="005E38D2">
        <w:rPr>
          <w:rFonts w:cs="Calibri"/>
          <w:szCs w:val="22"/>
          <w14:ligatures w14:val="standardContextual"/>
        </w:rPr>
        <w:t xml:space="preserve">. 2025 </w:t>
      </w:r>
      <w:r w:rsidR="00C827B9" w:rsidRPr="005E38D2">
        <w:rPr>
          <w:rFonts w:cs="Calibri"/>
          <w:szCs w:val="22"/>
          <w14:ligatures w14:val="standardContextual"/>
        </w:rPr>
        <w:t xml:space="preserve">Rámcovou smlouvu na dodávku IP kamer a příslušenství </w:t>
      </w:r>
      <w:r w:rsidR="00C60C0F">
        <w:rPr>
          <w:rFonts w:cs="Calibri"/>
          <w:szCs w:val="22"/>
          <w14:ligatures w14:val="standardContextual"/>
        </w:rPr>
        <w:t>II</w:t>
      </w:r>
      <w:r w:rsidRPr="005E38D2">
        <w:rPr>
          <w:rFonts w:cs="Calibri"/>
          <w:szCs w:val="22"/>
          <w14:ligatures w14:val="standardContextual"/>
        </w:rPr>
        <w:t xml:space="preserve"> č. </w:t>
      </w:r>
      <w:r w:rsidR="00C60C0F">
        <w:rPr>
          <w:rFonts w:cs="Calibri"/>
          <w:szCs w:val="22"/>
          <w14:ligatures w14:val="standardContextual"/>
        </w:rPr>
        <w:t>1</w:t>
      </w:r>
      <w:r w:rsidRPr="005E38D2">
        <w:rPr>
          <w:rFonts w:cs="Calibri"/>
          <w:szCs w:val="22"/>
          <w14:ligatures w14:val="standardContextual"/>
        </w:rPr>
        <w:t>/</w:t>
      </w:r>
      <w:r w:rsidR="00C60C0F">
        <w:rPr>
          <w:rFonts w:cs="Calibri"/>
          <w:szCs w:val="22"/>
          <w14:ligatures w14:val="standardContextual"/>
        </w:rPr>
        <w:t>26</w:t>
      </w:r>
      <w:r w:rsidRPr="005E38D2">
        <w:rPr>
          <w:rFonts w:cs="Calibri"/>
          <w:szCs w:val="22"/>
          <w14:ligatures w14:val="standardContextual"/>
        </w:rPr>
        <w:t xml:space="preserve"> </w:t>
      </w:r>
      <w:r w:rsidR="00C827B9" w:rsidRPr="005E38D2">
        <w:rPr>
          <w:rFonts w:cs="Calibri"/>
          <w:szCs w:val="22"/>
          <w14:ligatures w14:val="standardContextual"/>
        </w:rPr>
        <w:t>(dále jen „</w:t>
      </w:r>
      <w:r w:rsidR="00C827B9" w:rsidRPr="005E38D2">
        <w:rPr>
          <w:rFonts w:cs="Calibri"/>
          <w:b/>
          <w:bCs/>
          <w:szCs w:val="22"/>
          <w14:ligatures w14:val="standardContextual"/>
        </w:rPr>
        <w:t>Smlouva</w:t>
      </w:r>
      <w:r w:rsidR="00C827B9" w:rsidRPr="005E38D2">
        <w:rPr>
          <w:rFonts w:cs="Calibri"/>
          <w:szCs w:val="22"/>
          <w14:ligatures w14:val="standardContextual"/>
        </w:rPr>
        <w:t>“) týkající se dodávky IP kamer a jejich příslušenství pro realizaci výstavby nových kamerových stanovišť a obměnu analogových kamer za digitální dle technické specifikace a ocenění uvedené v Příloze č. 1 Smlouvy (dále jen „</w:t>
      </w:r>
      <w:r w:rsidR="00C827B9" w:rsidRPr="005E38D2">
        <w:rPr>
          <w:rFonts w:cs="Calibri"/>
          <w:b/>
          <w:bCs/>
          <w:szCs w:val="22"/>
          <w14:ligatures w14:val="standardContextual"/>
        </w:rPr>
        <w:t>Technická specifikace a ceník</w:t>
      </w:r>
      <w:r w:rsidR="00C827B9" w:rsidRPr="005E38D2">
        <w:rPr>
          <w:rFonts w:cs="Calibri"/>
          <w:szCs w:val="22"/>
          <w14:ligatures w14:val="standardContextual"/>
        </w:rPr>
        <w:t>“)</w:t>
      </w:r>
      <w:r w:rsidR="005E38D2">
        <w:rPr>
          <w:rFonts w:cs="Calibri"/>
          <w:szCs w:val="22"/>
          <w14:ligatures w14:val="standardContextual"/>
        </w:rPr>
        <w:t xml:space="preserve"> a (dále též jen „</w:t>
      </w:r>
      <w:r w:rsidR="005E38D2" w:rsidRPr="005E38D2">
        <w:rPr>
          <w:rFonts w:cs="Calibri"/>
          <w:b/>
          <w:bCs/>
          <w:szCs w:val="22"/>
          <w14:ligatures w14:val="standardContextual"/>
        </w:rPr>
        <w:t>Zboží</w:t>
      </w:r>
      <w:r w:rsidR="005E38D2">
        <w:rPr>
          <w:rFonts w:cs="Calibri"/>
          <w:szCs w:val="22"/>
          <w14:ligatures w14:val="standardContextual"/>
        </w:rPr>
        <w:t>“)</w:t>
      </w:r>
      <w:r w:rsidR="00C827B9" w:rsidRPr="005E38D2">
        <w:rPr>
          <w:rFonts w:cs="Calibri"/>
          <w:szCs w:val="22"/>
          <w14:ligatures w14:val="standardContextual"/>
        </w:rPr>
        <w:t xml:space="preserve"> Objednateli</w:t>
      </w:r>
      <w:r w:rsidR="005E38D2" w:rsidRPr="005E38D2">
        <w:rPr>
          <w:rFonts w:cs="Calibri"/>
          <w:szCs w:val="22"/>
          <w14:ligatures w14:val="standardContextual"/>
        </w:rPr>
        <w:t>. Smlouva byla uzavřena na základě</w:t>
      </w:r>
      <w:r w:rsidR="00C827B9" w:rsidRPr="005E38D2">
        <w:rPr>
          <w:rFonts w:cs="Calibri"/>
          <w:szCs w:val="22"/>
          <w14:ligatures w14:val="standardContextual"/>
        </w:rPr>
        <w:t xml:space="preserve"> </w:t>
      </w:r>
      <w:r w:rsidR="005E38D2" w:rsidRPr="005E38D2">
        <w:rPr>
          <w:rFonts w:cs="Calibri"/>
          <w:szCs w:val="22"/>
          <w14:ligatures w14:val="standardContextual"/>
        </w:rPr>
        <w:t xml:space="preserve">výsledku veřejné zakázky zadávané v dynamickém nákupním systému s názvem </w:t>
      </w:r>
      <w:r w:rsidR="00C60C0F" w:rsidRPr="00D83FA9">
        <w:rPr>
          <w:b/>
          <w:bCs/>
        </w:rPr>
        <w:t>„</w:t>
      </w:r>
      <w:r w:rsidR="00C60C0F" w:rsidRPr="006131CE">
        <w:rPr>
          <w:b/>
          <w:szCs w:val="22"/>
        </w:rPr>
        <w:t>Dynamický nákupní systém pro dodávku komponent pro analogové a digitální sítě</w:t>
      </w:r>
      <w:r w:rsidR="00C60C0F" w:rsidRPr="006A2A41">
        <w:rPr>
          <w:b/>
          <w:szCs w:val="22"/>
        </w:rPr>
        <w:t>“</w:t>
      </w:r>
      <w:r w:rsidR="00C60C0F">
        <w:rPr>
          <w:b/>
          <w:szCs w:val="22"/>
        </w:rPr>
        <w:t xml:space="preserve"> </w:t>
      </w:r>
      <w:r w:rsidR="00C60C0F" w:rsidRPr="00D83FA9">
        <w:rPr>
          <w:bCs/>
          <w:szCs w:val="22"/>
        </w:rPr>
        <w:t>s názvem</w:t>
      </w:r>
      <w:r w:rsidR="00C60C0F">
        <w:rPr>
          <w:b/>
          <w:szCs w:val="22"/>
        </w:rPr>
        <w:t xml:space="preserve"> „</w:t>
      </w:r>
      <w:r w:rsidR="00C60C0F" w:rsidRPr="00BD40A9">
        <w:rPr>
          <w:rFonts w:cs="Calibri"/>
          <w:b/>
        </w:rPr>
        <w:t xml:space="preserve">Rámcová </w:t>
      </w:r>
      <w:r w:rsidR="00C60C0F">
        <w:rPr>
          <w:rFonts w:cs="Calibri"/>
          <w:b/>
        </w:rPr>
        <w:t xml:space="preserve">smlouva </w:t>
      </w:r>
      <w:r w:rsidR="00C60C0F" w:rsidRPr="00BD40A9">
        <w:rPr>
          <w:rFonts w:cs="Calibri"/>
          <w:b/>
        </w:rPr>
        <w:t xml:space="preserve">na dodávky IP kamer a jejich příslušenství </w:t>
      </w:r>
      <w:r w:rsidR="00C60C0F">
        <w:rPr>
          <w:rFonts w:cs="Calibri"/>
          <w:b/>
        </w:rPr>
        <w:t>I</w:t>
      </w:r>
      <w:r w:rsidR="00C60C0F" w:rsidRPr="00BD40A9">
        <w:rPr>
          <w:rFonts w:cs="Calibri"/>
          <w:b/>
        </w:rPr>
        <w:t>I</w:t>
      </w:r>
      <w:r w:rsidR="00C60C0F" w:rsidRPr="008E338D">
        <w:rPr>
          <w:rStyle w:val="RLProhlensmluvnchstranChar"/>
          <w:bCs/>
          <w:szCs w:val="22"/>
        </w:rPr>
        <w:t>“</w:t>
      </w:r>
      <w:r w:rsidR="00C60C0F">
        <w:rPr>
          <w:rStyle w:val="RLProhlensmluvnchstranChar"/>
          <w:szCs w:val="22"/>
        </w:rPr>
        <w:t xml:space="preserve"> </w:t>
      </w:r>
      <w:r w:rsidR="005E38D2" w:rsidRPr="005E38D2">
        <w:rPr>
          <w:rFonts w:cs="Calibri"/>
          <w:szCs w:val="22"/>
          <w14:ligatures w14:val="standardContextual"/>
        </w:rPr>
        <w:t>(dále jen „</w:t>
      </w:r>
      <w:r w:rsidR="005E38D2" w:rsidRPr="005E38D2">
        <w:rPr>
          <w:rFonts w:cs="Calibri"/>
          <w:b/>
          <w:bCs/>
          <w:szCs w:val="22"/>
          <w14:ligatures w14:val="standardContextual"/>
        </w:rPr>
        <w:t>Veřejná zakázka</w:t>
      </w:r>
      <w:r w:rsidR="005E38D2" w:rsidRPr="005E38D2">
        <w:rPr>
          <w:rFonts w:cs="Calibri"/>
          <w:szCs w:val="22"/>
          <w14:ligatures w14:val="standardContextual"/>
        </w:rPr>
        <w:t>“) ve smyslu zákona č. 134/2016 Sb., o zadávání veřejných zakázek, ve znění pozdějších předpisů (dále též jen „</w:t>
      </w:r>
      <w:r w:rsidR="005E38D2" w:rsidRPr="005E38D2">
        <w:rPr>
          <w:rFonts w:cs="Calibri"/>
          <w:b/>
          <w:bCs/>
          <w:szCs w:val="22"/>
          <w14:ligatures w14:val="standardContextual"/>
        </w:rPr>
        <w:t>ZZVZ</w:t>
      </w:r>
      <w:r w:rsidR="005E38D2" w:rsidRPr="005E38D2">
        <w:rPr>
          <w:rFonts w:cs="Calibri"/>
          <w:szCs w:val="22"/>
          <w14:ligatures w14:val="standardContextual"/>
        </w:rPr>
        <w:t>“), a v souladu se zákonem č. 89/2012 Sb., občanský zákoník, ve znění pozdějších předpisů (dále též jen „</w:t>
      </w:r>
      <w:r w:rsidR="005E38D2" w:rsidRPr="005E38D2">
        <w:rPr>
          <w:rFonts w:cs="Calibri"/>
          <w:b/>
          <w:bCs/>
          <w:szCs w:val="22"/>
          <w14:ligatures w14:val="standardContextual"/>
        </w:rPr>
        <w:t>Občanský zákoník</w:t>
      </w:r>
      <w:r w:rsidR="005E38D2" w:rsidRPr="005E38D2">
        <w:rPr>
          <w:rFonts w:cs="Calibri"/>
          <w:szCs w:val="22"/>
          <w14:ligatures w14:val="standardContextual"/>
        </w:rPr>
        <w:t xml:space="preserve">“). </w:t>
      </w:r>
    </w:p>
    <w:p w14:paraId="1E3835E1" w14:textId="1056F3B9" w:rsidR="00C60C0F" w:rsidRPr="00C60C0F" w:rsidRDefault="00A84ED5" w:rsidP="00C60C0F">
      <w:pPr>
        <w:pStyle w:val="RLdajeosmluvnstran"/>
        <w:numPr>
          <w:ilvl w:val="0"/>
          <w:numId w:val="1"/>
        </w:numPr>
        <w:jc w:val="both"/>
        <w:rPr>
          <w:rFonts w:cs="Calibri"/>
          <w:szCs w:val="22"/>
        </w:rPr>
      </w:pPr>
      <w:r w:rsidRPr="00C60C0F">
        <w:rPr>
          <w:rFonts w:cs="Calibri"/>
          <w:szCs w:val="22"/>
        </w:rPr>
        <w:t xml:space="preserve">Dle čl. </w:t>
      </w:r>
      <w:r w:rsidR="005E38D2" w:rsidRPr="00C60C0F">
        <w:rPr>
          <w:rFonts w:cs="Calibri"/>
          <w:szCs w:val="22"/>
        </w:rPr>
        <w:t>10.</w:t>
      </w:r>
      <w:r w:rsidRPr="00C60C0F">
        <w:rPr>
          <w:rFonts w:cs="Calibri"/>
          <w:szCs w:val="22"/>
        </w:rPr>
        <w:t xml:space="preserve"> odst. </w:t>
      </w:r>
      <w:r w:rsidR="005E38D2" w:rsidRPr="00C60C0F">
        <w:rPr>
          <w:rFonts w:cs="Calibri"/>
          <w:szCs w:val="22"/>
        </w:rPr>
        <w:t>10.2</w:t>
      </w:r>
      <w:r w:rsidRPr="00C60C0F">
        <w:rPr>
          <w:rFonts w:cs="Calibri"/>
          <w:szCs w:val="22"/>
        </w:rPr>
        <w:t xml:space="preserve"> Smlouvy si </w:t>
      </w:r>
      <w:r w:rsidR="005E38D2" w:rsidRPr="00C60C0F">
        <w:rPr>
          <w:rFonts w:cs="Calibri"/>
          <w:szCs w:val="22"/>
        </w:rPr>
        <w:t>Objednatel</w:t>
      </w:r>
      <w:r w:rsidRPr="00C60C0F">
        <w:rPr>
          <w:rFonts w:cs="Calibri"/>
          <w:szCs w:val="22"/>
        </w:rPr>
        <w:t xml:space="preserve"> vyhradil změnu závazku vzniklého z této Smlouvy v souladu s ustanovením § 100 odst. 1 ZZVZ. Předmětem vyhrazené změny závazku je možnost </w:t>
      </w:r>
      <w:r w:rsidR="005E38D2" w:rsidRPr="00C60C0F">
        <w:rPr>
          <w:rFonts w:cs="Calibri"/>
          <w:szCs w:val="22"/>
        </w:rPr>
        <w:t xml:space="preserve">navýšit finanční limit dle čl. 2 odst. 2.1 Smlouvy ve výši </w:t>
      </w:r>
      <w:r w:rsidR="00A55836" w:rsidRPr="00C60C0F">
        <w:rPr>
          <w:rFonts w:cs="Calibri"/>
          <w:bCs/>
          <w:szCs w:val="22"/>
        </w:rPr>
        <w:t>1.248.250</w:t>
      </w:r>
      <w:r w:rsidR="00A55836" w:rsidRPr="00C60C0F">
        <w:rPr>
          <w:rFonts w:cs="Calibri"/>
          <w:szCs w:val="22"/>
        </w:rPr>
        <w:t>, -</w:t>
      </w:r>
      <w:r w:rsidR="005E38D2" w:rsidRPr="00C60C0F">
        <w:rPr>
          <w:rFonts w:cs="Calibri"/>
          <w:szCs w:val="22"/>
        </w:rPr>
        <w:t xml:space="preserve"> Kč bez DPH, a to až o </w:t>
      </w:r>
      <w:r w:rsidR="00A55836" w:rsidRPr="00C60C0F">
        <w:rPr>
          <w:rFonts w:cs="Calibri"/>
          <w:szCs w:val="22"/>
        </w:rPr>
        <w:t>200.000, -</w:t>
      </w:r>
      <w:r w:rsidR="005E38D2" w:rsidRPr="00C60C0F">
        <w:rPr>
          <w:rFonts w:cs="Calibri"/>
          <w:szCs w:val="22"/>
        </w:rPr>
        <w:t xml:space="preserve"> Kč bez DPH v návaznosti na své potřeby, tzn. zejména dojde-li během doby trvání Smlouvy k situaci, kdy bude Objednatel potřebovat větší počet jednotlivých položek Zboží dle Technické specifikace a ceníku, než se kterým počítal k okamžiku uzavření Smlouvy</w:t>
      </w:r>
      <w:r w:rsidRPr="00C60C0F">
        <w:rPr>
          <w:rFonts w:cs="Calibri"/>
          <w:szCs w:val="22"/>
        </w:rPr>
        <w:t xml:space="preserve">. </w:t>
      </w:r>
    </w:p>
    <w:p w14:paraId="4A7D6C0A" w14:textId="12ABF504" w:rsidR="00A84ED5" w:rsidRPr="005E38D2" w:rsidRDefault="00A84ED5" w:rsidP="00A84ED5">
      <w:pPr>
        <w:pStyle w:val="RLdajeosmluvnstran"/>
        <w:numPr>
          <w:ilvl w:val="0"/>
          <w:numId w:val="1"/>
        </w:numPr>
        <w:jc w:val="both"/>
        <w:rPr>
          <w:rFonts w:cs="Calibri"/>
          <w:szCs w:val="22"/>
        </w:rPr>
      </w:pPr>
      <w:r w:rsidRPr="005E38D2">
        <w:rPr>
          <w:rFonts w:cs="Calibri"/>
          <w:szCs w:val="22"/>
        </w:rPr>
        <w:t xml:space="preserve">V průběhu realizace </w:t>
      </w:r>
      <w:r w:rsidR="00C60C0F">
        <w:rPr>
          <w:rFonts w:cs="Calibri"/>
          <w:szCs w:val="22"/>
        </w:rPr>
        <w:t>zakázky</w:t>
      </w:r>
      <w:r w:rsidRPr="005E38D2">
        <w:rPr>
          <w:rFonts w:cs="Calibri"/>
          <w:szCs w:val="22"/>
        </w:rPr>
        <w:t xml:space="preserve"> </w:t>
      </w:r>
      <w:r w:rsidR="00912E1A">
        <w:rPr>
          <w:rFonts w:cs="Calibri"/>
          <w:szCs w:val="22"/>
        </w:rPr>
        <w:t xml:space="preserve">vznikla </w:t>
      </w:r>
      <w:r w:rsidR="00912E1A" w:rsidRPr="00912E1A">
        <w:rPr>
          <w:rFonts w:cs="Calibri"/>
          <w:b/>
          <w:bCs/>
          <w:szCs w:val="22"/>
        </w:rPr>
        <w:t xml:space="preserve">potřeba Objednatele dodat </w:t>
      </w:r>
      <w:r w:rsidR="00C60C0F">
        <w:rPr>
          <w:rFonts w:cs="Calibri"/>
          <w:b/>
          <w:bCs/>
          <w:szCs w:val="22"/>
        </w:rPr>
        <w:t xml:space="preserve">ještě jiný typ Zboží a v té souvislosti </w:t>
      </w:r>
      <w:r w:rsidR="00912E1A" w:rsidRPr="00912E1A">
        <w:rPr>
          <w:rFonts w:cs="Calibri"/>
          <w:b/>
          <w:bCs/>
          <w:szCs w:val="22"/>
        </w:rPr>
        <w:t xml:space="preserve">navýšit finanční limit uvedený v čl. 2 odst. 2.1 Smlouvy, v souladu s čl. 10. odst. 10.2 Smlouvy o </w:t>
      </w:r>
      <w:r w:rsidR="00A55836">
        <w:rPr>
          <w:rFonts w:cs="Calibri"/>
          <w:b/>
          <w:bCs/>
          <w:szCs w:val="22"/>
        </w:rPr>
        <w:t>20</w:t>
      </w:r>
      <w:r w:rsidR="00A55836" w:rsidRPr="00912E1A">
        <w:rPr>
          <w:rFonts w:cs="Calibri"/>
          <w:b/>
          <w:bCs/>
          <w:szCs w:val="22"/>
        </w:rPr>
        <w:t>0.000, -</w:t>
      </w:r>
      <w:r w:rsidR="00912E1A" w:rsidRPr="00912E1A">
        <w:rPr>
          <w:rFonts w:cs="Calibri"/>
          <w:b/>
          <w:bCs/>
          <w:szCs w:val="22"/>
        </w:rPr>
        <w:t xml:space="preserve"> Kč bez DPH </w:t>
      </w:r>
      <w:r w:rsidR="00912E1A" w:rsidRPr="005E38D2">
        <w:rPr>
          <w:rFonts w:cs="Calibri"/>
          <w:szCs w:val="22"/>
        </w:rPr>
        <w:t>v návaznosti na své</w:t>
      </w:r>
      <w:r w:rsidR="00912E1A">
        <w:rPr>
          <w:rFonts w:cs="Calibri"/>
          <w:szCs w:val="22"/>
        </w:rPr>
        <w:t xml:space="preserve"> </w:t>
      </w:r>
      <w:r w:rsidR="00912E1A" w:rsidRPr="005E38D2">
        <w:rPr>
          <w:rFonts w:cs="Calibri"/>
          <w:szCs w:val="22"/>
        </w:rPr>
        <w:t>potřeby</w:t>
      </w:r>
      <w:r w:rsidR="00912E1A">
        <w:rPr>
          <w:rFonts w:cs="Calibri"/>
          <w:szCs w:val="22"/>
        </w:rPr>
        <w:t xml:space="preserve">. </w:t>
      </w:r>
      <w:r w:rsidRPr="005E38D2">
        <w:rPr>
          <w:rFonts w:cs="Calibri"/>
          <w:szCs w:val="22"/>
        </w:rPr>
        <w:t>Předmět i druh Veřejné zakázky zůstává shodný se Smlouvou, a tedy nedochází ke změně celkové povahy Veřejné zakázky i přes realizaci popsané změny;</w:t>
      </w:r>
    </w:p>
    <w:p w14:paraId="48A69D7D" w14:textId="1C0AD8DC" w:rsidR="00A84ED5" w:rsidRPr="005E38D2" w:rsidRDefault="00541BFC" w:rsidP="00A84ED5">
      <w:pPr>
        <w:pStyle w:val="RLdajeosmluvnstran"/>
        <w:numPr>
          <w:ilvl w:val="0"/>
          <w:numId w:val="1"/>
        </w:numPr>
        <w:jc w:val="both"/>
        <w:rPr>
          <w:rFonts w:cs="Calibri"/>
          <w:szCs w:val="22"/>
        </w:rPr>
      </w:pPr>
      <w:r w:rsidRPr="005E38D2">
        <w:rPr>
          <w:rFonts w:cs="Calibri"/>
          <w:szCs w:val="22"/>
        </w:rPr>
        <w:t xml:space="preserve">Smluvní strany se dohodly, že po </w:t>
      </w:r>
      <w:r w:rsidR="00C60C0F">
        <w:rPr>
          <w:rFonts w:cs="Calibri"/>
          <w:szCs w:val="22"/>
        </w:rPr>
        <w:t xml:space="preserve">doplnění </w:t>
      </w:r>
      <w:r>
        <w:rPr>
          <w:rFonts w:cs="Calibri"/>
          <w:szCs w:val="22"/>
        </w:rPr>
        <w:t xml:space="preserve">Zboží dle Technické specifikace a ceníku, který tvoří přílohu </w:t>
      </w:r>
      <w:r w:rsidR="007F2C74">
        <w:rPr>
          <w:rFonts w:cs="Calibri"/>
          <w:szCs w:val="22"/>
        </w:rPr>
        <w:t xml:space="preserve">č. 1 </w:t>
      </w:r>
      <w:r>
        <w:rPr>
          <w:rFonts w:cs="Calibri"/>
          <w:szCs w:val="22"/>
        </w:rPr>
        <w:t xml:space="preserve">tohoto Dodatku, </w:t>
      </w:r>
      <w:r w:rsidRPr="00541BFC">
        <w:rPr>
          <w:rFonts w:cs="Calibri"/>
          <w:b/>
          <w:bCs/>
          <w:szCs w:val="22"/>
        </w:rPr>
        <w:t>bude finanční limit navýšen na částku ve výši</w:t>
      </w:r>
      <w:r w:rsidR="00912E1A" w:rsidRPr="00541BFC">
        <w:rPr>
          <w:rFonts w:cs="Calibri"/>
          <w:b/>
          <w:bCs/>
          <w:szCs w:val="22"/>
        </w:rPr>
        <w:t xml:space="preserve"> </w:t>
      </w:r>
      <w:r w:rsidR="00A55836">
        <w:rPr>
          <w:rFonts w:cs="Calibri"/>
          <w:b/>
          <w:bCs/>
          <w:szCs w:val="22"/>
        </w:rPr>
        <w:t>1.448.250</w:t>
      </w:r>
      <w:r w:rsidR="00A55836" w:rsidRPr="00541BFC">
        <w:rPr>
          <w:rFonts w:cs="Calibri"/>
          <w:b/>
          <w:bCs/>
          <w:szCs w:val="22"/>
        </w:rPr>
        <w:t>, -</w:t>
      </w:r>
      <w:r w:rsidR="00912E1A" w:rsidRPr="00541BFC">
        <w:rPr>
          <w:rFonts w:cs="Calibri"/>
          <w:b/>
          <w:bCs/>
          <w:szCs w:val="22"/>
        </w:rPr>
        <w:t xml:space="preserve"> Kč</w:t>
      </w:r>
      <w:r w:rsidRPr="00541BFC">
        <w:rPr>
          <w:rFonts w:cs="Calibri"/>
          <w:b/>
          <w:bCs/>
          <w:szCs w:val="22"/>
        </w:rPr>
        <w:t xml:space="preserve"> </w:t>
      </w:r>
      <w:r w:rsidR="00912E1A" w:rsidRPr="00541BFC">
        <w:rPr>
          <w:rFonts w:cs="Calibri"/>
          <w:b/>
          <w:bCs/>
          <w:szCs w:val="22"/>
        </w:rPr>
        <w:t>bez DPH</w:t>
      </w:r>
      <w:bookmarkStart w:id="0" w:name="_Hlk137452562"/>
      <w:r w:rsidRPr="00541BFC">
        <w:rPr>
          <w:rFonts w:cs="Calibri"/>
          <w:b/>
          <w:bCs/>
          <w:szCs w:val="22"/>
        </w:rPr>
        <w:t>.</w:t>
      </w:r>
    </w:p>
    <w:p w14:paraId="3AF4A6CB" w14:textId="77777777" w:rsidR="00A84ED5" w:rsidRPr="005E38D2" w:rsidRDefault="00A84ED5" w:rsidP="00A84ED5">
      <w:pPr>
        <w:pStyle w:val="RLdajeosmluvnstran"/>
        <w:jc w:val="both"/>
        <w:rPr>
          <w:rFonts w:cs="Calibri"/>
          <w:b/>
          <w:bCs/>
          <w:szCs w:val="22"/>
        </w:rPr>
      </w:pPr>
      <w:r w:rsidRPr="005E38D2">
        <w:rPr>
          <w:rFonts w:cs="Calibri"/>
          <w:b/>
          <w:bCs/>
          <w:szCs w:val="22"/>
        </w:rPr>
        <w:t>I. PŘEDMĚT DODATKU</w:t>
      </w:r>
      <w:bookmarkEnd w:id="0"/>
    </w:p>
    <w:p w14:paraId="56AF802D" w14:textId="25DD60C3" w:rsidR="00A84ED5" w:rsidRPr="005E38D2" w:rsidRDefault="00A84ED5" w:rsidP="00942AB5">
      <w:pPr>
        <w:pStyle w:val="RLdajeosmluvnstran"/>
        <w:ind w:left="426" w:hanging="426"/>
        <w:jc w:val="both"/>
        <w:rPr>
          <w:rFonts w:cs="Calibri"/>
          <w:szCs w:val="22"/>
        </w:rPr>
      </w:pPr>
      <w:r w:rsidRPr="005E38D2">
        <w:rPr>
          <w:rFonts w:cs="Calibri"/>
          <w:szCs w:val="22"/>
        </w:rPr>
        <w:t>1.1</w:t>
      </w:r>
      <w:r w:rsidR="007F2C74">
        <w:rPr>
          <w:rFonts w:cs="Calibri"/>
          <w:szCs w:val="22"/>
        </w:rPr>
        <w:tab/>
        <w:t xml:space="preserve">Tímto Dodatkem dochází v souladu s čl. 10 odst. 10.2 Smlouvy k navýšení finančního limitu </w:t>
      </w:r>
      <w:r w:rsidR="00BD1144" w:rsidRPr="005E38D2">
        <w:rPr>
          <w:rFonts w:cs="Calibri"/>
          <w:szCs w:val="22"/>
        </w:rPr>
        <w:t>o</w:t>
      </w:r>
      <w:r w:rsidR="00BD1144">
        <w:rPr>
          <w:rFonts w:cs="Calibri"/>
          <w:szCs w:val="22"/>
        </w:rPr>
        <w:t xml:space="preserve"> částku ve výši</w:t>
      </w:r>
      <w:r w:rsidR="00BD1144" w:rsidRPr="005E38D2">
        <w:rPr>
          <w:rFonts w:cs="Calibri"/>
          <w:szCs w:val="22"/>
        </w:rPr>
        <w:t xml:space="preserve"> </w:t>
      </w:r>
      <w:r w:rsidR="00C60C0F">
        <w:rPr>
          <w:rFonts w:cs="Calibri"/>
          <w:szCs w:val="22"/>
        </w:rPr>
        <w:t>200</w:t>
      </w:r>
      <w:r w:rsidR="00BD1144">
        <w:rPr>
          <w:rFonts w:cs="Calibri"/>
          <w:szCs w:val="22"/>
        </w:rPr>
        <w:t>.</w:t>
      </w:r>
      <w:r w:rsidR="00BD1144" w:rsidRPr="005E38D2">
        <w:rPr>
          <w:rFonts w:cs="Calibri"/>
          <w:szCs w:val="22"/>
        </w:rPr>
        <w:t>000,- Kč</w:t>
      </w:r>
      <w:r w:rsidR="00BD1144">
        <w:rPr>
          <w:rFonts w:cs="Calibri"/>
          <w:szCs w:val="22"/>
        </w:rPr>
        <w:t xml:space="preserve"> </w:t>
      </w:r>
      <w:r w:rsidR="00BD1144" w:rsidRPr="005E38D2">
        <w:rPr>
          <w:rFonts w:cs="Calibri"/>
          <w:szCs w:val="22"/>
        </w:rPr>
        <w:t xml:space="preserve">bez </w:t>
      </w:r>
      <w:r w:rsidR="00BD1144">
        <w:rPr>
          <w:rFonts w:cs="Calibri"/>
          <w:szCs w:val="22"/>
        </w:rPr>
        <w:t xml:space="preserve">DPH a finanční limit tak dle čl. 2 odst. 2.1 Smlouvy činí celkovou částku </w:t>
      </w:r>
      <w:r w:rsidR="00A55836">
        <w:rPr>
          <w:rFonts w:cs="Calibri"/>
          <w:szCs w:val="22"/>
        </w:rPr>
        <w:t>1.448.250</w:t>
      </w:r>
      <w:r w:rsidR="00A55836" w:rsidRPr="00BD1144">
        <w:rPr>
          <w:rFonts w:cs="Calibri"/>
          <w:szCs w:val="22"/>
        </w:rPr>
        <w:t>, -</w:t>
      </w:r>
      <w:r w:rsidR="00C60C0F">
        <w:rPr>
          <w:rFonts w:cs="Calibri"/>
          <w:szCs w:val="22"/>
        </w:rPr>
        <w:t xml:space="preserve"> Kč</w:t>
      </w:r>
      <w:r w:rsidR="00BD1144" w:rsidRPr="00BD1144">
        <w:rPr>
          <w:rFonts w:cs="Calibri"/>
          <w:szCs w:val="22"/>
        </w:rPr>
        <w:t xml:space="preserve"> bez DPH</w:t>
      </w:r>
      <w:r w:rsidR="00BD1144">
        <w:rPr>
          <w:rFonts w:cs="Calibri"/>
          <w:szCs w:val="22"/>
        </w:rPr>
        <w:t>.</w:t>
      </w:r>
    </w:p>
    <w:p w14:paraId="25D534A9" w14:textId="483C1469" w:rsidR="00A84ED5" w:rsidRPr="005E38D2" w:rsidRDefault="00A84ED5" w:rsidP="00A84ED5">
      <w:pPr>
        <w:pStyle w:val="RLdajeosmluvnstran"/>
        <w:ind w:left="426" w:hanging="426"/>
        <w:jc w:val="both"/>
        <w:rPr>
          <w:rFonts w:cs="Calibri"/>
          <w:bCs/>
          <w:i/>
          <w:iCs/>
          <w:szCs w:val="22"/>
        </w:rPr>
      </w:pPr>
      <w:r w:rsidRPr="005E38D2">
        <w:rPr>
          <w:rFonts w:cs="Calibri"/>
          <w:szCs w:val="22"/>
        </w:rPr>
        <w:t>1.</w:t>
      </w:r>
      <w:r w:rsidR="00942AB5">
        <w:rPr>
          <w:rFonts w:cs="Calibri"/>
          <w:szCs w:val="22"/>
        </w:rPr>
        <w:t>2</w:t>
      </w:r>
      <w:r w:rsidRPr="005E38D2">
        <w:rPr>
          <w:rFonts w:cs="Calibri"/>
          <w:szCs w:val="22"/>
        </w:rPr>
        <w:tab/>
        <w:t>Tímto Dodatkem dochází k</w:t>
      </w:r>
      <w:r w:rsidR="00942AB5">
        <w:rPr>
          <w:rFonts w:cs="Calibri"/>
          <w:szCs w:val="22"/>
        </w:rPr>
        <w:t xml:space="preserve"> odsouhlasení a </w:t>
      </w:r>
      <w:r w:rsidRPr="005E38D2">
        <w:rPr>
          <w:rFonts w:cs="Calibri"/>
          <w:szCs w:val="22"/>
        </w:rPr>
        <w:t xml:space="preserve">aktualizaci </w:t>
      </w:r>
      <w:r w:rsidR="00942AB5">
        <w:rPr>
          <w:rFonts w:cs="Calibri"/>
          <w:szCs w:val="22"/>
        </w:rPr>
        <w:t>P</w:t>
      </w:r>
      <w:r w:rsidRPr="005E38D2">
        <w:rPr>
          <w:rFonts w:cs="Calibri"/>
          <w:szCs w:val="22"/>
        </w:rPr>
        <w:t xml:space="preserve">řílohy č. 1 Smlouvy – </w:t>
      </w:r>
      <w:r w:rsidR="00942AB5">
        <w:rPr>
          <w:rFonts w:cs="Calibri"/>
          <w:szCs w:val="22"/>
        </w:rPr>
        <w:t>„</w:t>
      </w:r>
      <w:r w:rsidRPr="005E38D2">
        <w:rPr>
          <w:rFonts w:cs="Calibri"/>
          <w:szCs w:val="22"/>
        </w:rPr>
        <w:t>Technická specifikace a ceník</w:t>
      </w:r>
      <w:r w:rsidR="00942AB5">
        <w:rPr>
          <w:rFonts w:cs="Calibri"/>
          <w:szCs w:val="22"/>
        </w:rPr>
        <w:t>“</w:t>
      </w:r>
      <w:r w:rsidRPr="005E38D2">
        <w:rPr>
          <w:rFonts w:cs="Calibri"/>
          <w:szCs w:val="22"/>
        </w:rPr>
        <w:t xml:space="preserve">, kterou nově nahrazuje příloha č. 1 tohoto Dodatku – </w:t>
      </w:r>
      <w:r w:rsidR="00942AB5">
        <w:rPr>
          <w:rFonts w:cs="Calibri"/>
          <w:szCs w:val="22"/>
        </w:rPr>
        <w:t>„</w:t>
      </w:r>
      <w:r w:rsidRPr="005E38D2">
        <w:rPr>
          <w:rFonts w:cs="Calibri"/>
          <w:szCs w:val="22"/>
        </w:rPr>
        <w:t>Technická specifikace</w:t>
      </w:r>
      <w:r w:rsidR="00942AB5">
        <w:rPr>
          <w:rFonts w:cs="Calibri"/>
          <w:szCs w:val="22"/>
        </w:rPr>
        <w:t xml:space="preserve"> a </w:t>
      </w:r>
      <w:r w:rsidRPr="005E38D2">
        <w:rPr>
          <w:rFonts w:cs="Calibri"/>
          <w:szCs w:val="22"/>
        </w:rPr>
        <w:t>ceník</w:t>
      </w:r>
      <w:r w:rsidR="00942AB5">
        <w:rPr>
          <w:rFonts w:cs="Calibri"/>
          <w:szCs w:val="22"/>
        </w:rPr>
        <w:t>“.</w:t>
      </w:r>
    </w:p>
    <w:p w14:paraId="7F5209F6" w14:textId="77777777" w:rsidR="00A84ED5" w:rsidRPr="005E38D2" w:rsidRDefault="00A84ED5" w:rsidP="00A84ED5">
      <w:pPr>
        <w:pStyle w:val="RLdajeosmluvnstran"/>
        <w:jc w:val="both"/>
        <w:rPr>
          <w:rFonts w:cs="Calibri"/>
          <w:b/>
          <w:szCs w:val="22"/>
        </w:rPr>
      </w:pPr>
      <w:r w:rsidRPr="005E38D2">
        <w:rPr>
          <w:rFonts w:cs="Calibri"/>
          <w:b/>
          <w:bCs/>
          <w:szCs w:val="22"/>
        </w:rPr>
        <w:t xml:space="preserve">II. </w:t>
      </w:r>
      <w:r w:rsidRPr="005E38D2">
        <w:rPr>
          <w:rFonts w:cs="Calibri"/>
          <w:b/>
          <w:szCs w:val="22"/>
        </w:rPr>
        <w:t xml:space="preserve">ZÁVĚREČNÁ USTANOVENÍ </w:t>
      </w:r>
      <w:r w:rsidRPr="005E38D2">
        <w:rPr>
          <w:rFonts w:cs="Calibri"/>
          <w:b/>
          <w:szCs w:val="22"/>
        </w:rPr>
        <w:tab/>
      </w:r>
    </w:p>
    <w:p w14:paraId="09552904"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Smluvní strany prohlašují, že postupovaly v souladu se ZZVZ.</w:t>
      </w:r>
    </w:p>
    <w:p w14:paraId="231341AA"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Veškeré pojmy či definice, pokud z kontextu tohoto Dodatku neplyne něco jiného, mají stejný význam jako ve Smlouvě.  </w:t>
      </w:r>
    </w:p>
    <w:p w14:paraId="34CAEDFA"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Ostatní ustanovení Smlouvy zůstávají tímto Dodatkem nezměněná a v platnosti.  </w:t>
      </w:r>
    </w:p>
    <w:p w14:paraId="681853C7"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Bude-li nebo stane-li se kterékoli ustanovení tohoto Dodatku neplatné nebo nevymahatelné, nebo pokud by některá ustanovení chyběla, nezpůsobuje to neplatnost ani nevymahatelnost ostatních </w:t>
      </w:r>
      <w:r w:rsidRPr="005E38D2">
        <w:rPr>
          <w:rFonts w:cs="Calibri"/>
          <w:szCs w:val="22"/>
        </w:rPr>
        <w:lastRenderedPageBreak/>
        <w:t xml:space="preserve">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0852EFD5"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70C77F7D"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Smluvní strany prohlašují, že skutečnosti uvedené v tomto Dodatku nepovažují za obchodní tajemství ve smyslu § 504 Občanského zákoníku a udělují svolení k jejich užití a zveřejnění bez stanovení jakýchkoli dalších podmínek. </w:t>
      </w:r>
    </w:p>
    <w:p w14:paraId="3072D8B2" w14:textId="77777777" w:rsidR="00A84ED5" w:rsidRPr="005E38D2" w:rsidRDefault="00A84ED5" w:rsidP="00A84ED5">
      <w:pPr>
        <w:pStyle w:val="Odstavecseseznamem"/>
        <w:numPr>
          <w:ilvl w:val="1"/>
          <w:numId w:val="2"/>
        </w:numPr>
        <w:spacing w:after="160" w:line="259" w:lineRule="auto"/>
        <w:contextualSpacing w:val="0"/>
        <w:jc w:val="both"/>
        <w:rPr>
          <w:rFonts w:cs="Calibri"/>
          <w:szCs w:val="22"/>
        </w:rPr>
      </w:pPr>
      <w:r w:rsidRPr="005E38D2">
        <w:rPr>
          <w:rFonts w:cs="Calibri"/>
          <w:szCs w:val="22"/>
        </w:rPr>
        <w:t>Pro případ uzavírání tohoto Dodatku Smluvní strany vylučují použití ustanovení § 1740 odst. 3 Občanského zákoníku. Zhotovitel na sebe přebírá nebezpečí změny okolností dle ustanovení § 1765 odst. 2 Občanského zákoníku.</w:t>
      </w:r>
    </w:p>
    <w:p w14:paraId="40EFE8ED" w14:textId="396DA45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 xml:space="preserve">Tento Dodatek je vyhotoven ve dvou (2) stejnopisech, z nichž Objednatel obdrží jedno (1) vyhotovení a </w:t>
      </w:r>
      <w:r w:rsidR="00EF38FF">
        <w:rPr>
          <w:rFonts w:cs="Calibri"/>
          <w:szCs w:val="22"/>
        </w:rPr>
        <w:t>Dodavatel</w:t>
      </w:r>
      <w:r w:rsidRPr="005E38D2">
        <w:rPr>
          <w:rFonts w:cs="Calibri"/>
          <w:szCs w:val="22"/>
        </w:rPr>
        <w:t xml:space="preserve"> obdrží jedno (1) vyhotovení. V případě, že je tento Dodatek uzavírán elektronicky za využití uznávaných elektronických podpisů, postačí jedno (1) vyhotovení Dodatku, na kterém jsou zaznamenány uznávané elektronické podpisy zástupců Smluvních stran oprávněných tento Dodatek uzavřít.</w:t>
      </w:r>
    </w:p>
    <w:p w14:paraId="4EC791C8" w14:textId="77777777" w:rsidR="00A84ED5" w:rsidRPr="005E38D2" w:rsidRDefault="00A84ED5" w:rsidP="00A84ED5">
      <w:pPr>
        <w:pStyle w:val="Odstavecseseznamem"/>
        <w:numPr>
          <w:ilvl w:val="1"/>
          <w:numId w:val="2"/>
        </w:numPr>
        <w:spacing w:before="120" w:after="0" w:line="259" w:lineRule="auto"/>
        <w:ind w:left="357" w:hanging="357"/>
        <w:contextualSpacing w:val="0"/>
        <w:jc w:val="both"/>
        <w:rPr>
          <w:rFonts w:cs="Calibri"/>
          <w:szCs w:val="22"/>
        </w:rPr>
      </w:pPr>
      <w:r w:rsidRPr="005E38D2">
        <w:rPr>
          <w:rFonts w:cs="Calibri"/>
          <w:szCs w:val="22"/>
        </w:rPr>
        <w:t>Nedílnou součástí tohoto Dodatku je:</w:t>
      </w:r>
    </w:p>
    <w:p w14:paraId="620EE5E5" w14:textId="77777777" w:rsidR="00F03FEE" w:rsidRDefault="00F03FEE" w:rsidP="00A84ED5">
      <w:pPr>
        <w:pStyle w:val="Odstavecseseznamem"/>
        <w:spacing w:before="120" w:after="0"/>
        <w:ind w:left="357"/>
        <w:contextualSpacing w:val="0"/>
        <w:jc w:val="both"/>
        <w:rPr>
          <w:rFonts w:cs="Calibri"/>
          <w:b/>
          <w:bCs/>
          <w:szCs w:val="22"/>
        </w:rPr>
      </w:pPr>
    </w:p>
    <w:p w14:paraId="59307CA6" w14:textId="0CC0F8A1" w:rsidR="00A84ED5" w:rsidRPr="005E38D2" w:rsidRDefault="00A84ED5" w:rsidP="00A84ED5">
      <w:pPr>
        <w:pStyle w:val="Odstavecseseznamem"/>
        <w:spacing w:before="120" w:after="0"/>
        <w:ind w:left="357"/>
        <w:contextualSpacing w:val="0"/>
        <w:jc w:val="both"/>
        <w:rPr>
          <w:rFonts w:cs="Calibri"/>
          <w:b/>
          <w:bCs/>
          <w:szCs w:val="22"/>
        </w:rPr>
      </w:pPr>
      <w:r w:rsidRPr="005E38D2">
        <w:rPr>
          <w:rFonts w:cs="Calibri"/>
          <w:b/>
          <w:bCs/>
          <w:szCs w:val="22"/>
        </w:rPr>
        <w:t xml:space="preserve">Příloha č. 1 – </w:t>
      </w:r>
      <w:r w:rsidR="00EF38FF">
        <w:rPr>
          <w:rFonts w:cs="Calibri"/>
          <w:b/>
          <w:bCs/>
          <w:szCs w:val="22"/>
        </w:rPr>
        <w:t>„</w:t>
      </w:r>
      <w:r w:rsidRPr="005E38D2">
        <w:rPr>
          <w:rFonts w:cs="Calibri"/>
          <w:b/>
          <w:bCs/>
          <w:szCs w:val="22"/>
        </w:rPr>
        <w:t>Technická specifikace</w:t>
      </w:r>
      <w:r w:rsidR="00EF38FF">
        <w:rPr>
          <w:rFonts w:cs="Calibri"/>
          <w:b/>
          <w:bCs/>
          <w:szCs w:val="22"/>
        </w:rPr>
        <w:t xml:space="preserve"> a</w:t>
      </w:r>
      <w:r w:rsidRPr="005E38D2">
        <w:rPr>
          <w:rFonts w:cs="Calibri"/>
          <w:b/>
          <w:bCs/>
          <w:szCs w:val="22"/>
        </w:rPr>
        <w:t xml:space="preserve"> ceník</w:t>
      </w:r>
      <w:r w:rsidR="00EF38FF">
        <w:rPr>
          <w:rFonts w:cs="Calibri"/>
          <w:b/>
          <w:bCs/>
          <w:szCs w:val="22"/>
        </w:rPr>
        <w:t>“</w:t>
      </w:r>
    </w:p>
    <w:p w14:paraId="61BB359B" w14:textId="4A93331F" w:rsidR="00EF38FF" w:rsidRDefault="00A84ED5" w:rsidP="00EF38FF">
      <w:pPr>
        <w:pStyle w:val="Odstavecseseznamem"/>
        <w:numPr>
          <w:ilvl w:val="1"/>
          <w:numId w:val="2"/>
        </w:numPr>
        <w:spacing w:before="120" w:after="0" w:line="259" w:lineRule="auto"/>
        <w:contextualSpacing w:val="0"/>
        <w:jc w:val="both"/>
        <w:rPr>
          <w:rFonts w:cs="Calibri"/>
          <w:szCs w:val="22"/>
        </w:rPr>
      </w:pPr>
      <w:r w:rsidRPr="005E38D2">
        <w:rPr>
          <w:rFonts w:cs="Calibri"/>
          <w:szCs w:val="22"/>
        </w:rPr>
        <w:t>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podpisy</w:t>
      </w:r>
      <w:r w:rsidR="00EF38FF">
        <w:rPr>
          <w:rFonts w:cs="Calibri"/>
          <w:szCs w:val="22"/>
        </w:rPr>
        <w:t>.</w:t>
      </w:r>
    </w:p>
    <w:p w14:paraId="53C2ABAA" w14:textId="77777777" w:rsidR="00F03FEE" w:rsidRDefault="00F03FEE" w:rsidP="00F03FEE">
      <w:pPr>
        <w:spacing w:before="120" w:after="0" w:line="259" w:lineRule="auto"/>
        <w:jc w:val="both"/>
        <w:rPr>
          <w:rFonts w:cs="Calibri"/>
          <w:szCs w:val="22"/>
        </w:rPr>
      </w:pPr>
    </w:p>
    <w:p w14:paraId="087FBB04" w14:textId="77777777" w:rsidR="00F03FEE" w:rsidRDefault="00F03FEE" w:rsidP="00F03FEE">
      <w:pPr>
        <w:spacing w:before="120" w:after="0" w:line="259" w:lineRule="auto"/>
        <w:jc w:val="both"/>
        <w:rPr>
          <w:rFonts w:cs="Calibri"/>
          <w:szCs w:val="22"/>
        </w:rPr>
      </w:pPr>
    </w:p>
    <w:p w14:paraId="654FDA85" w14:textId="77777777" w:rsidR="00F03FEE" w:rsidRPr="00F03FEE" w:rsidRDefault="00F03FEE" w:rsidP="00F03FEE">
      <w:pPr>
        <w:spacing w:before="120" w:after="0" w:line="259" w:lineRule="auto"/>
        <w:jc w:val="both"/>
        <w:rPr>
          <w:rFonts w:cs="Calibri"/>
          <w:szCs w:val="22"/>
        </w:rPr>
      </w:pPr>
    </w:p>
    <w:p w14:paraId="6756B2BE" w14:textId="77777777" w:rsidR="00A84ED5" w:rsidRPr="005E38D2" w:rsidRDefault="00A84ED5" w:rsidP="00A84ED5">
      <w:pPr>
        <w:pStyle w:val="Odstavecseseznamem"/>
        <w:spacing w:before="120" w:after="0"/>
        <w:ind w:left="357"/>
        <w:contextualSpacing w:val="0"/>
        <w:jc w:val="both"/>
        <w:rPr>
          <w:rFonts w:cs="Calibri"/>
          <w:szCs w:val="22"/>
        </w:rPr>
      </w:pPr>
    </w:p>
    <w:tbl>
      <w:tblPr>
        <w:tblW w:w="0" w:type="auto"/>
        <w:jc w:val="center"/>
        <w:tblLook w:val="01E0" w:firstRow="1" w:lastRow="1" w:firstColumn="1" w:lastColumn="1" w:noHBand="0" w:noVBand="0"/>
      </w:tblPr>
      <w:tblGrid>
        <w:gridCol w:w="4271"/>
        <w:gridCol w:w="4573"/>
      </w:tblGrid>
      <w:tr w:rsidR="00A84ED5" w:rsidRPr="005E38D2" w14:paraId="750D25C7" w14:textId="77777777" w:rsidTr="008D6E73">
        <w:trPr>
          <w:trHeight w:hRule="exact" w:val="1065"/>
          <w:jc w:val="center"/>
        </w:trPr>
        <w:tc>
          <w:tcPr>
            <w:tcW w:w="4271" w:type="dxa"/>
          </w:tcPr>
          <w:p w14:paraId="04140961" w14:textId="77777777" w:rsidR="00A84ED5" w:rsidRPr="005E38D2" w:rsidRDefault="00A84ED5" w:rsidP="008D6E73">
            <w:pPr>
              <w:jc w:val="center"/>
              <w:rPr>
                <w:rFonts w:cs="Calibri"/>
                <w:b/>
                <w:szCs w:val="22"/>
              </w:rPr>
            </w:pPr>
            <w:r w:rsidRPr="005E38D2">
              <w:rPr>
                <w:rFonts w:cs="Calibri"/>
                <w:b/>
                <w:szCs w:val="22"/>
              </w:rPr>
              <w:lastRenderedPageBreak/>
              <w:t>Objednatel</w:t>
            </w:r>
          </w:p>
        </w:tc>
        <w:tc>
          <w:tcPr>
            <w:tcW w:w="4573" w:type="dxa"/>
          </w:tcPr>
          <w:p w14:paraId="0FB8865D" w14:textId="2E1BFEED" w:rsidR="00A84ED5" w:rsidRPr="005E38D2" w:rsidRDefault="00EF38FF" w:rsidP="008D6E73">
            <w:pPr>
              <w:jc w:val="center"/>
              <w:rPr>
                <w:rFonts w:cs="Calibri"/>
                <w:b/>
                <w:szCs w:val="22"/>
              </w:rPr>
            </w:pPr>
            <w:r>
              <w:rPr>
                <w:rFonts w:cs="Calibri"/>
                <w:b/>
                <w:szCs w:val="22"/>
              </w:rPr>
              <w:t>Dodavatel</w:t>
            </w:r>
          </w:p>
          <w:p w14:paraId="35075323" w14:textId="77777777" w:rsidR="00A84ED5" w:rsidRPr="005E38D2" w:rsidRDefault="00A84ED5" w:rsidP="008D6E73">
            <w:pPr>
              <w:jc w:val="center"/>
              <w:rPr>
                <w:rFonts w:cs="Calibri"/>
                <w:szCs w:val="22"/>
                <w:lang w:eastAsia="en-US"/>
              </w:rPr>
            </w:pPr>
          </w:p>
        </w:tc>
      </w:tr>
      <w:tr w:rsidR="00A84ED5" w:rsidRPr="005E38D2" w14:paraId="47BE46F7" w14:textId="77777777" w:rsidTr="008D6E73">
        <w:trPr>
          <w:trHeight w:val="969"/>
          <w:jc w:val="center"/>
        </w:trPr>
        <w:tc>
          <w:tcPr>
            <w:tcW w:w="4271" w:type="dxa"/>
          </w:tcPr>
          <w:p w14:paraId="146F28C0" w14:textId="77777777" w:rsidR="00A84ED5" w:rsidRPr="005E38D2" w:rsidRDefault="00A84ED5" w:rsidP="008D6E73">
            <w:pPr>
              <w:spacing w:after="0"/>
              <w:rPr>
                <w:rFonts w:cs="Calibri"/>
                <w:szCs w:val="22"/>
                <w:lang w:eastAsia="en-US"/>
              </w:rPr>
            </w:pPr>
          </w:p>
          <w:p w14:paraId="077AFF22" w14:textId="77777777" w:rsidR="00A84ED5" w:rsidRPr="005E38D2" w:rsidRDefault="00A84ED5" w:rsidP="008D6E73">
            <w:pPr>
              <w:spacing w:after="0"/>
              <w:jc w:val="center"/>
              <w:rPr>
                <w:rFonts w:cs="Calibri"/>
                <w:szCs w:val="22"/>
                <w:lang w:eastAsia="en-US"/>
              </w:rPr>
            </w:pPr>
            <w:r w:rsidRPr="005E38D2">
              <w:rPr>
                <w:rFonts w:cs="Calibri"/>
                <w:szCs w:val="22"/>
                <w:lang w:eastAsia="en-US"/>
              </w:rPr>
              <w:t>..................................................................</w:t>
            </w:r>
          </w:p>
          <w:p w14:paraId="149A635E" w14:textId="3D050691" w:rsidR="00A84ED5" w:rsidRPr="005E38D2" w:rsidRDefault="00A84ED5" w:rsidP="008D6E73">
            <w:pPr>
              <w:spacing w:after="0"/>
              <w:jc w:val="center"/>
              <w:rPr>
                <w:rFonts w:cs="Calibri"/>
                <w:b/>
                <w:szCs w:val="22"/>
              </w:rPr>
            </w:pPr>
            <w:r w:rsidRPr="005E38D2">
              <w:rPr>
                <w:rFonts w:cs="Calibri"/>
                <w:b/>
                <w:szCs w:val="22"/>
              </w:rPr>
              <w:t xml:space="preserve">Tomáš </w:t>
            </w:r>
            <w:r w:rsidR="0068109B">
              <w:rPr>
                <w:rFonts w:cs="Calibri"/>
                <w:b/>
                <w:szCs w:val="22"/>
              </w:rPr>
              <w:t>Novotný</w:t>
            </w:r>
          </w:p>
          <w:p w14:paraId="01E2C07A" w14:textId="4A9F8D00" w:rsidR="00A84ED5" w:rsidRPr="005E38D2" w:rsidRDefault="0068109B" w:rsidP="008D6E73">
            <w:pPr>
              <w:pStyle w:val="RLdajeosmluvnstran"/>
              <w:spacing w:after="0"/>
              <w:ind w:firstLine="708"/>
              <w:jc w:val="left"/>
              <w:rPr>
                <w:rFonts w:cs="Calibri"/>
                <w:b/>
                <w:szCs w:val="22"/>
              </w:rPr>
            </w:pPr>
            <w:r w:rsidRPr="0068109B">
              <w:rPr>
                <w:rFonts w:cs="Calibri"/>
                <w:b/>
                <w:szCs w:val="22"/>
              </w:rPr>
              <w:t>místo</w:t>
            </w:r>
            <w:r w:rsidR="00A84ED5" w:rsidRPr="0068109B">
              <w:rPr>
                <w:rFonts w:cs="Calibri"/>
                <w:b/>
                <w:szCs w:val="22"/>
              </w:rPr>
              <w:t>předseda</w:t>
            </w:r>
            <w:r w:rsidR="00A84ED5" w:rsidRPr="005E38D2">
              <w:rPr>
                <w:rFonts w:cs="Calibri"/>
                <w:b/>
                <w:szCs w:val="22"/>
              </w:rPr>
              <w:t xml:space="preserve"> představenstva</w:t>
            </w:r>
          </w:p>
          <w:p w14:paraId="72FECC0D" w14:textId="77777777" w:rsidR="00A84ED5" w:rsidRPr="005E38D2" w:rsidRDefault="00A84ED5" w:rsidP="008D6E73">
            <w:pPr>
              <w:pStyle w:val="RLdajeosmluvnstran"/>
              <w:spacing w:after="0"/>
              <w:rPr>
                <w:rFonts w:cs="Calibri"/>
                <w:szCs w:val="22"/>
              </w:rPr>
            </w:pPr>
            <w:r w:rsidRPr="005E38D2">
              <w:rPr>
                <w:rFonts w:cs="Calibri"/>
                <w:bCs/>
                <w:szCs w:val="22"/>
              </w:rPr>
              <w:t xml:space="preserve"> Technologie hlavního města Prahy, a.s.</w:t>
            </w:r>
            <w:r w:rsidRPr="005E38D2">
              <w:rPr>
                <w:rFonts w:cs="Calibri"/>
                <w:szCs w:val="22"/>
              </w:rPr>
              <w:tab/>
            </w:r>
          </w:p>
        </w:tc>
        <w:tc>
          <w:tcPr>
            <w:tcW w:w="4573" w:type="dxa"/>
          </w:tcPr>
          <w:p w14:paraId="33E716B9" w14:textId="77777777" w:rsidR="00A84ED5" w:rsidRPr="00C60C0F" w:rsidRDefault="00A84ED5" w:rsidP="00C60C0F">
            <w:pPr>
              <w:spacing w:after="0"/>
              <w:jc w:val="center"/>
              <w:rPr>
                <w:rFonts w:cs="Calibri"/>
                <w:b/>
                <w:szCs w:val="22"/>
              </w:rPr>
            </w:pPr>
          </w:p>
          <w:p w14:paraId="435F7553" w14:textId="77777777" w:rsidR="00A84ED5" w:rsidRPr="00C60C0F" w:rsidRDefault="00A84ED5" w:rsidP="00C60C0F">
            <w:pPr>
              <w:spacing w:after="0"/>
              <w:jc w:val="center"/>
              <w:rPr>
                <w:rFonts w:cs="Calibri"/>
                <w:bCs/>
                <w:szCs w:val="22"/>
              </w:rPr>
            </w:pPr>
            <w:r w:rsidRPr="00C60C0F">
              <w:rPr>
                <w:rFonts w:cs="Calibri"/>
                <w:bCs/>
                <w:szCs w:val="22"/>
              </w:rPr>
              <w:t>.....................................................................</w:t>
            </w:r>
          </w:p>
          <w:p w14:paraId="50E36F59" w14:textId="77777777" w:rsidR="0068109B" w:rsidRPr="00C60C0F" w:rsidRDefault="00A84ED5" w:rsidP="00C60C0F">
            <w:pPr>
              <w:pStyle w:val="RLdajeosmluvnstran"/>
              <w:spacing w:line="240" w:lineRule="auto"/>
              <w:rPr>
                <w:rFonts w:cs="Calibri"/>
                <w:b/>
                <w:szCs w:val="22"/>
                <w:lang w:eastAsia="cs-CZ"/>
              </w:rPr>
            </w:pPr>
            <w:r w:rsidRPr="00C60C0F">
              <w:rPr>
                <w:rFonts w:cs="Calibri"/>
                <w:b/>
                <w:szCs w:val="22"/>
                <w:lang w:eastAsia="cs-CZ"/>
              </w:rPr>
              <w:t xml:space="preserve">Ing. </w:t>
            </w:r>
            <w:r w:rsidR="0068109B" w:rsidRPr="00C60C0F">
              <w:rPr>
                <w:rFonts w:cs="Calibri"/>
                <w:b/>
                <w:szCs w:val="22"/>
                <w:lang w:eastAsia="cs-CZ"/>
              </w:rPr>
              <w:t>Jiří Kolář</w:t>
            </w:r>
          </w:p>
          <w:p w14:paraId="4024BAE2" w14:textId="21B660A6" w:rsidR="00A84ED5" w:rsidRPr="00C60C0F" w:rsidRDefault="0068109B" w:rsidP="00C60C0F">
            <w:pPr>
              <w:pStyle w:val="RLdajeosmluvnstran"/>
              <w:spacing w:line="240" w:lineRule="auto"/>
              <w:rPr>
                <w:rFonts w:cs="Calibri"/>
                <w:b/>
                <w:szCs w:val="22"/>
                <w:lang w:eastAsia="cs-CZ"/>
              </w:rPr>
            </w:pPr>
            <w:r w:rsidRPr="00C60C0F">
              <w:rPr>
                <w:rFonts w:cs="Calibri"/>
                <w:b/>
                <w:szCs w:val="22"/>
                <w:lang w:eastAsia="cs-CZ"/>
              </w:rPr>
              <w:t>předseda představenstva</w:t>
            </w:r>
          </w:p>
          <w:p w14:paraId="28F485D0" w14:textId="4005FFD6" w:rsidR="00A84ED5" w:rsidRPr="00C60C0F" w:rsidRDefault="00302A45" w:rsidP="00C60C0F">
            <w:pPr>
              <w:spacing w:after="0"/>
              <w:jc w:val="center"/>
              <w:rPr>
                <w:rFonts w:cs="Calibri"/>
                <w:b/>
                <w:szCs w:val="22"/>
              </w:rPr>
            </w:pPr>
            <w:r w:rsidRPr="00C60C0F">
              <w:rPr>
                <w:rFonts w:cs="Calibri"/>
                <w:bCs/>
                <w:szCs w:val="22"/>
              </w:rPr>
              <w:t>KH servis a.s.</w:t>
            </w:r>
            <w:r w:rsidR="00A84ED5" w:rsidRPr="00C60C0F">
              <w:rPr>
                <w:rFonts w:cs="Calibri"/>
                <w:b/>
                <w:szCs w:val="22"/>
              </w:rPr>
              <w:t xml:space="preserve"> </w:t>
            </w:r>
          </w:p>
        </w:tc>
      </w:tr>
      <w:tr w:rsidR="0068109B" w:rsidRPr="005E38D2" w14:paraId="1CFA5C45" w14:textId="77777777" w:rsidTr="008D6E73">
        <w:trPr>
          <w:trHeight w:val="969"/>
          <w:jc w:val="center"/>
        </w:trPr>
        <w:tc>
          <w:tcPr>
            <w:tcW w:w="4271" w:type="dxa"/>
          </w:tcPr>
          <w:p w14:paraId="69B559BB" w14:textId="77777777" w:rsidR="0068109B" w:rsidRPr="005E38D2" w:rsidRDefault="0068109B" w:rsidP="0068109B">
            <w:pPr>
              <w:rPr>
                <w:rFonts w:cs="Calibri"/>
                <w:b/>
                <w:szCs w:val="22"/>
              </w:rPr>
            </w:pPr>
          </w:p>
          <w:p w14:paraId="6D403944" w14:textId="77777777" w:rsidR="0068109B" w:rsidRPr="005E38D2" w:rsidRDefault="0068109B" w:rsidP="0068109B">
            <w:pPr>
              <w:jc w:val="center"/>
              <w:rPr>
                <w:rFonts w:cs="Calibri"/>
                <w:b/>
                <w:szCs w:val="22"/>
              </w:rPr>
            </w:pPr>
            <w:r w:rsidRPr="005E38D2">
              <w:rPr>
                <w:rFonts w:cs="Calibri"/>
                <w:b/>
                <w:szCs w:val="22"/>
              </w:rPr>
              <w:t>Objednatel</w:t>
            </w:r>
          </w:p>
          <w:p w14:paraId="53E1D9D7" w14:textId="77777777" w:rsidR="0068109B" w:rsidRPr="005E38D2" w:rsidRDefault="0068109B" w:rsidP="0068109B">
            <w:pPr>
              <w:spacing w:after="0"/>
              <w:jc w:val="center"/>
              <w:rPr>
                <w:rFonts w:cs="Calibri"/>
                <w:szCs w:val="22"/>
                <w:lang w:eastAsia="en-US"/>
              </w:rPr>
            </w:pPr>
          </w:p>
        </w:tc>
        <w:tc>
          <w:tcPr>
            <w:tcW w:w="4573" w:type="dxa"/>
          </w:tcPr>
          <w:p w14:paraId="0BB02062" w14:textId="77777777" w:rsidR="0068109B" w:rsidRDefault="0068109B" w:rsidP="0068109B">
            <w:pPr>
              <w:jc w:val="center"/>
              <w:rPr>
                <w:rFonts w:cs="Calibri"/>
                <w:b/>
                <w:szCs w:val="22"/>
              </w:rPr>
            </w:pPr>
          </w:p>
          <w:p w14:paraId="4C6764FE" w14:textId="05AAFCC7" w:rsidR="0068109B" w:rsidRPr="005E38D2" w:rsidRDefault="0068109B" w:rsidP="0068109B">
            <w:pPr>
              <w:jc w:val="center"/>
              <w:rPr>
                <w:rFonts w:cs="Calibri"/>
                <w:b/>
                <w:szCs w:val="22"/>
              </w:rPr>
            </w:pPr>
            <w:r>
              <w:rPr>
                <w:rFonts w:cs="Calibri"/>
                <w:b/>
                <w:szCs w:val="22"/>
              </w:rPr>
              <w:t>Dodavatel</w:t>
            </w:r>
          </w:p>
          <w:p w14:paraId="2EC37F60" w14:textId="77777777" w:rsidR="0068109B" w:rsidRPr="005E38D2" w:rsidRDefault="0068109B" w:rsidP="0068109B">
            <w:pPr>
              <w:jc w:val="center"/>
              <w:rPr>
                <w:rFonts w:cs="Calibri"/>
                <w:szCs w:val="22"/>
                <w:lang w:eastAsia="en-US"/>
              </w:rPr>
            </w:pPr>
          </w:p>
        </w:tc>
      </w:tr>
      <w:tr w:rsidR="0068109B" w:rsidRPr="005E38D2" w14:paraId="029D439E" w14:textId="77777777" w:rsidTr="008D6E73">
        <w:trPr>
          <w:trHeight w:val="969"/>
          <w:jc w:val="center"/>
        </w:trPr>
        <w:tc>
          <w:tcPr>
            <w:tcW w:w="4271" w:type="dxa"/>
          </w:tcPr>
          <w:p w14:paraId="4BB2871A" w14:textId="77777777" w:rsidR="0068109B" w:rsidRPr="005E38D2" w:rsidRDefault="0068109B" w:rsidP="0068109B">
            <w:pPr>
              <w:spacing w:after="0"/>
              <w:jc w:val="center"/>
              <w:rPr>
                <w:rFonts w:cs="Calibri"/>
                <w:szCs w:val="22"/>
                <w:lang w:eastAsia="en-US"/>
              </w:rPr>
            </w:pPr>
          </w:p>
          <w:p w14:paraId="1AF5C797" w14:textId="77777777" w:rsidR="0068109B" w:rsidRPr="005E38D2" w:rsidRDefault="0068109B" w:rsidP="0068109B">
            <w:pPr>
              <w:spacing w:after="0"/>
              <w:rPr>
                <w:rFonts w:cs="Calibri"/>
                <w:szCs w:val="22"/>
                <w:lang w:eastAsia="en-US"/>
              </w:rPr>
            </w:pPr>
          </w:p>
          <w:p w14:paraId="61F6A8D8" w14:textId="77777777" w:rsidR="0068109B" w:rsidRPr="005E38D2" w:rsidRDefault="0068109B" w:rsidP="0068109B">
            <w:pPr>
              <w:spacing w:after="0"/>
              <w:jc w:val="center"/>
              <w:rPr>
                <w:rFonts w:cs="Calibri"/>
                <w:szCs w:val="22"/>
                <w:lang w:eastAsia="en-US"/>
              </w:rPr>
            </w:pPr>
            <w:r w:rsidRPr="005E38D2">
              <w:rPr>
                <w:rFonts w:cs="Calibri"/>
                <w:szCs w:val="22"/>
                <w:lang w:eastAsia="en-US"/>
              </w:rPr>
              <w:t>.........................................................................</w:t>
            </w:r>
          </w:p>
          <w:p w14:paraId="4EB86120" w14:textId="41568EF4" w:rsidR="0068109B" w:rsidRPr="005E38D2" w:rsidRDefault="0068109B" w:rsidP="0068109B">
            <w:pPr>
              <w:spacing w:after="0"/>
              <w:jc w:val="center"/>
              <w:rPr>
                <w:rFonts w:cs="Calibri"/>
                <w:b/>
                <w:szCs w:val="22"/>
              </w:rPr>
            </w:pPr>
            <w:r>
              <w:rPr>
                <w:rFonts w:cs="Calibri"/>
                <w:b/>
                <w:szCs w:val="22"/>
              </w:rPr>
              <w:t>Libor Fiala</w:t>
            </w:r>
          </w:p>
          <w:p w14:paraId="1272EFBB" w14:textId="77777777" w:rsidR="0068109B" w:rsidRPr="005E38D2" w:rsidRDefault="0068109B" w:rsidP="0068109B">
            <w:pPr>
              <w:pStyle w:val="RLdajeosmluvnstran"/>
              <w:spacing w:after="0"/>
              <w:jc w:val="left"/>
              <w:rPr>
                <w:rFonts w:cs="Calibri"/>
                <w:b/>
                <w:szCs w:val="22"/>
              </w:rPr>
            </w:pPr>
            <w:r w:rsidRPr="005E38D2">
              <w:rPr>
                <w:rFonts w:cs="Calibri"/>
                <w:bCs/>
                <w:szCs w:val="22"/>
              </w:rPr>
              <w:t xml:space="preserve">                       </w:t>
            </w:r>
            <w:r w:rsidRPr="005E38D2">
              <w:rPr>
                <w:rFonts w:cs="Calibri"/>
                <w:b/>
                <w:szCs w:val="22"/>
              </w:rPr>
              <w:t xml:space="preserve">člen představenstva </w:t>
            </w:r>
          </w:p>
          <w:p w14:paraId="5E638A03" w14:textId="77777777" w:rsidR="0068109B" w:rsidRPr="005E38D2" w:rsidRDefault="0068109B" w:rsidP="0068109B">
            <w:pPr>
              <w:pStyle w:val="RLdajeosmluvnstran"/>
              <w:spacing w:after="0"/>
              <w:jc w:val="left"/>
              <w:rPr>
                <w:rFonts w:cs="Calibri"/>
                <w:bCs/>
                <w:szCs w:val="22"/>
              </w:rPr>
            </w:pPr>
            <w:r w:rsidRPr="005E38D2">
              <w:rPr>
                <w:rFonts w:cs="Calibri"/>
                <w:bCs/>
                <w:szCs w:val="22"/>
              </w:rPr>
              <w:t xml:space="preserve">     Technologie hlavního města Prahy, a.s.     </w:t>
            </w:r>
          </w:p>
        </w:tc>
        <w:tc>
          <w:tcPr>
            <w:tcW w:w="4573" w:type="dxa"/>
          </w:tcPr>
          <w:p w14:paraId="359A4A1A" w14:textId="77777777" w:rsidR="0068109B" w:rsidRDefault="0068109B" w:rsidP="0068109B">
            <w:pPr>
              <w:spacing w:after="0"/>
              <w:jc w:val="center"/>
              <w:rPr>
                <w:rFonts w:cs="Calibri"/>
                <w:szCs w:val="22"/>
                <w:lang w:eastAsia="en-US"/>
              </w:rPr>
            </w:pPr>
          </w:p>
          <w:p w14:paraId="1ACE9A3B" w14:textId="77777777" w:rsidR="0068109B" w:rsidRPr="005E38D2" w:rsidRDefault="0068109B" w:rsidP="0068109B">
            <w:pPr>
              <w:spacing w:after="0"/>
              <w:jc w:val="center"/>
              <w:rPr>
                <w:rFonts w:cs="Calibri"/>
                <w:szCs w:val="22"/>
                <w:lang w:eastAsia="en-US"/>
              </w:rPr>
            </w:pPr>
          </w:p>
          <w:p w14:paraId="7B199B83" w14:textId="77777777" w:rsidR="0068109B" w:rsidRPr="005E38D2" w:rsidRDefault="0068109B" w:rsidP="0068109B">
            <w:pPr>
              <w:spacing w:after="0"/>
              <w:jc w:val="center"/>
              <w:rPr>
                <w:rFonts w:cs="Calibri"/>
                <w:szCs w:val="22"/>
                <w:lang w:eastAsia="en-US"/>
              </w:rPr>
            </w:pPr>
            <w:r w:rsidRPr="005E38D2">
              <w:rPr>
                <w:rFonts w:cs="Calibri"/>
                <w:szCs w:val="22"/>
                <w:lang w:eastAsia="en-US"/>
              </w:rPr>
              <w:t>.....................................................................</w:t>
            </w:r>
          </w:p>
          <w:p w14:paraId="0152973D" w14:textId="77777777" w:rsidR="00302A45" w:rsidRPr="00C60C0F" w:rsidRDefault="00302A45" w:rsidP="00C60C0F">
            <w:pPr>
              <w:spacing w:after="0"/>
              <w:jc w:val="center"/>
              <w:rPr>
                <w:rFonts w:cs="Calibri"/>
                <w:b/>
                <w:szCs w:val="22"/>
              </w:rPr>
            </w:pPr>
            <w:r w:rsidRPr="00C60C0F">
              <w:rPr>
                <w:rFonts w:cs="Calibri"/>
                <w:b/>
                <w:szCs w:val="22"/>
              </w:rPr>
              <w:t xml:space="preserve">Bc. Tomáš </w:t>
            </w:r>
            <w:proofErr w:type="spellStart"/>
            <w:r w:rsidRPr="00C60C0F">
              <w:rPr>
                <w:rFonts w:cs="Calibri"/>
                <w:b/>
                <w:szCs w:val="22"/>
              </w:rPr>
              <w:t>Nettl</w:t>
            </w:r>
            <w:proofErr w:type="spellEnd"/>
          </w:p>
          <w:p w14:paraId="206FE927" w14:textId="291780D8" w:rsidR="0068109B" w:rsidRPr="00302A45" w:rsidRDefault="00302A45" w:rsidP="00C60C0F">
            <w:pPr>
              <w:spacing w:after="0"/>
              <w:jc w:val="center"/>
              <w:rPr>
                <w:rFonts w:cs="Calibri"/>
                <w:b/>
                <w:szCs w:val="22"/>
              </w:rPr>
            </w:pPr>
            <w:r w:rsidRPr="00302A45">
              <w:rPr>
                <w:rFonts w:cs="Calibri"/>
                <w:b/>
                <w:szCs w:val="22"/>
              </w:rPr>
              <w:t>člen představenstva</w:t>
            </w:r>
          </w:p>
          <w:p w14:paraId="00503AB0" w14:textId="0A2B6B9B" w:rsidR="00302A45" w:rsidRPr="00C60C0F" w:rsidRDefault="00302A45" w:rsidP="00C60C0F">
            <w:pPr>
              <w:spacing w:after="0"/>
              <w:jc w:val="center"/>
              <w:rPr>
                <w:rFonts w:cs="Calibri"/>
                <w:bCs/>
                <w:szCs w:val="22"/>
              </w:rPr>
            </w:pPr>
            <w:r w:rsidRPr="00C60C0F">
              <w:rPr>
                <w:rFonts w:cs="Calibri"/>
                <w:bCs/>
                <w:szCs w:val="22"/>
              </w:rPr>
              <w:t>KH servis a.s.</w:t>
            </w:r>
          </w:p>
          <w:p w14:paraId="30D1FB2A" w14:textId="05B6AA13" w:rsidR="0068109B" w:rsidRPr="005E38D2" w:rsidRDefault="0068109B" w:rsidP="0068109B">
            <w:pPr>
              <w:spacing w:after="0"/>
              <w:jc w:val="center"/>
              <w:rPr>
                <w:rFonts w:cs="Calibri"/>
                <w:bCs/>
                <w:szCs w:val="22"/>
              </w:rPr>
            </w:pPr>
          </w:p>
        </w:tc>
      </w:tr>
    </w:tbl>
    <w:p w14:paraId="6637B134" w14:textId="77777777" w:rsidR="00A84ED5" w:rsidRPr="005E38D2" w:rsidRDefault="00A84ED5" w:rsidP="00A84ED5">
      <w:pPr>
        <w:rPr>
          <w:rFonts w:cs="Calibri"/>
          <w:szCs w:val="22"/>
        </w:rPr>
      </w:pPr>
    </w:p>
    <w:p w14:paraId="1DB97DA5" w14:textId="77777777" w:rsidR="00A84ED5" w:rsidRPr="005E38D2" w:rsidRDefault="00A84ED5">
      <w:pPr>
        <w:rPr>
          <w:rFonts w:cs="Calibri"/>
          <w:szCs w:val="22"/>
        </w:rPr>
      </w:pPr>
    </w:p>
    <w:sectPr w:rsidR="00A84ED5" w:rsidRPr="005E38D2" w:rsidSect="00EF38FF">
      <w:footerReference w:type="default" r:id="rId7"/>
      <w:pgSz w:w="11906" w:h="16838" w:code="9"/>
      <w:pgMar w:top="1560" w:right="1418" w:bottom="226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3DB4" w14:textId="77777777" w:rsidR="00E94ED0" w:rsidRDefault="00E94ED0">
      <w:pPr>
        <w:spacing w:after="0" w:line="240" w:lineRule="auto"/>
      </w:pPr>
      <w:r>
        <w:separator/>
      </w:r>
    </w:p>
  </w:endnote>
  <w:endnote w:type="continuationSeparator" w:id="0">
    <w:p w14:paraId="21EA914D" w14:textId="77777777" w:rsidR="00E94ED0" w:rsidRDefault="00E9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00417"/>
      <w:docPartObj>
        <w:docPartGallery w:val="Page Numbers (Bottom of Page)"/>
        <w:docPartUnique/>
      </w:docPartObj>
    </w:sdtPr>
    <w:sdtEndPr/>
    <w:sdtContent>
      <w:p w14:paraId="01960990" w14:textId="77777777" w:rsidR="00A84ED5" w:rsidRDefault="00A84ED5">
        <w:pPr>
          <w:pStyle w:val="Zpat"/>
          <w:jc w:val="right"/>
        </w:pPr>
        <w:r>
          <w:fldChar w:fldCharType="begin"/>
        </w:r>
        <w:r>
          <w:instrText>PAGE   \* MERGEFORMAT</w:instrText>
        </w:r>
        <w:r>
          <w:fldChar w:fldCharType="separate"/>
        </w:r>
        <w:r>
          <w:rPr>
            <w:noProof/>
          </w:rPr>
          <w:t>4</w:t>
        </w:r>
        <w:r>
          <w:fldChar w:fldCharType="end"/>
        </w:r>
      </w:p>
    </w:sdtContent>
  </w:sdt>
  <w:p w14:paraId="73F9927B" w14:textId="77777777" w:rsidR="00A84ED5" w:rsidRDefault="00A84E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1B03" w14:textId="77777777" w:rsidR="00E94ED0" w:rsidRDefault="00E94ED0">
      <w:pPr>
        <w:spacing w:after="0" w:line="240" w:lineRule="auto"/>
      </w:pPr>
      <w:r>
        <w:separator/>
      </w:r>
    </w:p>
  </w:footnote>
  <w:footnote w:type="continuationSeparator" w:id="0">
    <w:p w14:paraId="003D1B6F" w14:textId="77777777" w:rsidR="00E94ED0" w:rsidRDefault="00E94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DCB"/>
    <w:multiLevelType w:val="multilevel"/>
    <w:tmpl w:val="02D29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62C6FCD"/>
    <w:multiLevelType w:val="multilevel"/>
    <w:tmpl w:val="C24EA1C4"/>
    <w:lvl w:ilvl="0">
      <w:start w:val="1"/>
      <w:numFmt w:val="decimal"/>
      <w:pStyle w:val="RLlneksmlouvy"/>
      <w:lvlText w:val="%1."/>
      <w:lvlJc w:val="left"/>
      <w:pPr>
        <w:tabs>
          <w:tab w:val="num" w:pos="879"/>
        </w:tabs>
        <w:ind w:left="879"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871"/>
        </w:tabs>
        <w:ind w:left="1871" w:hanging="737"/>
      </w:pPr>
      <w:rPr>
        <w:rFonts w:hint="default"/>
        <w:color w:val="auto"/>
      </w:rPr>
    </w:lvl>
    <w:lvl w:ilvl="2">
      <w:start w:val="1"/>
      <w:numFmt w:val="bullet"/>
      <w:lvlText w:val=""/>
      <w:lvlJc w:val="left"/>
      <w:pPr>
        <w:ind w:left="1834" w:hanging="360"/>
      </w:pPr>
      <w:rPr>
        <w:rFonts w:ascii="Symbol" w:hAnsi="Symbo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B8E6490"/>
    <w:multiLevelType w:val="hybridMultilevel"/>
    <w:tmpl w:val="8C2E3BC8"/>
    <w:lvl w:ilvl="0" w:tplc="E1CA928C">
      <w:start w:val="1"/>
      <w:numFmt w:val="upperLetter"/>
      <w:lvlText w:val="%1."/>
      <w:lvlJc w:val="left"/>
      <w:pPr>
        <w:ind w:left="720" w:hanging="360"/>
      </w:pPr>
      <w:rPr>
        <w:rFonts w:ascii="Calibri" w:eastAsia="Times New Roman" w:hAnsi="Calibri" w:cs="Times New Roman"/>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3195881">
    <w:abstractNumId w:val="2"/>
  </w:num>
  <w:num w:numId="2" w16cid:durableId="2045590697">
    <w:abstractNumId w:val="0"/>
  </w:num>
  <w:num w:numId="3" w16cid:durableId="142017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D5"/>
    <w:rsid w:val="00024A81"/>
    <w:rsid w:val="0008268E"/>
    <w:rsid w:val="002541B5"/>
    <w:rsid w:val="00302A45"/>
    <w:rsid w:val="003C7029"/>
    <w:rsid w:val="004C675F"/>
    <w:rsid w:val="00541BFC"/>
    <w:rsid w:val="005E38D2"/>
    <w:rsid w:val="00671A33"/>
    <w:rsid w:val="0068109B"/>
    <w:rsid w:val="007F2C74"/>
    <w:rsid w:val="00912E1A"/>
    <w:rsid w:val="00942AB5"/>
    <w:rsid w:val="009966F6"/>
    <w:rsid w:val="00A55836"/>
    <w:rsid w:val="00A84ED5"/>
    <w:rsid w:val="00AB24FD"/>
    <w:rsid w:val="00BD1144"/>
    <w:rsid w:val="00C60C0F"/>
    <w:rsid w:val="00C827B9"/>
    <w:rsid w:val="00CE1AFE"/>
    <w:rsid w:val="00CF1C79"/>
    <w:rsid w:val="00DA17E4"/>
    <w:rsid w:val="00DE6B86"/>
    <w:rsid w:val="00E02268"/>
    <w:rsid w:val="00E94ED0"/>
    <w:rsid w:val="00EF38FF"/>
    <w:rsid w:val="00F03F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7F61"/>
  <w15:chartTrackingRefBased/>
  <w15:docId w15:val="{0BCAF245-00D9-46BF-95C1-D8146063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ED5"/>
    <w:pPr>
      <w:spacing w:after="120" w:line="280" w:lineRule="exact"/>
    </w:pPr>
    <w:rPr>
      <w:rFonts w:ascii="Calibri" w:eastAsia="Times New Roman" w:hAnsi="Calibri" w:cs="Times New Roman"/>
      <w:kern w:val="0"/>
      <w:sz w:val="22"/>
      <w:lang w:eastAsia="cs-CZ"/>
      <w14:ligatures w14:val="none"/>
    </w:rPr>
  </w:style>
  <w:style w:type="paragraph" w:styleId="Nadpis1">
    <w:name w:val="heading 1"/>
    <w:basedOn w:val="Normln"/>
    <w:next w:val="Normln"/>
    <w:link w:val="Nadpis1Char"/>
    <w:uiPriority w:val="9"/>
    <w:qFormat/>
    <w:rsid w:val="00A84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84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84ED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84ED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84ED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84ED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84ED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84ED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84ED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84E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84E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84ED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84ED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84ED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84ED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84ED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84ED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84ED5"/>
    <w:rPr>
      <w:rFonts w:eastAsiaTheme="majorEastAsia" w:cstheme="majorBidi"/>
      <w:color w:val="272727" w:themeColor="text1" w:themeTint="D8"/>
    </w:rPr>
  </w:style>
  <w:style w:type="paragraph" w:styleId="Nzev">
    <w:name w:val="Title"/>
    <w:basedOn w:val="Normln"/>
    <w:next w:val="Normln"/>
    <w:link w:val="NzevChar"/>
    <w:uiPriority w:val="10"/>
    <w:qFormat/>
    <w:rsid w:val="00A8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84ED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84ED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84ED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84ED5"/>
    <w:pPr>
      <w:spacing w:before="160"/>
      <w:jc w:val="center"/>
    </w:pPr>
    <w:rPr>
      <w:i/>
      <w:iCs/>
      <w:color w:val="404040" w:themeColor="text1" w:themeTint="BF"/>
    </w:rPr>
  </w:style>
  <w:style w:type="character" w:customStyle="1" w:styleId="CittChar">
    <w:name w:val="Citát Char"/>
    <w:basedOn w:val="Standardnpsmoodstavce"/>
    <w:link w:val="Citt"/>
    <w:uiPriority w:val="29"/>
    <w:rsid w:val="00A84ED5"/>
    <w:rPr>
      <w:i/>
      <w:iCs/>
      <w:color w:val="404040" w:themeColor="text1" w:themeTint="BF"/>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A84ED5"/>
    <w:pPr>
      <w:ind w:left="720"/>
      <w:contextualSpacing/>
    </w:pPr>
  </w:style>
  <w:style w:type="character" w:styleId="Zdraznnintenzivn">
    <w:name w:val="Intense Emphasis"/>
    <w:basedOn w:val="Standardnpsmoodstavce"/>
    <w:uiPriority w:val="21"/>
    <w:qFormat/>
    <w:rsid w:val="00A84ED5"/>
    <w:rPr>
      <w:i/>
      <w:iCs/>
      <w:color w:val="0F4761" w:themeColor="accent1" w:themeShade="BF"/>
    </w:rPr>
  </w:style>
  <w:style w:type="paragraph" w:styleId="Vrazncitt">
    <w:name w:val="Intense Quote"/>
    <w:basedOn w:val="Normln"/>
    <w:next w:val="Normln"/>
    <w:link w:val="VrazncittChar"/>
    <w:uiPriority w:val="30"/>
    <w:qFormat/>
    <w:rsid w:val="00A84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84ED5"/>
    <w:rPr>
      <w:i/>
      <w:iCs/>
      <w:color w:val="0F4761" w:themeColor="accent1" w:themeShade="BF"/>
    </w:rPr>
  </w:style>
  <w:style w:type="character" w:styleId="Odkazintenzivn">
    <w:name w:val="Intense Reference"/>
    <w:basedOn w:val="Standardnpsmoodstavce"/>
    <w:uiPriority w:val="32"/>
    <w:qFormat/>
    <w:rsid w:val="00A84ED5"/>
    <w:rPr>
      <w:b/>
      <w:bCs/>
      <w:smallCaps/>
      <w:color w:val="0F4761" w:themeColor="accent1" w:themeShade="BF"/>
      <w:spacing w:val="5"/>
    </w:rPr>
  </w:style>
  <w:style w:type="paragraph" w:customStyle="1" w:styleId="RLdajeosmluvnstran">
    <w:name w:val="RL  údaje o smluvní straně"/>
    <w:basedOn w:val="Normln"/>
    <w:rsid w:val="00A84ED5"/>
    <w:pPr>
      <w:jc w:val="center"/>
    </w:pPr>
    <w:rPr>
      <w:lang w:eastAsia="en-US"/>
    </w:rPr>
  </w:style>
  <w:style w:type="paragraph" w:customStyle="1" w:styleId="RLnzevsmlouvy">
    <w:name w:val="RL název smlouvy"/>
    <w:basedOn w:val="Normln"/>
    <w:next w:val="Normln"/>
    <w:rsid w:val="00A84ED5"/>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84ED5"/>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A84ED5"/>
    <w:rPr>
      <w:rFonts w:ascii="Calibri" w:eastAsia="Times New Roman" w:hAnsi="Calibri" w:cs="Times New Roman"/>
      <w:color w:val="808080"/>
      <w:kern w:val="0"/>
      <w:sz w:val="16"/>
      <w:lang w:eastAsia="cs-CZ"/>
      <w14:ligatures w14:val="none"/>
    </w:rPr>
  </w:style>
  <w:style w:type="character" w:customStyle="1" w:styleId="ZKLADNChar">
    <w:name w:val="ZÁKLADNÍ Char"/>
    <w:link w:val="ZKLADN"/>
    <w:locked/>
    <w:rsid w:val="00A84ED5"/>
    <w:rPr>
      <w:rFonts w:ascii="Garamond" w:hAnsi="Garamond"/>
      <w:lang w:val="x-none" w:eastAsia="x-none"/>
    </w:rPr>
  </w:style>
  <w:style w:type="paragraph" w:customStyle="1" w:styleId="ZKLADN">
    <w:name w:val="ZÁKLADNÍ"/>
    <w:basedOn w:val="Zkladntext"/>
    <w:link w:val="ZKLADNChar"/>
    <w:rsid w:val="00A84ED5"/>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A84ED5"/>
    <w:pPr>
      <w:jc w:val="center"/>
    </w:pPr>
    <w:rPr>
      <w:b/>
      <w:snapToGrid w:val="0"/>
      <w:sz w:val="20"/>
      <w:szCs w:val="20"/>
      <w:lang w:val="x-none" w:eastAsia="x-none"/>
    </w:rPr>
  </w:style>
  <w:style w:type="character" w:customStyle="1" w:styleId="doplnuchazeChar">
    <w:name w:val="doplní uchazeč Char"/>
    <w:link w:val="doplnuchaze"/>
    <w:rsid w:val="00A84ED5"/>
    <w:rPr>
      <w:rFonts w:ascii="Calibri" w:eastAsia="Times New Roman" w:hAnsi="Calibri" w:cs="Times New Roman"/>
      <w:b/>
      <w:snapToGrid w:val="0"/>
      <w:kern w:val="0"/>
      <w:sz w:val="20"/>
      <w:szCs w:val="20"/>
      <w:lang w:val="x-none" w:eastAsia="x-none"/>
      <w14:ligatures w14:val="none"/>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uiPriority w:val="34"/>
    <w:rsid w:val="00A84ED5"/>
  </w:style>
  <w:style w:type="paragraph" w:styleId="Zkladntext">
    <w:name w:val="Body Text"/>
    <w:basedOn w:val="Normln"/>
    <w:link w:val="ZkladntextChar"/>
    <w:uiPriority w:val="99"/>
    <w:semiHidden/>
    <w:unhideWhenUsed/>
    <w:rsid w:val="00A84ED5"/>
  </w:style>
  <w:style w:type="character" w:customStyle="1" w:styleId="ZkladntextChar">
    <w:name w:val="Základní text Char"/>
    <w:basedOn w:val="Standardnpsmoodstavce"/>
    <w:link w:val="Zkladntext"/>
    <w:uiPriority w:val="99"/>
    <w:semiHidden/>
    <w:rsid w:val="00A84ED5"/>
    <w:rPr>
      <w:rFonts w:ascii="Calibri" w:eastAsia="Times New Roman" w:hAnsi="Calibri" w:cs="Times New Roman"/>
      <w:kern w:val="0"/>
      <w:sz w:val="22"/>
      <w:lang w:eastAsia="cs-CZ"/>
      <w14:ligatures w14:val="none"/>
    </w:rPr>
  </w:style>
  <w:style w:type="paragraph" w:customStyle="1" w:styleId="RLProhlensmluvnchstran">
    <w:name w:val="RL Prohlášení smluvních stran"/>
    <w:basedOn w:val="Normln"/>
    <w:link w:val="RLProhlensmluvnchstranChar"/>
    <w:rsid w:val="00C60C0F"/>
    <w:pPr>
      <w:jc w:val="center"/>
    </w:pPr>
    <w:rPr>
      <w:b/>
    </w:rPr>
  </w:style>
  <w:style w:type="character" w:customStyle="1" w:styleId="RLProhlensmluvnchstranChar">
    <w:name w:val="RL Prohlášení smluvních stran Char"/>
    <w:basedOn w:val="Standardnpsmoodstavce"/>
    <w:link w:val="RLProhlensmluvnchstran"/>
    <w:rsid w:val="00C60C0F"/>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C60C0F"/>
    <w:pPr>
      <w:numPr>
        <w:ilvl w:val="1"/>
        <w:numId w:val="3"/>
      </w:numPr>
      <w:jc w:val="both"/>
    </w:pPr>
  </w:style>
  <w:style w:type="paragraph" w:customStyle="1" w:styleId="RLlneksmlouvy">
    <w:name w:val="RL Článek smlouvy"/>
    <w:basedOn w:val="Normln"/>
    <w:next w:val="RLTextlnkuslovan"/>
    <w:qFormat/>
    <w:rsid w:val="00C60C0F"/>
    <w:pPr>
      <w:keepNext/>
      <w:numPr>
        <w:numId w:val="3"/>
      </w:numPr>
      <w:suppressAutoHyphens/>
      <w:spacing w:before="360"/>
      <w:jc w:val="both"/>
      <w:outlineLvl w:val="0"/>
    </w:pPr>
    <w:rPr>
      <w:b/>
      <w:lang w:eastAsia="en-US"/>
    </w:rPr>
  </w:style>
  <w:style w:type="character" w:customStyle="1" w:styleId="RLTextlnkuslovanChar">
    <w:name w:val="RL Text článku číslovaný Char"/>
    <w:basedOn w:val="Standardnpsmoodstavce"/>
    <w:link w:val="RLTextlnkuslovan"/>
    <w:qFormat/>
    <w:rsid w:val="00C60C0F"/>
    <w:rPr>
      <w:rFonts w:ascii="Calibri" w:eastAsia="Times New Roman" w:hAnsi="Calibri" w:cs="Times New Roman"/>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1071</Words>
  <Characters>6319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Liška Laura</dc:creator>
  <cp:keywords/>
  <dc:description/>
  <cp:lastModifiedBy>Vítová Petra</cp:lastModifiedBy>
  <cp:revision>2</cp:revision>
  <dcterms:created xsi:type="dcterms:W3CDTF">2026-03-11T07:03:00Z</dcterms:created>
  <dcterms:modified xsi:type="dcterms:W3CDTF">2026-03-11T07:03:00Z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2026-01-09T10:37:48Z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2ff3754b-3581-41e5-a126-50ccc6aca802</vt:lpwstr>
  </property>
  <property fmtid="{D5CDD505-2E9C-101B-9397-08002B2CF9AE}" pid="8" name="MSIP_Label_53b2c928-728b-4698-a3fd-c5d03555aa71_ContentBits">
    <vt:lpwstr>0</vt:lpwstr>
  </property>
  <property fmtid="{D5CDD505-2E9C-101B-9397-08002B2CF9AE}" pid="9" name="MSIP_Label_53b2c928-728b-4698-a3fd-c5d03555aa71_Tag">
    <vt:lpwstr>10, 3, 0, 1</vt:lpwstr>
  </property>
</Properties>
</file>