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B25DC" w14:textId="77777777" w:rsidR="000860F0" w:rsidRPr="00955DE6" w:rsidRDefault="000860F0" w:rsidP="00D66BC1">
      <w:pPr>
        <w:pStyle w:val="Bodytextbold"/>
        <w:jc w:val="center"/>
        <w:rPr>
          <w:sz w:val="28"/>
        </w:rPr>
      </w:pPr>
    </w:p>
    <w:p w14:paraId="25225303" w14:textId="4514F5BA" w:rsidR="00D66BC1" w:rsidRPr="00955DE6" w:rsidRDefault="00FC3FE5" w:rsidP="00D66BC1">
      <w:pPr>
        <w:pStyle w:val="Bodytextbold"/>
        <w:jc w:val="center"/>
        <w:rPr>
          <w:rFonts w:ascii="Times New Roman" w:hAnsi="Times New Roman"/>
          <w:sz w:val="22"/>
        </w:rPr>
      </w:pPr>
      <w:r w:rsidRPr="00955DE6">
        <w:rPr>
          <w:rFonts w:ascii="Times New Roman" w:hAnsi="Times New Roman"/>
          <w:sz w:val="22"/>
        </w:rPr>
        <w:t>Smlouva o poskytování služeb</w:t>
      </w:r>
    </w:p>
    <w:p w14:paraId="30D755A9" w14:textId="77777777" w:rsidR="000860F0" w:rsidRPr="00955DE6" w:rsidRDefault="000860F0" w:rsidP="000860F0">
      <w:pPr>
        <w:pStyle w:val="BodyText1"/>
        <w:rPr>
          <w:rFonts w:ascii="Times New Roman" w:hAnsi="Times New Roman"/>
          <w:sz w:val="22"/>
          <w:szCs w:val="22"/>
        </w:rPr>
      </w:pPr>
    </w:p>
    <w:p w14:paraId="4FFDF761" w14:textId="77777777" w:rsidR="000860F0" w:rsidRPr="00955DE6" w:rsidRDefault="00750A85" w:rsidP="000860F0">
      <w:pPr>
        <w:pStyle w:val="BodyText1"/>
        <w:rPr>
          <w:rFonts w:ascii="Times New Roman" w:hAnsi="Times New Roman"/>
          <w:sz w:val="22"/>
          <w:szCs w:val="22"/>
        </w:rPr>
      </w:pPr>
      <w:r w:rsidRPr="00750A85">
        <w:rPr>
          <w:rFonts w:ascii="Times New Roman" w:hAnsi="Times New Roman"/>
          <w:sz w:val="22"/>
          <w:szCs w:val="22"/>
        </w:rPr>
        <w:t xml:space="preserve">uzavřená v souladu s ustanovením </w:t>
      </w:r>
      <w:r w:rsidRPr="00C828CE">
        <w:rPr>
          <w:rFonts w:ascii="Times New Roman" w:hAnsi="Times New Roman"/>
          <w:sz w:val="22"/>
          <w:szCs w:val="22"/>
        </w:rPr>
        <w:t xml:space="preserve">§ </w:t>
      </w:r>
      <w:r w:rsidR="00C828CE">
        <w:rPr>
          <w:rFonts w:ascii="Times New Roman" w:hAnsi="Times New Roman"/>
          <w:sz w:val="22"/>
          <w:szCs w:val="22"/>
        </w:rPr>
        <w:t>1746</w:t>
      </w:r>
      <w:r w:rsidR="00C828CE" w:rsidRPr="00C828CE">
        <w:rPr>
          <w:rFonts w:ascii="Times New Roman" w:hAnsi="Times New Roman"/>
          <w:sz w:val="22"/>
          <w:szCs w:val="22"/>
        </w:rPr>
        <w:t xml:space="preserve"> </w:t>
      </w:r>
      <w:r w:rsidRPr="00C828CE">
        <w:rPr>
          <w:rFonts w:ascii="Times New Roman" w:hAnsi="Times New Roman"/>
          <w:sz w:val="22"/>
          <w:szCs w:val="22"/>
        </w:rPr>
        <w:t xml:space="preserve">odst. 2. zák. č. </w:t>
      </w:r>
      <w:r w:rsidR="00C828CE">
        <w:rPr>
          <w:rFonts w:ascii="Times New Roman" w:hAnsi="Times New Roman"/>
          <w:sz w:val="22"/>
          <w:szCs w:val="22"/>
        </w:rPr>
        <w:t>89/2012</w:t>
      </w:r>
      <w:r w:rsidRPr="00C828CE">
        <w:rPr>
          <w:rFonts w:ascii="Times New Roman" w:hAnsi="Times New Roman"/>
          <w:sz w:val="22"/>
          <w:szCs w:val="22"/>
        </w:rPr>
        <w:t xml:space="preserve"> Sb., </w:t>
      </w:r>
      <w:r w:rsidR="00C828CE" w:rsidRPr="00C828CE">
        <w:rPr>
          <w:rFonts w:ascii="Times New Roman" w:hAnsi="Times New Roman"/>
          <w:sz w:val="22"/>
          <w:szCs w:val="22"/>
        </w:rPr>
        <w:t>o</w:t>
      </w:r>
      <w:r w:rsidR="00C828CE">
        <w:rPr>
          <w:rFonts w:ascii="Times New Roman" w:hAnsi="Times New Roman"/>
          <w:sz w:val="22"/>
          <w:szCs w:val="22"/>
        </w:rPr>
        <w:t>bčanský</w:t>
      </w:r>
      <w:r w:rsidR="00C828CE" w:rsidRPr="00C828CE">
        <w:rPr>
          <w:rFonts w:ascii="Times New Roman" w:hAnsi="Times New Roman"/>
          <w:sz w:val="22"/>
          <w:szCs w:val="22"/>
        </w:rPr>
        <w:t xml:space="preserve"> </w:t>
      </w:r>
      <w:r w:rsidRPr="00C828CE">
        <w:rPr>
          <w:rFonts w:ascii="Times New Roman" w:hAnsi="Times New Roman"/>
          <w:sz w:val="22"/>
          <w:szCs w:val="22"/>
        </w:rPr>
        <w:t>zákoník, ve znění pozdějších předpisů (dále jen „</w:t>
      </w:r>
      <w:r w:rsidR="00C828CE" w:rsidRPr="00C828CE">
        <w:rPr>
          <w:rFonts w:ascii="Times New Roman" w:hAnsi="Times New Roman"/>
          <w:sz w:val="22"/>
          <w:szCs w:val="22"/>
        </w:rPr>
        <w:t>ob</w:t>
      </w:r>
      <w:r w:rsidR="00C828CE">
        <w:rPr>
          <w:rFonts w:ascii="Times New Roman" w:hAnsi="Times New Roman"/>
          <w:sz w:val="22"/>
          <w:szCs w:val="22"/>
        </w:rPr>
        <w:t>čanský</w:t>
      </w:r>
      <w:r w:rsidR="00C828CE" w:rsidRPr="00C828CE">
        <w:rPr>
          <w:rFonts w:ascii="Times New Roman" w:hAnsi="Times New Roman"/>
          <w:sz w:val="22"/>
          <w:szCs w:val="22"/>
        </w:rPr>
        <w:t xml:space="preserve"> </w:t>
      </w:r>
      <w:r w:rsidRPr="00C828CE">
        <w:rPr>
          <w:rFonts w:ascii="Times New Roman" w:hAnsi="Times New Roman"/>
          <w:sz w:val="22"/>
          <w:szCs w:val="22"/>
        </w:rPr>
        <w:t>zákoník“)</w:t>
      </w:r>
    </w:p>
    <w:p w14:paraId="5D082CE9" w14:textId="77777777" w:rsidR="00D66BC1" w:rsidRPr="00955DE6" w:rsidRDefault="00D66BC1" w:rsidP="00D66BC1">
      <w:pPr>
        <w:pStyle w:val="BodyText1"/>
        <w:rPr>
          <w:rFonts w:ascii="Times New Roman" w:hAnsi="Times New Roman"/>
          <w:sz w:val="22"/>
          <w:szCs w:val="22"/>
        </w:rPr>
      </w:pPr>
    </w:p>
    <w:p w14:paraId="1DAFDD55" w14:textId="77777777" w:rsidR="00D66BC1" w:rsidRPr="00955DE6" w:rsidRDefault="00D66BC1" w:rsidP="00D66BC1">
      <w:pPr>
        <w:pStyle w:val="BodyText1"/>
        <w:rPr>
          <w:rFonts w:ascii="Times New Roman" w:hAnsi="Times New Roman"/>
          <w:sz w:val="22"/>
          <w:szCs w:val="22"/>
        </w:rPr>
      </w:pPr>
    </w:p>
    <w:p w14:paraId="7ECAD4ED" w14:textId="77777777" w:rsidR="00D66BC1" w:rsidRPr="00955DE6" w:rsidRDefault="00FC3FE5" w:rsidP="00D66BC1">
      <w:pPr>
        <w:pStyle w:val="BodyText1"/>
        <w:rPr>
          <w:rFonts w:ascii="Times New Roman" w:hAnsi="Times New Roman"/>
          <w:sz w:val="22"/>
          <w:szCs w:val="22"/>
        </w:rPr>
      </w:pPr>
      <w:r w:rsidRPr="00955DE6">
        <w:rPr>
          <w:rFonts w:ascii="Times New Roman" w:hAnsi="Times New Roman"/>
          <w:sz w:val="22"/>
          <w:szCs w:val="22"/>
        </w:rPr>
        <w:t xml:space="preserve">mezi </w:t>
      </w:r>
    </w:p>
    <w:p w14:paraId="46577A23" w14:textId="77777777" w:rsidR="00D66BC1" w:rsidRPr="00955DE6" w:rsidRDefault="00D66BC1" w:rsidP="00D66BC1">
      <w:pPr>
        <w:pStyle w:val="BodyText1"/>
        <w:spacing w:line="276" w:lineRule="auto"/>
        <w:rPr>
          <w:rFonts w:ascii="Times New Roman" w:hAnsi="Times New Roman"/>
          <w:b/>
          <w:sz w:val="22"/>
          <w:szCs w:val="22"/>
        </w:rPr>
      </w:pPr>
    </w:p>
    <w:p w14:paraId="24F57C3D" w14:textId="1FFC39C3" w:rsidR="00D66BC1" w:rsidRPr="00955DE6" w:rsidRDefault="00FC3FE5" w:rsidP="00D66BC1">
      <w:pPr>
        <w:pStyle w:val="BodyText1"/>
        <w:spacing w:line="276" w:lineRule="auto"/>
        <w:rPr>
          <w:rFonts w:ascii="Times New Roman" w:hAnsi="Times New Roman"/>
          <w:b/>
          <w:sz w:val="22"/>
          <w:szCs w:val="22"/>
        </w:rPr>
      </w:pPr>
      <w:r w:rsidRPr="00955DE6">
        <w:rPr>
          <w:rFonts w:ascii="Times New Roman" w:hAnsi="Times New Roman"/>
          <w:sz w:val="22"/>
          <w:szCs w:val="22"/>
        </w:rPr>
        <w:t>společností</w:t>
      </w:r>
      <w:r w:rsidRPr="00955DE6">
        <w:rPr>
          <w:rFonts w:ascii="Times New Roman" w:hAnsi="Times New Roman"/>
          <w:b/>
          <w:sz w:val="22"/>
          <w:szCs w:val="22"/>
        </w:rPr>
        <w:t xml:space="preserve"> </w:t>
      </w:r>
      <w:proofErr w:type="spellStart"/>
      <w:r w:rsidR="00D66BC1" w:rsidRPr="00955DE6">
        <w:rPr>
          <w:rFonts w:ascii="Times New Roman" w:hAnsi="Times New Roman"/>
          <w:b/>
          <w:sz w:val="22"/>
          <w:szCs w:val="22"/>
        </w:rPr>
        <w:t>Deloitte</w:t>
      </w:r>
      <w:proofErr w:type="spellEnd"/>
      <w:r w:rsidR="00D66BC1" w:rsidRPr="00955DE6">
        <w:rPr>
          <w:rFonts w:ascii="Times New Roman" w:hAnsi="Times New Roman"/>
          <w:b/>
          <w:sz w:val="22"/>
          <w:szCs w:val="22"/>
        </w:rPr>
        <w:t xml:space="preserve"> </w:t>
      </w:r>
      <w:r w:rsidR="00117D33">
        <w:rPr>
          <w:rFonts w:ascii="Times New Roman" w:hAnsi="Times New Roman"/>
          <w:b/>
          <w:sz w:val="22"/>
          <w:szCs w:val="22"/>
        </w:rPr>
        <w:t>Audit</w:t>
      </w:r>
      <w:r w:rsidR="00D03E46">
        <w:rPr>
          <w:rFonts w:ascii="Times New Roman" w:hAnsi="Times New Roman"/>
          <w:b/>
          <w:sz w:val="22"/>
          <w:szCs w:val="22"/>
        </w:rPr>
        <w:t xml:space="preserve"> s.r.o.</w:t>
      </w:r>
    </w:p>
    <w:p w14:paraId="78ABFCBC" w14:textId="77777777" w:rsidR="00C13F2C" w:rsidRPr="00955DE6" w:rsidRDefault="00FC3FE5" w:rsidP="00C13F2C">
      <w:pPr>
        <w:pStyle w:val="BodyText1"/>
        <w:spacing w:line="276" w:lineRule="auto"/>
        <w:rPr>
          <w:rFonts w:ascii="Times New Roman" w:hAnsi="Times New Roman"/>
          <w:sz w:val="22"/>
          <w:szCs w:val="22"/>
        </w:rPr>
      </w:pPr>
      <w:r w:rsidRPr="00955DE6">
        <w:rPr>
          <w:rFonts w:ascii="Times New Roman" w:hAnsi="Times New Roman"/>
          <w:sz w:val="22"/>
          <w:szCs w:val="22"/>
        </w:rPr>
        <w:t xml:space="preserve">se sídlem </w:t>
      </w:r>
      <w:r w:rsidR="00D03E46" w:rsidRPr="00D03E46">
        <w:rPr>
          <w:rFonts w:ascii="Times New Roman" w:hAnsi="Times New Roman"/>
          <w:sz w:val="22"/>
          <w:szCs w:val="22"/>
        </w:rPr>
        <w:t>Karolinská 654/2, Praha 8, 186 00, Česká republika,</w:t>
      </w:r>
    </w:p>
    <w:p w14:paraId="790BAA8F" w14:textId="58CC558E" w:rsidR="001E7CC2" w:rsidRPr="00955DE6" w:rsidRDefault="003B364C" w:rsidP="00C13F2C">
      <w:pPr>
        <w:pStyle w:val="BodyText1"/>
        <w:spacing w:line="276" w:lineRule="auto"/>
        <w:rPr>
          <w:rFonts w:ascii="Times New Roman" w:hAnsi="Times New Roman"/>
          <w:sz w:val="22"/>
          <w:szCs w:val="22"/>
        </w:rPr>
      </w:pPr>
      <w:r>
        <w:rPr>
          <w:rFonts w:ascii="Times New Roman" w:hAnsi="Times New Roman"/>
          <w:sz w:val="22"/>
          <w:szCs w:val="22"/>
        </w:rPr>
        <w:t>zapsanou</w:t>
      </w:r>
      <w:r w:rsidR="00FC3FE5" w:rsidRPr="00955DE6">
        <w:rPr>
          <w:rFonts w:ascii="Times New Roman" w:hAnsi="Times New Roman"/>
          <w:sz w:val="22"/>
          <w:szCs w:val="22"/>
        </w:rPr>
        <w:t xml:space="preserve"> </w:t>
      </w:r>
      <w:r w:rsidR="00D03E46" w:rsidRPr="00D03E46">
        <w:rPr>
          <w:rFonts w:ascii="Times New Roman" w:hAnsi="Times New Roman"/>
          <w:sz w:val="22"/>
          <w:szCs w:val="22"/>
        </w:rPr>
        <w:t xml:space="preserve">v obchodním rejstříku vedeném Městským soudem v Praze, </w:t>
      </w:r>
      <w:r w:rsidR="00D03E46" w:rsidRPr="0090214E">
        <w:rPr>
          <w:rFonts w:ascii="Times New Roman" w:hAnsi="Times New Roman"/>
          <w:sz w:val="22"/>
          <w:szCs w:val="22"/>
        </w:rPr>
        <w:t xml:space="preserve">oddíle C, vložce </w:t>
      </w:r>
      <w:r w:rsidR="00EA04E8" w:rsidRPr="0090214E">
        <w:rPr>
          <w:rFonts w:ascii="Times New Roman" w:hAnsi="Times New Roman"/>
          <w:sz w:val="22"/>
          <w:szCs w:val="22"/>
        </w:rPr>
        <w:t>24349</w:t>
      </w:r>
      <w:r w:rsidR="00D03E46">
        <w:rPr>
          <w:rFonts w:ascii="Times New Roman" w:hAnsi="Times New Roman"/>
          <w:sz w:val="22"/>
          <w:szCs w:val="22"/>
        </w:rPr>
        <w:t>,</w:t>
      </w:r>
    </w:p>
    <w:p w14:paraId="4F9B304D" w14:textId="77777777" w:rsidR="00D66BC1" w:rsidRPr="00955DE6" w:rsidRDefault="00D66BC1" w:rsidP="00D66BC1">
      <w:pPr>
        <w:pStyle w:val="BodyText1"/>
        <w:spacing w:line="276" w:lineRule="auto"/>
        <w:rPr>
          <w:rFonts w:ascii="Times New Roman" w:hAnsi="Times New Roman"/>
          <w:sz w:val="22"/>
          <w:szCs w:val="22"/>
        </w:rPr>
      </w:pPr>
    </w:p>
    <w:p w14:paraId="0F98D9A9" w14:textId="7B45CA3B" w:rsidR="00D66BC1" w:rsidRPr="00955DE6" w:rsidRDefault="00FC3FE5" w:rsidP="00D66BC1">
      <w:pPr>
        <w:pStyle w:val="BodyText1"/>
        <w:spacing w:line="276" w:lineRule="auto"/>
        <w:rPr>
          <w:rFonts w:ascii="Times New Roman" w:hAnsi="Times New Roman"/>
          <w:sz w:val="22"/>
          <w:szCs w:val="22"/>
        </w:rPr>
      </w:pPr>
      <w:r w:rsidRPr="00F663CD">
        <w:rPr>
          <w:rFonts w:ascii="Times New Roman" w:hAnsi="Times New Roman"/>
          <w:sz w:val="22"/>
          <w:szCs w:val="22"/>
        </w:rPr>
        <w:t>zastoupen</w:t>
      </w:r>
      <w:r w:rsidR="00D03E46" w:rsidRPr="00F663CD">
        <w:rPr>
          <w:rFonts w:ascii="Times New Roman" w:hAnsi="Times New Roman"/>
          <w:sz w:val="22"/>
          <w:szCs w:val="22"/>
        </w:rPr>
        <w:t xml:space="preserve">á </w:t>
      </w:r>
      <w:bookmarkStart w:id="0" w:name="Partner1"/>
      <w:bookmarkEnd w:id="0"/>
      <w:proofErr w:type="spellStart"/>
      <w:r w:rsidR="003C3CE3">
        <w:rPr>
          <w:rFonts w:ascii="Times New Roman" w:hAnsi="Times New Roman"/>
          <w:sz w:val="22"/>
          <w:szCs w:val="22"/>
        </w:rPr>
        <w:t>xxx</w:t>
      </w:r>
      <w:proofErr w:type="spellEnd"/>
      <w:r w:rsidR="00D66BC1" w:rsidRPr="00F663CD">
        <w:rPr>
          <w:rFonts w:ascii="Times New Roman" w:hAnsi="Times New Roman"/>
          <w:sz w:val="22"/>
          <w:szCs w:val="22"/>
        </w:rPr>
        <w:t xml:space="preserve"> </w:t>
      </w:r>
      <w:r w:rsidRPr="00F663CD">
        <w:rPr>
          <w:rFonts w:ascii="Times New Roman" w:hAnsi="Times New Roman"/>
          <w:sz w:val="22"/>
          <w:szCs w:val="22"/>
        </w:rPr>
        <w:t>na základě plné moci</w:t>
      </w:r>
    </w:p>
    <w:p w14:paraId="75E2DA25" w14:textId="77777777" w:rsidR="00D66BC1" w:rsidRPr="00955DE6" w:rsidRDefault="00D66BC1" w:rsidP="00D66BC1">
      <w:pPr>
        <w:pStyle w:val="BodyText1"/>
        <w:spacing w:line="276" w:lineRule="auto"/>
        <w:rPr>
          <w:rFonts w:ascii="Times New Roman" w:hAnsi="Times New Roman"/>
          <w:sz w:val="22"/>
          <w:szCs w:val="22"/>
        </w:rPr>
      </w:pPr>
    </w:p>
    <w:p w14:paraId="1AD7AEA9" w14:textId="2CFCA098" w:rsidR="00C13F2C" w:rsidRPr="00955DE6" w:rsidRDefault="00FC3FE5" w:rsidP="00C13F2C">
      <w:pPr>
        <w:pStyle w:val="BodyText1"/>
        <w:spacing w:line="276" w:lineRule="auto"/>
        <w:rPr>
          <w:rFonts w:ascii="Times New Roman" w:hAnsi="Times New Roman"/>
          <w:sz w:val="22"/>
          <w:szCs w:val="22"/>
        </w:rPr>
      </w:pPr>
      <w:r w:rsidRPr="00955DE6">
        <w:rPr>
          <w:rFonts w:ascii="Times New Roman" w:hAnsi="Times New Roman"/>
          <w:sz w:val="22"/>
          <w:szCs w:val="22"/>
        </w:rPr>
        <w:t>IČ</w:t>
      </w:r>
      <w:r w:rsidR="009E1961">
        <w:rPr>
          <w:rFonts w:ascii="Times New Roman" w:hAnsi="Times New Roman"/>
          <w:sz w:val="22"/>
          <w:szCs w:val="22"/>
        </w:rPr>
        <w:t>O</w:t>
      </w:r>
      <w:r w:rsidRPr="00955DE6">
        <w:rPr>
          <w:rFonts w:ascii="Times New Roman" w:hAnsi="Times New Roman"/>
          <w:sz w:val="22"/>
          <w:szCs w:val="22"/>
        </w:rPr>
        <w:t>:</w:t>
      </w:r>
      <w:r w:rsidR="00C13F2C" w:rsidRPr="00955DE6">
        <w:rPr>
          <w:rFonts w:ascii="Times New Roman" w:hAnsi="Times New Roman"/>
          <w:sz w:val="22"/>
          <w:szCs w:val="22"/>
        </w:rPr>
        <w:t xml:space="preserve"> </w:t>
      </w:r>
      <w:r w:rsidR="00117D33" w:rsidRPr="0090214E">
        <w:rPr>
          <w:rFonts w:ascii="Times New Roman" w:hAnsi="Times New Roman"/>
          <w:sz w:val="22"/>
          <w:szCs w:val="22"/>
        </w:rPr>
        <w:t>49620592</w:t>
      </w:r>
      <w:r w:rsidR="00C13F2C" w:rsidRPr="00955DE6">
        <w:rPr>
          <w:rFonts w:ascii="Times New Roman" w:hAnsi="Times New Roman"/>
          <w:sz w:val="22"/>
          <w:szCs w:val="22"/>
        </w:rPr>
        <w:t xml:space="preserve">, </w:t>
      </w:r>
      <w:r w:rsidRPr="00955DE6">
        <w:rPr>
          <w:rFonts w:ascii="Times New Roman" w:hAnsi="Times New Roman"/>
          <w:sz w:val="22"/>
          <w:szCs w:val="22"/>
        </w:rPr>
        <w:t>DIČ:</w:t>
      </w:r>
      <w:r w:rsidR="00C13F2C" w:rsidRPr="00955DE6">
        <w:rPr>
          <w:rFonts w:ascii="Times New Roman" w:hAnsi="Times New Roman"/>
          <w:sz w:val="22"/>
          <w:szCs w:val="22"/>
        </w:rPr>
        <w:t xml:space="preserve"> </w:t>
      </w:r>
      <w:r w:rsidR="00117D33" w:rsidRPr="0090214E">
        <w:rPr>
          <w:rFonts w:ascii="Times New Roman" w:hAnsi="Times New Roman"/>
          <w:sz w:val="22"/>
          <w:szCs w:val="22"/>
        </w:rPr>
        <w:t>CZ49620592</w:t>
      </w:r>
    </w:p>
    <w:p w14:paraId="166AF521" w14:textId="36730DF6" w:rsidR="009E1961" w:rsidRDefault="009E1961" w:rsidP="009E1961">
      <w:pPr>
        <w:pStyle w:val="BodyText1"/>
        <w:spacing w:line="276" w:lineRule="auto"/>
        <w:rPr>
          <w:rFonts w:ascii="Times New Roman" w:hAnsi="Times New Roman"/>
          <w:sz w:val="22"/>
          <w:szCs w:val="22"/>
        </w:rPr>
      </w:pPr>
      <w:r w:rsidRPr="00955DE6">
        <w:rPr>
          <w:rFonts w:ascii="Times New Roman" w:hAnsi="Times New Roman"/>
          <w:sz w:val="22"/>
          <w:szCs w:val="22"/>
        </w:rPr>
        <w:t xml:space="preserve">bankovní spojení: </w:t>
      </w:r>
      <w:proofErr w:type="spellStart"/>
      <w:r w:rsidR="003C3CE3">
        <w:rPr>
          <w:rFonts w:ascii="Times New Roman" w:hAnsi="Times New Roman"/>
          <w:sz w:val="22"/>
          <w:szCs w:val="22"/>
        </w:rPr>
        <w:t>xxx</w:t>
      </w:r>
      <w:proofErr w:type="spellEnd"/>
    </w:p>
    <w:p w14:paraId="5F544E8D" w14:textId="3D3A4118" w:rsidR="00C13F2C" w:rsidRPr="00955DE6" w:rsidRDefault="009E1961" w:rsidP="009E1961">
      <w:pPr>
        <w:pStyle w:val="BodyText1"/>
        <w:spacing w:line="276" w:lineRule="auto"/>
        <w:rPr>
          <w:rFonts w:ascii="Times New Roman" w:hAnsi="Times New Roman"/>
          <w:sz w:val="22"/>
          <w:szCs w:val="22"/>
        </w:rPr>
      </w:pPr>
      <w:r w:rsidRPr="00F225C3">
        <w:rPr>
          <w:rFonts w:ascii="Times New Roman" w:hAnsi="Times New Roman"/>
          <w:sz w:val="22"/>
          <w:szCs w:val="22"/>
        </w:rPr>
        <w:t xml:space="preserve">číslo </w:t>
      </w:r>
      <w:proofErr w:type="spellStart"/>
      <w:r w:rsidR="003C3CE3">
        <w:rPr>
          <w:rFonts w:ascii="Times New Roman" w:hAnsi="Times New Roman"/>
          <w:sz w:val="22"/>
          <w:szCs w:val="22"/>
        </w:rPr>
        <w:t>xxx</w:t>
      </w:r>
      <w:proofErr w:type="spellEnd"/>
    </w:p>
    <w:p w14:paraId="4E339929" w14:textId="77777777" w:rsidR="00D66BC1" w:rsidRPr="00955DE6" w:rsidRDefault="00D66BC1" w:rsidP="00C13F2C">
      <w:pPr>
        <w:pStyle w:val="BodyText1"/>
        <w:spacing w:line="276" w:lineRule="auto"/>
        <w:rPr>
          <w:rFonts w:ascii="Times New Roman" w:hAnsi="Times New Roman"/>
          <w:sz w:val="22"/>
          <w:szCs w:val="22"/>
        </w:rPr>
      </w:pPr>
      <w:r w:rsidRPr="00955DE6">
        <w:rPr>
          <w:rFonts w:ascii="Times New Roman" w:hAnsi="Times New Roman"/>
          <w:sz w:val="22"/>
          <w:szCs w:val="22"/>
        </w:rPr>
        <w:t>(</w:t>
      </w:r>
      <w:r w:rsidR="00FC3FE5" w:rsidRPr="00955DE6">
        <w:rPr>
          <w:rFonts w:ascii="Times New Roman" w:hAnsi="Times New Roman"/>
          <w:sz w:val="22"/>
          <w:szCs w:val="22"/>
        </w:rPr>
        <w:t xml:space="preserve">dále jen </w:t>
      </w:r>
      <w:r w:rsidR="008A35F3" w:rsidRPr="00955DE6">
        <w:rPr>
          <w:rFonts w:ascii="Times New Roman" w:hAnsi="Times New Roman"/>
          <w:sz w:val="22"/>
          <w:szCs w:val="22"/>
        </w:rPr>
        <w:t>„</w:t>
      </w:r>
      <w:proofErr w:type="spellStart"/>
      <w:r w:rsidRPr="00955DE6">
        <w:rPr>
          <w:rFonts w:ascii="Times New Roman" w:hAnsi="Times New Roman"/>
          <w:b/>
          <w:sz w:val="22"/>
          <w:szCs w:val="22"/>
        </w:rPr>
        <w:t>Deloitte</w:t>
      </w:r>
      <w:proofErr w:type="spellEnd"/>
      <w:r w:rsidR="008A35F3" w:rsidRPr="00955DE6">
        <w:rPr>
          <w:rFonts w:ascii="Times New Roman" w:hAnsi="Times New Roman"/>
          <w:sz w:val="22"/>
          <w:szCs w:val="22"/>
        </w:rPr>
        <w:t>“</w:t>
      </w:r>
      <w:r w:rsidRPr="00955DE6">
        <w:rPr>
          <w:rFonts w:ascii="Times New Roman" w:hAnsi="Times New Roman"/>
          <w:sz w:val="22"/>
          <w:szCs w:val="22"/>
        </w:rPr>
        <w:t>)</w:t>
      </w:r>
    </w:p>
    <w:p w14:paraId="2C8793CF" w14:textId="77777777" w:rsidR="00D66BC1" w:rsidRPr="00955DE6" w:rsidRDefault="00D66BC1" w:rsidP="00D66BC1">
      <w:pPr>
        <w:pStyle w:val="BodyText1"/>
        <w:rPr>
          <w:rFonts w:ascii="Times New Roman" w:hAnsi="Times New Roman"/>
          <w:sz w:val="22"/>
          <w:szCs w:val="22"/>
        </w:rPr>
      </w:pPr>
    </w:p>
    <w:p w14:paraId="683E44D6" w14:textId="77777777" w:rsidR="00D66BC1" w:rsidRPr="00955DE6" w:rsidRDefault="00D66BC1" w:rsidP="00D66BC1">
      <w:pPr>
        <w:pStyle w:val="BodyText1"/>
        <w:rPr>
          <w:rFonts w:ascii="Times New Roman" w:hAnsi="Times New Roman"/>
          <w:sz w:val="22"/>
          <w:szCs w:val="22"/>
        </w:rPr>
      </w:pPr>
      <w:r w:rsidRPr="00955DE6">
        <w:rPr>
          <w:rFonts w:ascii="Times New Roman" w:hAnsi="Times New Roman"/>
          <w:sz w:val="22"/>
          <w:szCs w:val="22"/>
        </w:rPr>
        <w:t xml:space="preserve">a </w:t>
      </w:r>
    </w:p>
    <w:p w14:paraId="37E3C160" w14:textId="77777777" w:rsidR="00D66BC1" w:rsidRPr="00955DE6" w:rsidRDefault="00D66BC1" w:rsidP="00D66BC1">
      <w:pPr>
        <w:pStyle w:val="BodyText1"/>
        <w:rPr>
          <w:rFonts w:ascii="Times New Roman" w:hAnsi="Times New Roman"/>
          <w:sz w:val="22"/>
          <w:szCs w:val="22"/>
        </w:rPr>
      </w:pPr>
    </w:p>
    <w:p w14:paraId="377E4E7A" w14:textId="0A74EF0E" w:rsidR="00D66BC1" w:rsidRPr="00955DE6" w:rsidRDefault="00F663CD" w:rsidP="00D66BC1">
      <w:pPr>
        <w:pStyle w:val="BodyText1"/>
        <w:spacing w:line="276" w:lineRule="auto"/>
        <w:rPr>
          <w:rFonts w:ascii="Times New Roman" w:hAnsi="Times New Roman"/>
          <w:b/>
          <w:sz w:val="22"/>
          <w:szCs w:val="22"/>
        </w:rPr>
      </w:pPr>
      <w:bookmarkStart w:id="1" w:name="DNazev"/>
      <w:bookmarkEnd w:id="1"/>
      <w:r>
        <w:rPr>
          <w:rFonts w:ascii="Times New Roman" w:hAnsi="Times New Roman"/>
          <w:b/>
          <w:sz w:val="22"/>
          <w:szCs w:val="22"/>
        </w:rPr>
        <w:t>Západočesk</w:t>
      </w:r>
      <w:r w:rsidR="00445A43">
        <w:rPr>
          <w:rFonts w:ascii="Times New Roman" w:hAnsi="Times New Roman"/>
          <w:b/>
          <w:sz w:val="22"/>
          <w:szCs w:val="22"/>
        </w:rPr>
        <w:t>ou</w:t>
      </w:r>
      <w:r>
        <w:rPr>
          <w:rFonts w:ascii="Times New Roman" w:hAnsi="Times New Roman"/>
          <w:b/>
          <w:sz w:val="22"/>
          <w:szCs w:val="22"/>
        </w:rPr>
        <w:t xml:space="preserve"> univerzit</w:t>
      </w:r>
      <w:r w:rsidR="00445A43">
        <w:rPr>
          <w:rFonts w:ascii="Times New Roman" w:hAnsi="Times New Roman"/>
          <w:b/>
          <w:sz w:val="22"/>
          <w:szCs w:val="22"/>
        </w:rPr>
        <w:t>ou</w:t>
      </w:r>
      <w:r>
        <w:rPr>
          <w:rFonts w:ascii="Times New Roman" w:hAnsi="Times New Roman"/>
          <w:b/>
          <w:sz w:val="22"/>
          <w:szCs w:val="22"/>
        </w:rPr>
        <w:t xml:space="preserve"> v Plzni</w:t>
      </w:r>
    </w:p>
    <w:p w14:paraId="0395668E" w14:textId="48EBB47C" w:rsidR="00D66BC1" w:rsidRPr="00955DE6" w:rsidRDefault="008A35F3" w:rsidP="00D66BC1">
      <w:pPr>
        <w:pStyle w:val="BodyText1"/>
        <w:spacing w:line="276" w:lineRule="auto"/>
        <w:rPr>
          <w:rFonts w:ascii="Times New Roman" w:hAnsi="Times New Roman"/>
          <w:sz w:val="22"/>
          <w:szCs w:val="22"/>
        </w:rPr>
      </w:pPr>
      <w:r w:rsidRPr="00F663CD">
        <w:rPr>
          <w:rFonts w:ascii="Times New Roman" w:hAnsi="Times New Roman"/>
          <w:sz w:val="22"/>
          <w:szCs w:val="22"/>
        </w:rPr>
        <w:t>se sídlem</w:t>
      </w:r>
      <w:r w:rsidR="00D66BC1" w:rsidRPr="00F663CD">
        <w:rPr>
          <w:rFonts w:ascii="Times New Roman" w:hAnsi="Times New Roman"/>
          <w:sz w:val="22"/>
          <w:szCs w:val="22"/>
        </w:rPr>
        <w:t xml:space="preserve"> </w:t>
      </w:r>
      <w:bookmarkStart w:id="2" w:name="AdresaKl"/>
      <w:bookmarkEnd w:id="2"/>
      <w:r w:rsidR="00F663CD" w:rsidRPr="00F663CD">
        <w:rPr>
          <w:rFonts w:ascii="Times New Roman" w:hAnsi="Times New Roman"/>
          <w:sz w:val="22"/>
          <w:szCs w:val="22"/>
        </w:rPr>
        <w:t>Univerzitní 2732/8, Plzeň 3, Jižní Předměstí, 306 14, Česká republika,</w:t>
      </w:r>
    </w:p>
    <w:p w14:paraId="38D9F5C3" w14:textId="77777777" w:rsidR="001E7CC2" w:rsidRPr="00955DE6" w:rsidRDefault="001E7CC2" w:rsidP="00D66BC1">
      <w:pPr>
        <w:pStyle w:val="BodyText1"/>
        <w:spacing w:line="276" w:lineRule="auto"/>
        <w:rPr>
          <w:rFonts w:ascii="Times New Roman" w:hAnsi="Times New Roman"/>
          <w:sz w:val="22"/>
          <w:szCs w:val="22"/>
        </w:rPr>
      </w:pPr>
    </w:p>
    <w:p w14:paraId="1CB5FCC1" w14:textId="0078A21D" w:rsidR="00D66BC1" w:rsidRPr="00955DE6" w:rsidRDefault="008A35F3" w:rsidP="00DF10AD">
      <w:pPr>
        <w:pStyle w:val="BodyText1"/>
        <w:tabs>
          <w:tab w:val="left" w:pos="1701"/>
        </w:tabs>
        <w:spacing w:line="276" w:lineRule="auto"/>
        <w:rPr>
          <w:rFonts w:ascii="Times New Roman" w:hAnsi="Times New Roman"/>
          <w:sz w:val="22"/>
          <w:szCs w:val="22"/>
        </w:rPr>
      </w:pPr>
      <w:r w:rsidRPr="00955DE6">
        <w:rPr>
          <w:rFonts w:ascii="Times New Roman" w:hAnsi="Times New Roman"/>
          <w:sz w:val="22"/>
          <w:szCs w:val="22"/>
        </w:rPr>
        <w:t>zastoupenou</w:t>
      </w:r>
      <w:r w:rsidR="007935E9" w:rsidRPr="00955DE6">
        <w:rPr>
          <w:rFonts w:ascii="Times New Roman" w:hAnsi="Times New Roman"/>
          <w:sz w:val="22"/>
          <w:szCs w:val="22"/>
        </w:rPr>
        <w:t xml:space="preserve"> </w:t>
      </w:r>
      <w:r w:rsidR="00D56AA9">
        <w:rPr>
          <w:rFonts w:ascii="Times New Roman" w:hAnsi="Times New Roman"/>
          <w:sz w:val="22"/>
          <w:szCs w:val="22"/>
        </w:rPr>
        <w:t xml:space="preserve">kvestorem </w:t>
      </w:r>
      <w:r w:rsidR="00445A43">
        <w:rPr>
          <w:rFonts w:ascii="Times New Roman" w:hAnsi="Times New Roman"/>
          <w:sz w:val="22"/>
          <w:szCs w:val="22"/>
        </w:rPr>
        <w:t>I</w:t>
      </w:r>
      <w:r w:rsidR="00A9285C">
        <w:rPr>
          <w:rFonts w:ascii="Times New Roman" w:hAnsi="Times New Roman"/>
          <w:sz w:val="22"/>
          <w:szCs w:val="22"/>
        </w:rPr>
        <w:t xml:space="preserve">ng. Petrem </w:t>
      </w:r>
      <w:r w:rsidR="00D56AA9">
        <w:rPr>
          <w:rFonts w:ascii="Times New Roman" w:hAnsi="Times New Roman"/>
          <w:sz w:val="22"/>
          <w:szCs w:val="22"/>
        </w:rPr>
        <w:t>B</w:t>
      </w:r>
      <w:r w:rsidR="00A9285C">
        <w:rPr>
          <w:rFonts w:ascii="Times New Roman" w:hAnsi="Times New Roman"/>
          <w:sz w:val="22"/>
          <w:szCs w:val="22"/>
        </w:rPr>
        <w:t>enešem</w:t>
      </w:r>
    </w:p>
    <w:p w14:paraId="0CAE3376" w14:textId="77777777" w:rsidR="007935E9" w:rsidRPr="00955DE6" w:rsidRDefault="007935E9" w:rsidP="00D66BC1">
      <w:pPr>
        <w:pStyle w:val="BodyText1"/>
        <w:spacing w:line="276" w:lineRule="auto"/>
        <w:rPr>
          <w:rFonts w:ascii="Times New Roman" w:hAnsi="Times New Roman"/>
          <w:sz w:val="22"/>
          <w:szCs w:val="22"/>
        </w:rPr>
      </w:pPr>
    </w:p>
    <w:p w14:paraId="11F8E3F4" w14:textId="7D58F3C3" w:rsidR="00D66BC1" w:rsidRPr="00955DE6" w:rsidRDefault="008A35F3" w:rsidP="00D66BC1">
      <w:pPr>
        <w:pStyle w:val="BodyText1"/>
        <w:spacing w:line="276" w:lineRule="auto"/>
        <w:rPr>
          <w:rFonts w:ascii="Times New Roman" w:hAnsi="Times New Roman"/>
          <w:sz w:val="22"/>
          <w:szCs w:val="22"/>
        </w:rPr>
      </w:pPr>
      <w:r w:rsidRPr="00955DE6">
        <w:rPr>
          <w:rFonts w:ascii="Times New Roman" w:hAnsi="Times New Roman"/>
          <w:sz w:val="22"/>
          <w:szCs w:val="22"/>
        </w:rPr>
        <w:t>IČ</w:t>
      </w:r>
      <w:r w:rsidR="003B364C">
        <w:rPr>
          <w:rFonts w:ascii="Times New Roman" w:hAnsi="Times New Roman"/>
          <w:sz w:val="22"/>
          <w:szCs w:val="22"/>
        </w:rPr>
        <w:t>O</w:t>
      </w:r>
      <w:r w:rsidRPr="00955DE6">
        <w:rPr>
          <w:rFonts w:ascii="Times New Roman" w:hAnsi="Times New Roman"/>
          <w:sz w:val="22"/>
          <w:szCs w:val="22"/>
        </w:rPr>
        <w:t>:</w:t>
      </w:r>
      <w:r w:rsidR="00D66BC1" w:rsidRPr="00955DE6">
        <w:rPr>
          <w:rFonts w:ascii="Times New Roman" w:hAnsi="Times New Roman"/>
          <w:sz w:val="22"/>
          <w:szCs w:val="22"/>
        </w:rPr>
        <w:t xml:space="preserve"> </w:t>
      </w:r>
      <w:bookmarkStart w:id="3" w:name="ICO"/>
      <w:bookmarkEnd w:id="3"/>
      <w:r w:rsidR="00644D83" w:rsidRPr="0090214E">
        <w:rPr>
          <w:rFonts w:ascii="Times New Roman" w:hAnsi="Times New Roman"/>
          <w:sz w:val="22"/>
          <w:szCs w:val="22"/>
        </w:rPr>
        <w:t>49777513</w:t>
      </w:r>
      <w:r w:rsidRPr="00955DE6">
        <w:rPr>
          <w:rFonts w:ascii="Times New Roman" w:hAnsi="Times New Roman"/>
          <w:sz w:val="22"/>
          <w:szCs w:val="22"/>
        </w:rPr>
        <w:t xml:space="preserve">, DIČ: </w:t>
      </w:r>
      <w:r w:rsidR="00644D83">
        <w:rPr>
          <w:rFonts w:ascii="Times New Roman" w:hAnsi="Times New Roman"/>
          <w:sz w:val="22"/>
          <w:szCs w:val="22"/>
        </w:rPr>
        <w:t>CZ-</w:t>
      </w:r>
      <w:r w:rsidR="00644D83" w:rsidRPr="0090214E">
        <w:rPr>
          <w:rFonts w:ascii="Times New Roman" w:hAnsi="Times New Roman"/>
          <w:sz w:val="22"/>
          <w:szCs w:val="22"/>
        </w:rPr>
        <w:t>49777513</w:t>
      </w:r>
      <w:r w:rsidRPr="00955DE6">
        <w:rPr>
          <w:rFonts w:ascii="Times New Roman" w:hAnsi="Times New Roman"/>
          <w:sz w:val="22"/>
          <w:szCs w:val="22"/>
        </w:rPr>
        <w:t>]</w:t>
      </w:r>
    </w:p>
    <w:p w14:paraId="144DAFF4" w14:textId="76B5DC1E" w:rsidR="00D66BC1" w:rsidRPr="00955DE6" w:rsidRDefault="008A35F3" w:rsidP="00D66BC1">
      <w:pPr>
        <w:pStyle w:val="BodyText1"/>
        <w:spacing w:line="276" w:lineRule="auto"/>
        <w:rPr>
          <w:rFonts w:ascii="Times New Roman" w:hAnsi="Times New Roman"/>
          <w:sz w:val="22"/>
          <w:szCs w:val="22"/>
        </w:rPr>
      </w:pPr>
      <w:r w:rsidRPr="00955DE6">
        <w:rPr>
          <w:rFonts w:ascii="Times New Roman" w:hAnsi="Times New Roman"/>
          <w:sz w:val="22"/>
          <w:szCs w:val="22"/>
        </w:rPr>
        <w:t>bankovní spojení</w:t>
      </w:r>
      <w:r w:rsidR="00D66BC1" w:rsidRPr="00955DE6">
        <w:rPr>
          <w:rFonts w:ascii="Times New Roman" w:hAnsi="Times New Roman"/>
          <w:sz w:val="22"/>
          <w:szCs w:val="22"/>
        </w:rPr>
        <w:t xml:space="preserve">: </w:t>
      </w:r>
      <w:bookmarkStart w:id="4" w:name="BankSpoj"/>
      <w:bookmarkEnd w:id="4"/>
      <w:proofErr w:type="spellStart"/>
      <w:r w:rsidR="003C3CE3">
        <w:rPr>
          <w:rFonts w:ascii="Times New Roman" w:hAnsi="Times New Roman"/>
          <w:sz w:val="22"/>
          <w:szCs w:val="22"/>
        </w:rPr>
        <w:t>xxx</w:t>
      </w:r>
      <w:proofErr w:type="spellEnd"/>
    </w:p>
    <w:p w14:paraId="0363F2D8" w14:textId="77777777" w:rsidR="00D66BC1" w:rsidRPr="00955DE6" w:rsidRDefault="00D66BC1" w:rsidP="00D66BC1">
      <w:pPr>
        <w:pStyle w:val="BodyText1"/>
        <w:spacing w:line="276" w:lineRule="auto"/>
        <w:rPr>
          <w:rFonts w:ascii="Times New Roman" w:hAnsi="Times New Roman"/>
          <w:sz w:val="22"/>
          <w:szCs w:val="22"/>
        </w:rPr>
      </w:pPr>
      <w:r w:rsidRPr="00955DE6">
        <w:rPr>
          <w:rFonts w:ascii="Times New Roman" w:hAnsi="Times New Roman"/>
          <w:sz w:val="22"/>
          <w:szCs w:val="22"/>
        </w:rPr>
        <w:t>(</w:t>
      </w:r>
      <w:r w:rsidR="008A35F3" w:rsidRPr="00955DE6">
        <w:rPr>
          <w:rFonts w:ascii="Times New Roman" w:hAnsi="Times New Roman"/>
          <w:sz w:val="22"/>
          <w:szCs w:val="22"/>
        </w:rPr>
        <w:t xml:space="preserve">dále jen </w:t>
      </w:r>
      <w:bookmarkStart w:id="5" w:name="ZN1"/>
      <w:bookmarkEnd w:id="5"/>
      <w:r w:rsidR="008A35F3" w:rsidRPr="00955DE6">
        <w:rPr>
          <w:rFonts w:ascii="Times New Roman" w:hAnsi="Times New Roman"/>
          <w:sz w:val="22"/>
          <w:szCs w:val="22"/>
        </w:rPr>
        <w:t>„</w:t>
      </w:r>
      <w:r w:rsidR="008A35F3" w:rsidRPr="00955DE6">
        <w:rPr>
          <w:rFonts w:ascii="Times New Roman" w:hAnsi="Times New Roman"/>
          <w:b/>
          <w:sz w:val="22"/>
          <w:szCs w:val="22"/>
        </w:rPr>
        <w:t>Klient</w:t>
      </w:r>
      <w:r w:rsidR="008A35F3" w:rsidRPr="00955DE6">
        <w:rPr>
          <w:rFonts w:ascii="Times New Roman" w:hAnsi="Times New Roman"/>
          <w:sz w:val="22"/>
          <w:szCs w:val="22"/>
        </w:rPr>
        <w:t>“</w:t>
      </w:r>
      <w:r w:rsidRPr="00955DE6">
        <w:rPr>
          <w:rFonts w:ascii="Times New Roman" w:hAnsi="Times New Roman"/>
          <w:sz w:val="22"/>
          <w:szCs w:val="22"/>
        </w:rPr>
        <w:t>)</w:t>
      </w:r>
    </w:p>
    <w:p w14:paraId="2C67FBB9" w14:textId="77777777" w:rsidR="00382B96" w:rsidRPr="00955DE6" w:rsidRDefault="00382B96" w:rsidP="00D66BC1">
      <w:pPr>
        <w:pStyle w:val="BodyText1"/>
        <w:rPr>
          <w:rFonts w:ascii="Times New Roman" w:hAnsi="Times New Roman"/>
          <w:sz w:val="22"/>
          <w:szCs w:val="22"/>
        </w:rPr>
      </w:pPr>
    </w:p>
    <w:p w14:paraId="2C30A4FA" w14:textId="77777777" w:rsidR="00D66BC1" w:rsidRPr="00955DE6" w:rsidRDefault="008A35F3" w:rsidP="00D66BC1">
      <w:pPr>
        <w:pStyle w:val="BodyText1"/>
        <w:rPr>
          <w:rFonts w:ascii="Times New Roman" w:hAnsi="Times New Roman"/>
          <w:sz w:val="22"/>
          <w:szCs w:val="22"/>
        </w:rPr>
      </w:pPr>
      <w:r w:rsidRPr="00955DE6">
        <w:rPr>
          <w:rFonts w:ascii="Times New Roman" w:hAnsi="Times New Roman"/>
          <w:sz w:val="22"/>
          <w:szCs w:val="22"/>
        </w:rPr>
        <w:t xml:space="preserve">Na </w:t>
      </w:r>
      <w:proofErr w:type="spellStart"/>
      <w:r w:rsidR="00D66BC1" w:rsidRPr="00955DE6">
        <w:rPr>
          <w:rFonts w:ascii="Times New Roman" w:hAnsi="Times New Roman"/>
          <w:sz w:val="22"/>
          <w:szCs w:val="22"/>
        </w:rPr>
        <w:t>Deloitte</w:t>
      </w:r>
      <w:proofErr w:type="spellEnd"/>
      <w:r w:rsidR="00D66BC1" w:rsidRPr="00955DE6">
        <w:rPr>
          <w:rFonts w:ascii="Times New Roman" w:hAnsi="Times New Roman"/>
          <w:sz w:val="22"/>
          <w:szCs w:val="22"/>
        </w:rPr>
        <w:t xml:space="preserve"> a</w:t>
      </w:r>
      <w:r w:rsidRPr="00955DE6">
        <w:rPr>
          <w:rFonts w:ascii="Times New Roman" w:hAnsi="Times New Roman"/>
          <w:sz w:val="22"/>
          <w:szCs w:val="22"/>
        </w:rPr>
        <w:t xml:space="preserve"> Klienta je dále odkazováno jednotlivě jako na „</w:t>
      </w:r>
      <w:r w:rsidR="00BA6965">
        <w:rPr>
          <w:rFonts w:ascii="Times New Roman" w:hAnsi="Times New Roman"/>
          <w:sz w:val="22"/>
          <w:szCs w:val="22"/>
        </w:rPr>
        <w:t xml:space="preserve">smluvní </w:t>
      </w:r>
      <w:r w:rsidR="006034BC">
        <w:rPr>
          <w:rFonts w:ascii="Times New Roman" w:hAnsi="Times New Roman"/>
          <w:sz w:val="22"/>
          <w:szCs w:val="22"/>
        </w:rPr>
        <w:t>s</w:t>
      </w:r>
      <w:r w:rsidRPr="00955DE6">
        <w:rPr>
          <w:rFonts w:ascii="Times New Roman" w:hAnsi="Times New Roman"/>
          <w:sz w:val="22"/>
          <w:szCs w:val="22"/>
        </w:rPr>
        <w:t>tranu“, případně dohromady jako na „</w:t>
      </w:r>
      <w:r w:rsidR="00BA6965">
        <w:rPr>
          <w:rFonts w:ascii="Times New Roman" w:hAnsi="Times New Roman"/>
          <w:sz w:val="22"/>
          <w:szCs w:val="22"/>
        </w:rPr>
        <w:t xml:space="preserve">smluvní </w:t>
      </w:r>
      <w:r w:rsidR="006034BC">
        <w:rPr>
          <w:rFonts w:ascii="Times New Roman" w:hAnsi="Times New Roman"/>
          <w:sz w:val="22"/>
          <w:szCs w:val="22"/>
        </w:rPr>
        <w:t>s</w:t>
      </w:r>
      <w:r w:rsidRPr="00955DE6">
        <w:rPr>
          <w:rFonts w:ascii="Times New Roman" w:hAnsi="Times New Roman"/>
          <w:sz w:val="22"/>
          <w:szCs w:val="22"/>
        </w:rPr>
        <w:t xml:space="preserve">trany“.  </w:t>
      </w:r>
    </w:p>
    <w:p w14:paraId="6135CA35" w14:textId="77777777" w:rsidR="00F943BA" w:rsidRPr="00955DE6" w:rsidRDefault="00F943BA" w:rsidP="00F943BA">
      <w:pPr>
        <w:rPr>
          <w:rFonts w:ascii="Times New Roman" w:hAnsi="Times New Roman"/>
          <w:sz w:val="22"/>
          <w:szCs w:val="22"/>
        </w:rPr>
      </w:pPr>
    </w:p>
    <w:p w14:paraId="679B46B7" w14:textId="77777777" w:rsidR="00F943BA" w:rsidRPr="00955DE6" w:rsidRDefault="00F943BA" w:rsidP="00F943BA">
      <w:pPr>
        <w:rPr>
          <w:rFonts w:ascii="Times New Roman" w:hAnsi="Times New Roman"/>
          <w:sz w:val="22"/>
          <w:szCs w:val="22"/>
        </w:rPr>
        <w:sectPr w:rsidR="00F943BA" w:rsidRPr="00955DE6" w:rsidSect="000860F0">
          <w:headerReference w:type="even" r:id="rId9"/>
          <w:headerReference w:type="default" r:id="rId10"/>
          <w:footerReference w:type="even" r:id="rId11"/>
          <w:footerReference w:type="default" r:id="rId12"/>
          <w:headerReference w:type="first" r:id="rId13"/>
          <w:type w:val="continuous"/>
          <w:pgSz w:w="11907" w:h="16840" w:code="9"/>
          <w:pgMar w:top="1134" w:right="1134" w:bottom="1418" w:left="1418" w:header="567" w:footer="851" w:gutter="0"/>
          <w:cols w:space="708"/>
          <w:docGrid w:linePitch="245"/>
        </w:sectPr>
      </w:pPr>
    </w:p>
    <w:p w14:paraId="4AF4D729" w14:textId="22580977" w:rsidR="008A35F3" w:rsidRPr="00955DE6" w:rsidRDefault="008A35F3" w:rsidP="00D66BC1">
      <w:pPr>
        <w:pStyle w:val="BodyText1"/>
        <w:rPr>
          <w:rFonts w:ascii="Times New Roman" w:hAnsi="Times New Roman"/>
          <w:sz w:val="22"/>
          <w:szCs w:val="22"/>
        </w:rPr>
      </w:pPr>
      <w:r w:rsidRPr="00955DE6">
        <w:rPr>
          <w:rFonts w:ascii="Times New Roman" w:hAnsi="Times New Roman"/>
          <w:sz w:val="22"/>
          <w:szCs w:val="22"/>
        </w:rPr>
        <w:lastRenderedPageBreak/>
        <w:t xml:space="preserve">Obě </w:t>
      </w:r>
      <w:r w:rsidR="00BA6965">
        <w:rPr>
          <w:rFonts w:ascii="Times New Roman" w:hAnsi="Times New Roman"/>
          <w:sz w:val="22"/>
          <w:szCs w:val="22"/>
        </w:rPr>
        <w:t xml:space="preserve">smluvní </w:t>
      </w:r>
      <w:r w:rsidRPr="00955DE6">
        <w:rPr>
          <w:rFonts w:ascii="Times New Roman" w:hAnsi="Times New Roman"/>
          <w:sz w:val="22"/>
          <w:szCs w:val="22"/>
        </w:rPr>
        <w:t>strany se dohodly, že budou vázány následujícím zněním této Smlouvy o poskytování služeb, která je definována v </w:t>
      </w:r>
      <w:r w:rsidR="00D87654">
        <w:rPr>
          <w:rFonts w:ascii="Times New Roman" w:hAnsi="Times New Roman"/>
          <w:sz w:val="22"/>
          <w:szCs w:val="22"/>
        </w:rPr>
        <w:t>O</w:t>
      </w:r>
      <w:r w:rsidRPr="00955DE6">
        <w:rPr>
          <w:rFonts w:ascii="Times New Roman" w:hAnsi="Times New Roman"/>
          <w:sz w:val="22"/>
          <w:szCs w:val="22"/>
        </w:rPr>
        <w:t xml:space="preserve">bchodních podmínkách jako </w:t>
      </w:r>
      <w:r w:rsidR="00D87654">
        <w:rPr>
          <w:rFonts w:ascii="Times New Roman" w:hAnsi="Times New Roman"/>
          <w:sz w:val="22"/>
          <w:szCs w:val="22"/>
        </w:rPr>
        <w:t>S</w:t>
      </w:r>
      <w:r w:rsidRPr="00955DE6">
        <w:rPr>
          <w:rFonts w:ascii="Times New Roman" w:hAnsi="Times New Roman"/>
          <w:sz w:val="22"/>
          <w:szCs w:val="22"/>
        </w:rPr>
        <w:t>mluvní dopis (dále jen „</w:t>
      </w:r>
      <w:r w:rsidRPr="00955DE6">
        <w:rPr>
          <w:rFonts w:ascii="Times New Roman" w:hAnsi="Times New Roman"/>
          <w:b/>
          <w:sz w:val="22"/>
          <w:szCs w:val="22"/>
        </w:rPr>
        <w:t>Smluvní dopis</w:t>
      </w:r>
      <w:r w:rsidRPr="00955DE6">
        <w:rPr>
          <w:rFonts w:ascii="Times New Roman" w:hAnsi="Times New Roman"/>
          <w:sz w:val="22"/>
          <w:szCs w:val="22"/>
        </w:rPr>
        <w:t>“)</w:t>
      </w:r>
      <w:r w:rsidR="00D87654">
        <w:rPr>
          <w:rFonts w:ascii="Times New Roman" w:hAnsi="Times New Roman"/>
          <w:sz w:val="22"/>
          <w:szCs w:val="22"/>
        </w:rPr>
        <w:t xml:space="preserve">. </w:t>
      </w:r>
      <w:r w:rsidRPr="00955DE6">
        <w:rPr>
          <w:rFonts w:ascii="Times New Roman" w:hAnsi="Times New Roman"/>
          <w:sz w:val="22"/>
          <w:szCs w:val="22"/>
        </w:rPr>
        <w:t xml:space="preserve"> </w:t>
      </w:r>
    </w:p>
    <w:p w14:paraId="2DEF2353" w14:textId="77777777" w:rsidR="00600E74" w:rsidRPr="00955DE6" w:rsidRDefault="00600E74" w:rsidP="00600E74">
      <w:pPr>
        <w:pStyle w:val="BodyText1"/>
        <w:rPr>
          <w:rFonts w:ascii="Times New Roman" w:hAnsi="Times New Roman"/>
          <w:sz w:val="22"/>
          <w:szCs w:val="22"/>
        </w:rPr>
      </w:pPr>
    </w:p>
    <w:p w14:paraId="4A2B026A" w14:textId="77777777" w:rsidR="00F943BA" w:rsidRPr="00955DE6" w:rsidRDefault="008A35F3" w:rsidP="008A35F3">
      <w:pPr>
        <w:pStyle w:val="smlouvaheading1"/>
      </w:pPr>
      <w:r w:rsidRPr="00955DE6">
        <w:rPr>
          <w:rFonts w:ascii="Times New Roman" w:hAnsi="Times New Roman"/>
          <w:sz w:val="22"/>
          <w:szCs w:val="22"/>
        </w:rPr>
        <w:t>Úvodní ustanovení</w:t>
      </w:r>
      <w:r w:rsidRPr="00955DE6">
        <w:t xml:space="preserve"> </w:t>
      </w:r>
    </w:p>
    <w:p w14:paraId="6F087F7C" w14:textId="2CA8EE1B" w:rsidR="00F943BA" w:rsidRPr="00955DE6" w:rsidRDefault="008A35F3" w:rsidP="00F339A0">
      <w:pPr>
        <w:pStyle w:val="smlouvaheading2"/>
        <w:rPr>
          <w:rFonts w:ascii="Times New Roman" w:hAnsi="Times New Roman"/>
          <w:sz w:val="22"/>
        </w:rPr>
      </w:pPr>
      <w:r w:rsidRPr="00955DE6">
        <w:rPr>
          <w:rFonts w:ascii="Times New Roman" w:hAnsi="Times New Roman"/>
          <w:sz w:val="22"/>
        </w:rPr>
        <w:t xml:space="preserve">Účelem tohoto Smluvního dopisu je stanovit podmínky a pravidla </w:t>
      </w:r>
      <w:r w:rsidR="00D87654">
        <w:rPr>
          <w:rFonts w:ascii="Times New Roman" w:hAnsi="Times New Roman"/>
          <w:sz w:val="22"/>
        </w:rPr>
        <w:t xml:space="preserve">pro </w:t>
      </w:r>
      <w:r w:rsidRPr="00955DE6">
        <w:rPr>
          <w:rFonts w:ascii="Times New Roman" w:hAnsi="Times New Roman"/>
          <w:sz w:val="22"/>
        </w:rPr>
        <w:t>poskyt</w:t>
      </w:r>
      <w:r w:rsidR="001E2F87" w:rsidRPr="00955DE6">
        <w:rPr>
          <w:rFonts w:ascii="Times New Roman" w:hAnsi="Times New Roman"/>
          <w:sz w:val="22"/>
        </w:rPr>
        <w:t>o</w:t>
      </w:r>
      <w:r w:rsidRPr="00955DE6">
        <w:rPr>
          <w:rFonts w:ascii="Times New Roman" w:hAnsi="Times New Roman"/>
          <w:sz w:val="22"/>
        </w:rPr>
        <w:t xml:space="preserve">vání </w:t>
      </w:r>
      <w:r w:rsidR="00D87654">
        <w:rPr>
          <w:rFonts w:ascii="Times New Roman" w:hAnsi="Times New Roman"/>
          <w:sz w:val="22"/>
        </w:rPr>
        <w:t>odborných</w:t>
      </w:r>
      <w:r w:rsidRPr="00955DE6">
        <w:rPr>
          <w:rFonts w:ascii="Times New Roman" w:hAnsi="Times New Roman"/>
          <w:sz w:val="22"/>
        </w:rPr>
        <w:t xml:space="preserve"> služeb </w:t>
      </w:r>
      <w:r w:rsidR="00D87654" w:rsidRPr="00955DE6">
        <w:rPr>
          <w:rFonts w:ascii="Times New Roman" w:hAnsi="Times New Roman"/>
          <w:sz w:val="22"/>
        </w:rPr>
        <w:t>(dále jen „</w:t>
      </w:r>
      <w:r w:rsidR="00D87654" w:rsidRPr="00955DE6">
        <w:rPr>
          <w:rFonts w:ascii="Times New Roman" w:hAnsi="Times New Roman"/>
          <w:b/>
          <w:sz w:val="22"/>
        </w:rPr>
        <w:t>Služby</w:t>
      </w:r>
      <w:r w:rsidR="00D87654" w:rsidRPr="00955DE6">
        <w:rPr>
          <w:rFonts w:ascii="Times New Roman" w:hAnsi="Times New Roman"/>
          <w:sz w:val="22"/>
        </w:rPr>
        <w:t xml:space="preserve">“) </w:t>
      </w:r>
      <w:r w:rsidR="00D87654">
        <w:rPr>
          <w:rFonts w:ascii="Times New Roman" w:hAnsi="Times New Roman"/>
          <w:sz w:val="22"/>
        </w:rPr>
        <w:t>společností</w:t>
      </w:r>
      <w:r w:rsidR="001E2F87" w:rsidRPr="00955DE6">
        <w:rPr>
          <w:rFonts w:ascii="Times New Roman" w:hAnsi="Times New Roman"/>
          <w:sz w:val="22"/>
        </w:rPr>
        <w:t xml:space="preserve"> </w:t>
      </w:r>
      <w:proofErr w:type="spellStart"/>
      <w:r w:rsidR="00F943BA" w:rsidRPr="00955DE6">
        <w:rPr>
          <w:rFonts w:ascii="Times New Roman" w:hAnsi="Times New Roman"/>
          <w:sz w:val="22"/>
        </w:rPr>
        <w:t>Deloitte</w:t>
      </w:r>
      <w:proofErr w:type="spellEnd"/>
      <w:r w:rsidR="00F943BA" w:rsidRPr="00955DE6">
        <w:rPr>
          <w:rFonts w:ascii="Times New Roman" w:hAnsi="Times New Roman"/>
          <w:sz w:val="22"/>
        </w:rPr>
        <w:t xml:space="preserve"> </w:t>
      </w:r>
      <w:r w:rsidR="001E2F87" w:rsidRPr="00955DE6">
        <w:rPr>
          <w:rFonts w:ascii="Times New Roman" w:hAnsi="Times New Roman"/>
          <w:sz w:val="22"/>
        </w:rPr>
        <w:t>Klient</w:t>
      </w:r>
      <w:r w:rsidR="00D87654">
        <w:rPr>
          <w:rFonts w:ascii="Times New Roman" w:hAnsi="Times New Roman"/>
          <w:sz w:val="22"/>
        </w:rPr>
        <w:t>ovi</w:t>
      </w:r>
      <w:r w:rsidR="001E2F87" w:rsidRPr="00955DE6">
        <w:rPr>
          <w:rFonts w:ascii="Times New Roman" w:hAnsi="Times New Roman"/>
          <w:sz w:val="22"/>
        </w:rPr>
        <w:t xml:space="preserve">. </w:t>
      </w:r>
    </w:p>
    <w:p w14:paraId="340FB63A" w14:textId="77777777" w:rsidR="001E2F87" w:rsidRPr="00955DE6" w:rsidRDefault="001E2F87" w:rsidP="00F339A0">
      <w:pPr>
        <w:pStyle w:val="smlouvaheading2"/>
        <w:rPr>
          <w:rFonts w:ascii="Times New Roman" w:hAnsi="Times New Roman"/>
          <w:sz w:val="22"/>
        </w:rPr>
      </w:pPr>
      <w:r w:rsidRPr="00955DE6">
        <w:rPr>
          <w:rFonts w:ascii="Times New Roman" w:hAnsi="Times New Roman"/>
          <w:sz w:val="22"/>
        </w:rPr>
        <w:t xml:space="preserve">Služby budou poskytovány v souladu s tímto Smluvním dopisem, jeho přílohami, včetně </w:t>
      </w:r>
      <w:r w:rsidR="00482CD8">
        <w:rPr>
          <w:rFonts w:ascii="Times New Roman" w:hAnsi="Times New Roman"/>
          <w:sz w:val="22"/>
        </w:rPr>
        <w:t>P</w:t>
      </w:r>
      <w:r w:rsidRPr="00955DE6">
        <w:rPr>
          <w:rFonts w:ascii="Times New Roman" w:hAnsi="Times New Roman"/>
          <w:sz w:val="22"/>
        </w:rPr>
        <w:t xml:space="preserve">řílohy č. 3 Obchodní podmínky </w:t>
      </w:r>
      <w:proofErr w:type="spellStart"/>
      <w:r w:rsidR="00750A85" w:rsidRPr="00955DE6">
        <w:rPr>
          <w:rFonts w:ascii="Times New Roman" w:hAnsi="Times New Roman"/>
          <w:sz w:val="22"/>
        </w:rPr>
        <w:t>Deloitte</w:t>
      </w:r>
      <w:proofErr w:type="spellEnd"/>
      <w:r w:rsidR="00750A85" w:rsidRPr="00955DE6">
        <w:rPr>
          <w:rFonts w:ascii="Times New Roman" w:hAnsi="Times New Roman"/>
          <w:sz w:val="22"/>
        </w:rPr>
        <w:t xml:space="preserve"> CE (dále jen „</w:t>
      </w:r>
      <w:r w:rsidR="00750A85" w:rsidRPr="00955DE6">
        <w:rPr>
          <w:rFonts w:ascii="Times New Roman" w:hAnsi="Times New Roman"/>
          <w:b/>
          <w:sz w:val="22"/>
        </w:rPr>
        <w:t>Obchodní podmínky</w:t>
      </w:r>
      <w:r w:rsidR="00750A85" w:rsidRPr="00955DE6">
        <w:rPr>
          <w:rFonts w:ascii="Times New Roman" w:hAnsi="Times New Roman"/>
          <w:sz w:val="22"/>
        </w:rPr>
        <w:t>“)</w:t>
      </w:r>
      <w:r w:rsidR="00750A85">
        <w:rPr>
          <w:rFonts w:ascii="Times New Roman" w:hAnsi="Times New Roman"/>
          <w:sz w:val="22"/>
        </w:rPr>
        <w:t xml:space="preserve">, </w:t>
      </w:r>
      <w:r w:rsidRPr="00955DE6">
        <w:rPr>
          <w:rFonts w:ascii="Times New Roman" w:hAnsi="Times New Roman"/>
          <w:sz w:val="22"/>
        </w:rPr>
        <w:t xml:space="preserve">přičemž všechny přílohy tvoří nedílnou součást Smluvního dopisu. </w:t>
      </w:r>
    </w:p>
    <w:p w14:paraId="59CEA46A" w14:textId="77777777" w:rsidR="00F943BA" w:rsidRPr="00955DE6" w:rsidRDefault="001E2F87" w:rsidP="00F339A0">
      <w:pPr>
        <w:pStyle w:val="smlouvaheading2"/>
        <w:rPr>
          <w:rFonts w:ascii="Times New Roman" w:hAnsi="Times New Roman"/>
          <w:sz w:val="22"/>
        </w:rPr>
      </w:pPr>
      <w:r w:rsidRPr="00955DE6">
        <w:rPr>
          <w:rFonts w:ascii="Times New Roman" w:hAnsi="Times New Roman"/>
          <w:sz w:val="22"/>
        </w:rPr>
        <w:t>Rozsah Služeb je podrobněji vymezen v </w:t>
      </w:r>
      <w:r w:rsidR="00D87654">
        <w:rPr>
          <w:rFonts w:ascii="Times New Roman" w:hAnsi="Times New Roman"/>
          <w:sz w:val="22"/>
        </w:rPr>
        <w:t>P</w:t>
      </w:r>
      <w:r w:rsidRPr="00955DE6">
        <w:rPr>
          <w:rFonts w:ascii="Times New Roman" w:hAnsi="Times New Roman"/>
          <w:sz w:val="22"/>
        </w:rPr>
        <w:t xml:space="preserve">říloze č. 1 tohoto Smluvního dopisu. </w:t>
      </w:r>
    </w:p>
    <w:p w14:paraId="67864C13" w14:textId="77777777" w:rsidR="001E7CC2" w:rsidRPr="00955DE6" w:rsidRDefault="001E2F87" w:rsidP="001E7CC2">
      <w:pPr>
        <w:pStyle w:val="smlouvaheading2"/>
        <w:rPr>
          <w:rFonts w:ascii="Times New Roman" w:hAnsi="Times New Roman"/>
          <w:sz w:val="22"/>
        </w:rPr>
      </w:pPr>
      <w:r w:rsidRPr="00955DE6">
        <w:rPr>
          <w:rFonts w:ascii="Times New Roman" w:hAnsi="Times New Roman"/>
          <w:sz w:val="22"/>
        </w:rPr>
        <w:t>Smluvní dopis včetně příloh je podle tohoto Smluvního dopisu označován jako „</w:t>
      </w:r>
      <w:r w:rsidRPr="00955DE6">
        <w:rPr>
          <w:rFonts w:ascii="Times New Roman" w:hAnsi="Times New Roman"/>
          <w:b/>
          <w:sz w:val="22"/>
        </w:rPr>
        <w:t>Smlouva</w:t>
      </w:r>
      <w:r w:rsidRPr="00955DE6">
        <w:rPr>
          <w:rFonts w:ascii="Times New Roman" w:hAnsi="Times New Roman"/>
          <w:sz w:val="22"/>
        </w:rPr>
        <w:t xml:space="preserve">“. </w:t>
      </w:r>
      <w:r w:rsidR="00622950">
        <w:rPr>
          <w:rFonts w:ascii="Times New Roman" w:hAnsi="Times New Roman"/>
          <w:sz w:val="22"/>
        </w:rPr>
        <w:t>Termíny</w:t>
      </w:r>
      <w:r w:rsidRPr="00955DE6">
        <w:rPr>
          <w:rFonts w:ascii="Times New Roman" w:hAnsi="Times New Roman"/>
          <w:sz w:val="22"/>
        </w:rPr>
        <w:t xml:space="preserve"> nedefinované v tomto Smluvním dopise mají význam specifikovaný v Obchodních podmínkách. V případě rozporu mezi tímto Smluvním d</w:t>
      </w:r>
      <w:r w:rsidR="00D87654">
        <w:rPr>
          <w:rFonts w:ascii="Times New Roman" w:hAnsi="Times New Roman"/>
          <w:sz w:val="22"/>
        </w:rPr>
        <w:t>o</w:t>
      </w:r>
      <w:r w:rsidRPr="00955DE6">
        <w:rPr>
          <w:rFonts w:ascii="Times New Roman" w:hAnsi="Times New Roman"/>
          <w:sz w:val="22"/>
        </w:rPr>
        <w:t xml:space="preserve">pisem a jeho přílohami mají Smluvní dopis a </w:t>
      </w:r>
      <w:r w:rsidR="00D87654">
        <w:rPr>
          <w:rFonts w:ascii="Times New Roman" w:hAnsi="Times New Roman"/>
          <w:sz w:val="22"/>
        </w:rPr>
        <w:t>P</w:t>
      </w:r>
      <w:r w:rsidRPr="00955DE6">
        <w:rPr>
          <w:rFonts w:ascii="Times New Roman" w:hAnsi="Times New Roman"/>
          <w:sz w:val="22"/>
        </w:rPr>
        <w:t xml:space="preserve">řílohy č. 1 a 2 v příslušném rozsahu přednost před Obchodními podmínkami. </w:t>
      </w:r>
    </w:p>
    <w:p w14:paraId="26215F61" w14:textId="77777777" w:rsidR="00600E74" w:rsidRPr="00955DE6" w:rsidRDefault="00C13F2C" w:rsidP="00C13F2C">
      <w:pPr>
        <w:pStyle w:val="BodyText1"/>
        <w:tabs>
          <w:tab w:val="left" w:pos="6629"/>
        </w:tabs>
        <w:rPr>
          <w:rFonts w:ascii="Times New Roman" w:hAnsi="Times New Roman"/>
          <w:sz w:val="22"/>
          <w:szCs w:val="22"/>
        </w:rPr>
      </w:pPr>
      <w:r w:rsidRPr="00955DE6">
        <w:rPr>
          <w:rFonts w:ascii="Times New Roman" w:hAnsi="Times New Roman"/>
          <w:sz w:val="22"/>
          <w:szCs w:val="22"/>
        </w:rPr>
        <w:tab/>
      </w:r>
    </w:p>
    <w:p w14:paraId="6954C3FC" w14:textId="77777777" w:rsidR="00F943BA" w:rsidRPr="00955DE6" w:rsidRDefault="001E2F87" w:rsidP="00F339A0">
      <w:pPr>
        <w:pStyle w:val="smlouvaheading1"/>
        <w:rPr>
          <w:rFonts w:ascii="Times New Roman" w:hAnsi="Times New Roman"/>
          <w:sz w:val="22"/>
          <w:szCs w:val="22"/>
        </w:rPr>
      </w:pPr>
      <w:r w:rsidRPr="00955DE6">
        <w:rPr>
          <w:rFonts w:ascii="Times New Roman" w:hAnsi="Times New Roman"/>
          <w:sz w:val="22"/>
          <w:szCs w:val="22"/>
        </w:rPr>
        <w:t xml:space="preserve">Předmět Smlouvy </w:t>
      </w:r>
    </w:p>
    <w:p w14:paraId="73EF79C7" w14:textId="77777777" w:rsidR="001E2F87" w:rsidRPr="00955DE6" w:rsidRDefault="001E2F87" w:rsidP="00F339A0">
      <w:pPr>
        <w:pStyle w:val="smlouvaheading2"/>
        <w:rPr>
          <w:rFonts w:ascii="Times New Roman" w:hAnsi="Times New Roman"/>
          <w:sz w:val="22"/>
        </w:rPr>
      </w:pPr>
      <w:r w:rsidRPr="00955DE6">
        <w:rPr>
          <w:rFonts w:ascii="Times New Roman" w:hAnsi="Times New Roman"/>
          <w:sz w:val="22"/>
        </w:rPr>
        <w:t xml:space="preserve">Předmětem této Smlouvy je závazek </w:t>
      </w:r>
      <w:proofErr w:type="spellStart"/>
      <w:r w:rsidRPr="00955DE6">
        <w:rPr>
          <w:rFonts w:ascii="Times New Roman" w:hAnsi="Times New Roman"/>
          <w:sz w:val="22"/>
        </w:rPr>
        <w:t>Deloitte</w:t>
      </w:r>
      <w:proofErr w:type="spellEnd"/>
      <w:r w:rsidRPr="00955DE6">
        <w:rPr>
          <w:rFonts w:ascii="Times New Roman" w:hAnsi="Times New Roman"/>
          <w:sz w:val="22"/>
        </w:rPr>
        <w:t xml:space="preserve"> poskytovat Služby, jak jsou specifikovány výše, jejichž rozsah je vymezen v </w:t>
      </w:r>
      <w:r w:rsidR="00D87654">
        <w:rPr>
          <w:rFonts w:ascii="Times New Roman" w:hAnsi="Times New Roman"/>
          <w:sz w:val="22"/>
        </w:rPr>
        <w:t>P</w:t>
      </w:r>
      <w:r w:rsidRPr="00955DE6">
        <w:rPr>
          <w:rFonts w:ascii="Times New Roman" w:hAnsi="Times New Roman"/>
          <w:sz w:val="22"/>
        </w:rPr>
        <w:t xml:space="preserve">říloze č. 1, která je nedílnou součástí této Smlouvy, a tomu odpovídající závazek Klienta uhradit za tyto Služby odměnu </w:t>
      </w:r>
      <w:r w:rsidR="00E37160" w:rsidRPr="00955DE6">
        <w:rPr>
          <w:rFonts w:ascii="Times New Roman" w:hAnsi="Times New Roman"/>
          <w:sz w:val="22"/>
        </w:rPr>
        <w:t xml:space="preserve">způsobem v této Smlouvě dále stanoveným. </w:t>
      </w:r>
    </w:p>
    <w:p w14:paraId="4F9BCA52" w14:textId="77777777" w:rsidR="003D2CE7" w:rsidRPr="003D2CE7" w:rsidRDefault="003D2CE7" w:rsidP="003D2CE7">
      <w:pPr>
        <w:pStyle w:val="BodyText1"/>
      </w:pPr>
    </w:p>
    <w:p w14:paraId="4814BFE7" w14:textId="77777777" w:rsidR="00F943BA" w:rsidRDefault="00C560D5" w:rsidP="00F339A0">
      <w:pPr>
        <w:pStyle w:val="smlouvaheading2"/>
        <w:rPr>
          <w:rFonts w:ascii="Times New Roman" w:hAnsi="Times New Roman"/>
          <w:sz w:val="22"/>
        </w:rPr>
      </w:pPr>
      <w:r w:rsidRPr="00955DE6">
        <w:rPr>
          <w:rFonts w:ascii="Times New Roman" w:hAnsi="Times New Roman"/>
          <w:sz w:val="22"/>
        </w:rPr>
        <w:t xml:space="preserve">Dohodnou-li se Klient a </w:t>
      </w:r>
      <w:proofErr w:type="spellStart"/>
      <w:r w:rsidRPr="00955DE6">
        <w:rPr>
          <w:rFonts w:ascii="Times New Roman" w:hAnsi="Times New Roman"/>
          <w:sz w:val="22"/>
        </w:rPr>
        <w:t>Deloitte</w:t>
      </w:r>
      <w:proofErr w:type="spellEnd"/>
      <w:r w:rsidRPr="00955DE6">
        <w:rPr>
          <w:rFonts w:ascii="Times New Roman" w:hAnsi="Times New Roman"/>
          <w:sz w:val="22"/>
        </w:rPr>
        <w:t xml:space="preserve"> na dalších službách</w:t>
      </w:r>
      <w:r w:rsidR="00486DBC" w:rsidRPr="00486DBC">
        <w:rPr>
          <w:rFonts w:ascii="Times New Roman" w:hAnsi="Times New Roman"/>
          <w:sz w:val="22"/>
        </w:rPr>
        <w:t xml:space="preserve"> </w:t>
      </w:r>
      <w:r w:rsidR="00486DBC" w:rsidRPr="00955DE6">
        <w:rPr>
          <w:rFonts w:ascii="Times New Roman" w:hAnsi="Times New Roman"/>
          <w:sz w:val="22"/>
        </w:rPr>
        <w:t>neuvedených v článku 2.1</w:t>
      </w:r>
      <w:r w:rsidRPr="00955DE6">
        <w:rPr>
          <w:rFonts w:ascii="Times New Roman" w:hAnsi="Times New Roman"/>
          <w:sz w:val="22"/>
        </w:rPr>
        <w:t xml:space="preserve">, tyto služby (včetně jejich očekávaného rozsahu, náplně a obchodních podmínek </w:t>
      </w:r>
      <w:proofErr w:type="spellStart"/>
      <w:r w:rsidRPr="00955DE6">
        <w:rPr>
          <w:rFonts w:ascii="Times New Roman" w:hAnsi="Times New Roman"/>
          <w:sz w:val="22"/>
        </w:rPr>
        <w:t>Deloitte</w:t>
      </w:r>
      <w:proofErr w:type="spellEnd"/>
      <w:r w:rsidRPr="00955DE6">
        <w:rPr>
          <w:rFonts w:ascii="Times New Roman" w:hAnsi="Times New Roman"/>
          <w:sz w:val="22"/>
        </w:rPr>
        <w:t xml:space="preserve">) budou </w:t>
      </w:r>
      <w:r w:rsidR="00BA6965">
        <w:rPr>
          <w:rFonts w:ascii="Times New Roman" w:hAnsi="Times New Roman"/>
          <w:sz w:val="22"/>
        </w:rPr>
        <w:t xml:space="preserve">smluvními stranami </w:t>
      </w:r>
      <w:r w:rsidRPr="00955DE6">
        <w:rPr>
          <w:rFonts w:ascii="Times New Roman" w:hAnsi="Times New Roman"/>
          <w:sz w:val="22"/>
        </w:rPr>
        <w:t xml:space="preserve">specifikovány a dohodnuty v dalších samostatných </w:t>
      </w:r>
      <w:r w:rsidR="00A02405">
        <w:rPr>
          <w:rFonts w:ascii="Times New Roman" w:hAnsi="Times New Roman"/>
          <w:sz w:val="22"/>
        </w:rPr>
        <w:t>dodatcích k této Smlouvě</w:t>
      </w:r>
      <w:r w:rsidRPr="00955DE6">
        <w:rPr>
          <w:rFonts w:ascii="Times New Roman" w:hAnsi="Times New Roman"/>
          <w:sz w:val="22"/>
        </w:rPr>
        <w:t xml:space="preserve">. </w:t>
      </w:r>
      <w:bookmarkStart w:id="6" w:name="_GoBack"/>
      <w:bookmarkEnd w:id="6"/>
    </w:p>
    <w:p w14:paraId="6F0C10EB" w14:textId="77777777" w:rsidR="00600E74" w:rsidRPr="00955DE6" w:rsidRDefault="00600E74" w:rsidP="00600E74">
      <w:pPr>
        <w:pStyle w:val="BodyText1"/>
        <w:rPr>
          <w:rFonts w:ascii="Times New Roman" w:hAnsi="Times New Roman"/>
          <w:sz w:val="22"/>
          <w:szCs w:val="22"/>
        </w:rPr>
      </w:pPr>
    </w:p>
    <w:p w14:paraId="3CF1E9D4" w14:textId="77777777" w:rsidR="00F943BA" w:rsidRPr="00955DE6" w:rsidRDefault="00C560D5" w:rsidP="00F339A0">
      <w:pPr>
        <w:pStyle w:val="smlouvaheading1"/>
        <w:rPr>
          <w:rFonts w:ascii="Times New Roman" w:hAnsi="Times New Roman"/>
          <w:sz w:val="22"/>
          <w:szCs w:val="22"/>
        </w:rPr>
      </w:pPr>
      <w:bookmarkStart w:id="7" w:name="ZN5"/>
      <w:bookmarkStart w:id="8" w:name="ZN6"/>
      <w:bookmarkStart w:id="9" w:name="ZN7"/>
      <w:bookmarkStart w:id="10" w:name="ZN8"/>
      <w:bookmarkStart w:id="11" w:name="ZN9"/>
      <w:bookmarkStart w:id="12" w:name="ZN10"/>
      <w:bookmarkStart w:id="13" w:name="ZN11"/>
      <w:bookmarkStart w:id="14" w:name="ZN12"/>
      <w:bookmarkStart w:id="15" w:name="ZN13"/>
      <w:bookmarkStart w:id="16" w:name="ZN14"/>
      <w:bookmarkEnd w:id="7"/>
      <w:bookmarkEnd w:id="8"/>
      <w:bookmarkEnd w:id="9"/>
      <w:bookmarkEnd w:id="10"/>
      <w:bookmarkEnd w:id="11"/>
      <w:bookmarkEnd w:id="12"/>
      <w:bookmarkEnd w:id="13"/>
      <w:bookmarkEnd w:id="14"/>
      <w:bookmarkEnd w:id="15"/>
      <w:bookmarkEnd w:id="16"/>
      <w:r w:rsidRPr="00955DE6">
        <w:rPr>
          <w:rFonts w:ascii="Times New Roman" w:hAnsi="Times New Roman"/>
          <w:sz w:val="22"/>
          <w:szCs w:val="22"/>
        </w:rPr>
        <w:t xml:space="preserve">Cena za Služby a platební podmínky </w:t>
      </w:r>
    </w:p>
    <w:p w14:paraId="6D7B7F4D" w14:textId="3D7F177A" w:rsidR="00C560D5" w:rsidRPr="00B775A9" w:rsidRDefault="00C560D5" w:rsidP="00F75AAD">
      <w:pPr>
        <w:pStyle w:val="smlouvaheading2"/>
        <w:ind w:left="510"/>
        <w:rPr>
          <w:rFonts w:ascii="Times New Roman" w:hAnsi="Times New Roman"/>
          <w:sz w:val="22"/>
        </w:rPr>
      </w:pPr>
      <w:bookmarkStart w:id="17" w:name="ZN15"/>
      <w:bookmarkEnd w:id="17"/>
      <w:r w:rsidRPr="00B775A9">
        <w:rPr>
          <w:rFonts w:ascii="Times New Roman" w:hAnsi="Times New Roman"/>
          <w:sz w:val="22"/>
        </w:rPr>
        <w:t xml:space="preserve">Klient se zavazuje platit </w:t>
      </w:r>
      <w:proofErr w:type="spellStart"/>
      <w:r w:rsidRPr="00B775A9">
        <w:rPr>
          <w:rFonts w:ascii="Times New Roman" w:hAnsi="Times New Roman"/>
          <w:sz w:val="22"/>
        </w:rPr>
        <w:t>Deloitte</w:t>
      </w:r>
      <w:proofErr w:type="spellEnd"/>
      <w:r w:rsidRPr="00B775A9">
        <w:rPr>
          <w:rFonts w:ascii="Times New Roman" w:hAnsi="Times New Roman"/>
          <w:sz w:val="22"/>
        </w:rPr>
        <w:t xml:space="preserve"> za plnění provedená na základě této Smlouvy cenu uvedenou v Příloze č. </w:t>
      </w:r>
      <w:r w:rsidR="00F943BA" w:rsidRPr="00B775A9">
        <w:rPr>
          <w:rFonts w:ascii="Times New Roman" w:hAnsi="Times New Roman"/>
          <w:sz w:val="22"/>
        </w:rPr>
        <w:t>2</w:t>
      </w:r>
      <w:r w:rsidRPr="00B775A9">
        <w:rPr>
          <w:rFonts w:ascii="Times New Roman" w:hAnsi="Times New Roman"/>
          <w:sz w:val="22"/>
        </w:rPr>
        <w:t>.</w:t>
      </w:r>
      <w:r w:rsidR="00F943BA" w:rsidRPr="00B775A9">
        <w:rPr>
          <w:rFonts w:ascii="Times New Roman" w:hAnsi="Times New Roman"/>
          <w:sz w:val="22"/>
        </w:rPr>
        <w:t xml:space="preserve"> </w:t>
      </w:r>
      <w:r w:rsidR="009F1009" w:rsidRPr="00B775A9">
        <w:rPr>
          <w:rFonts w:ascii="Times New Roman" w:hAnsi="Times New Roman"/>
          <w:sz w:val="22"/>
        </w:rPr>
        <w:t>Cena je konečná a zahrnuje též veškeré náklady související s poskytováním Služeb.</w:t>
      </w:r>
    </w:p>
    <w:p w14:paraId="4E2F5D6B" w14:textId="77777777" w:rsidR="003F75C5" w:rsidRDefault="00E5446A" w:rsidP="00220010">
      <w:pPr>
        <w:pStyle w:val="smlouvaheading2"/>
        <w:rPr>
          <w:rFonts w:ascii="Times New Roman" w:hAnsi="Times New Roman"/>
          <w:sz w:val="22"/>
        </w:rPr>
      </w:pPr>
      <w:bookmarkStart w:id="18" w:name="Mena17"/>
      <w:bookmarkStart w:id="19" w:name="ZN16"/>
      <w:bookmarkStart w:id="20" w:name="ZN17"/>
      <w:bookmarkStart w:id="21" w:name="ZN20"/>
      <w:bookmarkStart w:id="22" w:name="Mena16"/>
      <w:bookmarkStart w:id="23" w:name="ZN59"/>
      <w:bookmarkStart w:id="24" w:name="ZNemployees"/>
      <w:bookmarkStart w:id="25" w:name="ZN27"/>
      <w:bookmarkStart w:id="26" w:name="ZN28"/>
      <w:bookmarkStart w:id="27" w:name="ZN29"/>
      <w:bookmarkStart w:id="28" w:name="ZN30"/>
      <w:bookmarkStart w:id="29" w:name="ZN31"/>
      <w:bookmarkStart w:id="30" w:name="ZN66"/>
      <w:bookmarkStart w:id="31" w:name="ZN32"/>
      <w:bookmarkStart w:id="32" w:name="ZN33"/>
      <w:bookmarkStart w:id="33" w:name="ZN34"/>
      <w:bookmarkStart w:id="34" w:name="ZN35"/>
      <w:bookmarkStart w:id="35" w:name="ZN36"/>
      <w:bookmarkStart w:id="36" w:name="ZN37"/>
      <w:bookmarkStart w:id="37" w:name="ZN67"/>
      <w:bookmarkStart w:id="38" w:name="ZN38"/>
      <w:bookmarkStart w:id="39" w:name="ZN39"/>
      <w:bookmarkStart w:id="40" w:name="ZN40"/>
      <w:bookmarkStart w:id="41" w:name="ZN41"/>
      <w:bookmarkStart w:id="42" w:name="ZN42"/>
      <w:bookmarkStart w:id="43" w:name="Zn61"/>
      <w:bookmarkStart w:id="44" w:name="ZN60"/>
      <w:bookmarkStart w:id="45" w:name="ZN43"/>
      <w:bookmarkStart w:id="46" w:name="ZN44"/>
      <w:bookmarkStart w:id="47" w:name="ZN46"/>
      <w:bookmarkStart w:id="48" w:name="ZN47"/>
      <w:bookmarkStart w:id="49" w:name="ZN48"/>
      <w:bookmarkStart w:id="50" w:name="ZN50"/>
      <w:bookmarkStart w:id="51" w:name="ZN51"/>
      <w:bookmarkStart w:id="52" w:name="ZN52"/>
      <w:bookmarkStart w:id="53" w:name="ZN53"/>
      <w:bookmarkStart w:id="54" w:name="ZN54"/>
      <w:bookmarkStart w:id="55" w:name="ZN55"/>
      <w:bookmarkStart w:id="56" w:name="ZN56"/>
      <w:bookmarkStart w:id="57" w:name="ZN57"/>
      <w:bookmarkStart w:id="58" w:name="ZN58"/>
      <w:bookmarkStart w:id="59" w:name="ZN6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9E1961">
        <w:rPr>
          <w:rFonts w:ascii="Times New Roman" w:hAnsi="Times New Roman"/>
          <w:sz w:val="22"/>
        </w:rPr>
        <w:t xml:space="preserve">Klient výslovně souhlasí s možností elektronické formy fakturace za podmínek stanovených touto Smlouvou a platnými právními předpisy. Faktura </w:t>
      </w:r>
      <w:r>
        <w:rPr>
          <w:rFonts w:ascii="Times New Roman" w:hAnsi="Times New Roman"/>
          <w:sz w:val="22"/>
        </w:rPr>
        <w:t xml:space="preserve">společnosti </w:t>
      </w:r>
      <w:proofErr w:type="spellStart"/>
      <w:r w:rsidRPr="009E1961">
        <w:rPr>
          <w:rFonts w:ascii="Times New Roman" w:hAnsi="Times New Roman"/>
          <w:sz w:val="22"/>
        </w:rPr>
        <w:t>Deloitte</w:t>
      </w:r>
      <w:proofErr w:type="spellEnd"/>
      <w:r w:rsidRPr="009E1961">
        <w:rPr>
          <w:rFonts w:ascii="Times New Roman" w:hAnsi="Times New Roman"/>
          <w:sz w:val="22"/>
        </w:rPr>
        <w:t xml:space="preserve"> bude považována za doručenou okamžikem zaslání na e-mailovou adresu určenou Klientem pro zasílání faktur. Klient je povinen společnost </w:t>
      </w:r>
      <w:proofErr w:type="spellStart"/>
      <w:r w:rsidRPr="009E1961">
        <w:rPr>
          <w:rFonts w:ascii="Times New Roman" w:hAnsi="Times New Roman"/>
          <w:sz w:val="22"/>
        </w:rPr>
        <w:t>Deloitte</w:t>
      </w:r>
      <w:proofErr w:type="spellEnd"/>
      <w:r w:rsidRPr="009E1961">
        <w:rPr>
          <w:rFonts w:ascii="Times New Roman" w:hAnsi="Times New Roman"/>
          <w:sz w:val="22"/>
        </w:rPr>
        <w:t xml:space="preserve"> neprodleně informovat o jakékoliv změně e-mailové adresy pro zasílání faktur a zajistit řádnou funkčnost jím uvedené e-mailové adresy po dobu trvání této Smlouvy. Jestliže bude z okolností zřejmé, že fakturu nelze doručit na e-mailovou adresu určenou Klientem pro zasílání faktur, např. se zpráva vrátí jako nedoručitelná, bude neprodleně na adresu sídla Klienta zaslána faktura v papírové podobě, přičemž však faktura bude splatná v termínu, jakoby byla úspěšně doručena Klientovi prostřednictvím emailu</w:t>
      </w:r>
      <w:r w:rsidR="00F943BA" w:rsidRPr="00955DE6">
        <w:rPr>
          <w:rFonts w:ascii="Times New Roman" w:hAnsi="Times New Roman"/>
          <w:sz w:val="22"/>
        </w:rPr>
        <w:t>.</w:t>
      </w:r>
    </w:p>
    <w:p w14:paraId="0A1FB5E7" w14:textId="77777777" w:rsidR="00E5446A" w:rsidRPr="009E1961" w:rsidRDefault="00E5446A" w:rsidP="009E1961">
      <w:pPr>
        <w:pStyle w:val="smlouvaheading1"/>
        <w:numPr>
          <w:ilvl w:val="0"/>
          <w:numId w:val="0"/>
        </w:numPr>
        <w:ind w:left="709"/>
        <w:rPr>
          <w:rFonts w:ascii="Times New Roman" w:hAnsi="Times New Roman"/>
          <w:b w:val="0"/>
          <w:noProof w:val="0"/>
          <w:sz w:val="22"/>
          <w:szCs w:val="22"/>
        </w:rPr>
      </w:pPr>
      <w:r w:rsidRPr="009E1961">
        <w:rPr>
          <w:rFonts w:ascii="Times New Roman" w:hAnsi="Times New Roman"/>
          <w:b w:val="0"/>
          <w:noProof w:val="0"/>
          <w:sz w:val="22"/>
          <w:szCs w:val="22"/>
        </w:rPr>
        <w:t>Pro účely elektronické fakturace se stanovuje níže uvedená emailová adresa pro zasílání faktur:</w:t>
      </w:r>
    </w:p>
    <w:p w14:paraId="4F1589AA" w14:textId="3360CD40" w:rsidR="00600E74" w:rsidRPr="00955DE6" w:rsidRDefault="00E5446A" w:rsidP="009E1961">
      <w:pPr>
        <w:pStyle w:val="smlouvaheading1"/>
        <w:numPr>
          <w:ilvl w:val="0"/>
          <w:numId w:val="0"/>
        </w:numPr>
        <w:ind w:left="709"/>
      </w:pPr>
      <w:r w:rsidRPr="009E1961">
        <w:rPr>
          <w:rFonts w:ascii="Times New Roman" w:hAnsi="Times New Roman"/>
          <w:sz w:val="22"/>
          <w:szCs w:val="22"/>
        </w:rPr>
        <w:t>E-mail:</w:t>
      </w:r>
      <w:r w:rsidR="000E39CC">
        <w:rPr>
          <w:rFonts w:ascii="Times New Roman" w:hAnsi="Times New Roman"/>
          <w:b w:val="0"/>
          <w:noProof w:val="0"/>
          <w:sz w:val="22"/>
          <w:szCs w:val="22"/>
        </w:rPr>
        <w:t xml:space="preserve"> </w:t>
      </w:r>
      <w:hyperlink r:id="rId14" w:tgtFrame="_self" w:history="1">
        <w:r w:rsidR="0096587D" w:rsidRPr="0096587D">
          <w:rPr>
            <w:rStyle w:val="Hypertextovodkaz"/>
            <w:rFonts w:ascii="Times New Roman" w:hAnsi="Times New Roman"/>
            <w:sz w:val="22"/>
            <w:szCs w:val="22"/>
          </w:rPr>
          <w:t>podatelna@zcu.cz</w:t>
        </w:r>
      </w:hyperlink>
    </w:p>
    <w:p w14:paraId="084F123B" w14:textId="77777777" w:rsidR="00F943BA" w:rsidRPr="00955DE6" w:rsidRDefault="00C337F9" w:rsidP="00F339A0">
      <w:pPr>
        <w:pStyle w:val="smlouvaheading1"/>
        <w:rPr>
          <w:rFonts w:ascii="Times New Roman" w:hAnsi="Times New Roman"/>
          <w:sz w:val="22"/>
          <w:szCs w:val="22"/>
        </w:rPr>
      </w:pPr>
      <w:r w:rsidRPr="00955DE6">
        <w:rPr>
          <w:rFonts w:ascii="Times New Roman" w:hAnsi="Times New Roman"/>
          <w:sz w:val="22"/>
          <w:szCs w:val="22"/>
        </w:rPr>
        <w:t>Trvání Smlouvy</w:t>
      </w:r>
      <w:r w:rsidR="00F943BA" w:rsidRPr="00955DE6">
        <w:rPr>
          <w:rFonts w:ascii="Times New Roman" w:hAnsi="Times New Roman"/>
          <w:sz w:val="22"/>
          <w:szCs w:val="22"/>
        </w:rPr>
        <w:t xml:space="preserve"> </w:t>
      </w:r>
    </w:p>
    <w:p w14:paraId="559C4EB2" w14:textId="5036E169" w:rsidR="00F943BA" w:rsidRPr="00AD1481" w:rsidRDefault="00C337F9" w:rsidP="00AD1481">
      <w:pPr>
        <w:pStyle w:val="smlouvaheading2"/>
        <w:rPr>
          <w:rFonts w:ascii="Times New Roman" w:hAnsi="Times New Roman"/>
          <w:sz w:val="22"/>
        </w:rPr>
      </w:pPr>
      <w:r w:rsidRPr="00AD1481">
        <w:rPr>
          <w:rFonts w:ascii="Times New Roman" w:hAnsi="Times New Roman"/>
          <w:sz w:val="22"/>
        </w:rPr>
        <w:t xml:space="preserve">Smlouva je uzavřena na </w:t>
      </w:r>
      <w:bookmarkStart w:id="60" w:name="Trvani"/>
      <w:bookmarkEnd w:id="60"/>
      <w:r w:rsidRPr="00AD1481">
        <w:rPr>
          <w:rFonts w:ascii="Times New Roman" w:hAnsi="Times New Roman"/>
          <w:sz w:val="22"/>
        </w:rPr>
        <w:t>dobu určitou, a to do okamžiku řádného splnění všech povinností vyplývajících z této Smlouvy o</w:t>
      </w:r>
      <w:r w:rsidR="00955DE6" w:rsidRPr="00AD1481">
        <w:rPr>
          <w:rFonts w:ascii="Times New Roman" w:hAnsi="Times New Roman"/>
          <w:sz w:val="22"/>
        </w:rPr>
        <w:t>b</w:t>
      </w:r>
      <w:r w:rsidRPr="00AD1481">
        <w:rPr>
          <w:rFonts w:ascii="Times New Roman" w:hAnsi="Times New Roman"/>
          <w:sz w:val="22"/>
        </w:rPr>
        <w:t xml:space="preserve">ěma </w:t>
      </w:r>
      <w:r w:rsidR="00641DDA" w:rsidRPr="00AD1481">
        <w:rPr>
          <w:rFonts w:ascii="Times New Roman" w:hAnsi="Times New Roman"/>
          <w:sz w:val="22"/>
        </w:rPr>
        <w:t>smluvními stranami</w:t>
      </w:r>
      <w:r w:rsidRPr="00AD1481">
        <w:rPr>
          <w:rFonts w:ascii="Times New Roman" w:hAnsi="Times New Roman"/>
          <w:sz w:val="22"/>
        </w:rPr>
        <w:t xml:space="preserve">, tj. do poskytnutí Služeb dle </w:t>
      </w:r>
      <w:r w:rsidRPr="00AD1481">
        <w:rPr>
          <w:rFonts w:ascii="Times New Roman" w:hAnsi="Times New Roman"/>
          <w:sz w:val="22"/>
        </w:rPr>
        <w:lastRenderedPageBreak/>
        <w:t>časového harmonogramu uvedeného v</w:t>
      </w:r>
      <w:r w:rsidR="00BA6965" w:rsidRPr="00AD1481">
        <w:rPr>
          <w:rFonts w:ascii="Times New Roman" w:hAnsi="Times New Roman"/>
          <w:sz w:val="22"/>
        </w:rPr>
        <w:t> P</w:t>
      </w:r>
      <w:r w:rsidRPr="00AD1481">
        <w:rPr>
          <w:rFonts w:ascii="Times New Roman" w:hAnsi="Times New Roman"/>
          <w:sz w:val="22"/>
        </w:rPr>
        <w:t xml:space="preserve">říloze č. </w:t>
      </w:r>
      <w:r w:rsidR="00F943BA" w:rsidRPr="00AD1481">
        <w:rPr>
          <w:rFonts w:ascii="Times New Roman" w:hAnsi="Times New Roman"/>
          <w:sz w:val="22"/>
        </w:rPr>
        <w:t xml:space="preserve">1 </w:t>
      </w:r>
      <w:r w:rsidRPr="00AD1481">
        <w:rPr>
          <w:rFonts w:ascii="Times New Roman" w:hAnsi="Times New Roman"/>
          <w:sz w:val="22"/>
        </w:rPr>
        <w:t xml:space="preserve">a do úplného uhrazení </w:t>
      </w:r>
      <w:r w:rsidR="00BA6965" w:rsidRPr="00AD1481">
        <w:rPr>
          <w:rFonts w:ascii="Times New Roman" w:hAnsi="Times New Roman"/>
          <w:sz w:val="22"/>
        </w:rPr>
        <w:t xml:space="preserve">veškerých odměn definovaných v této Smlouvě </w:t>
      </w:r>
      <w:r w:rsidRPr="00AD1481">
        <w:rPr>
          <w:rFonts w:ascii="Times New Roman" w:hAnsi="Times New Roman"/>
          <w:sz w:val="22"/>
        </w:rPr>
        <w:t xml:space="preserve">ze strany Klienta. </w:t>
      </w:r>
      <w:r w:rsidR="003B364C" w:rsidRPr="00AD1481">
        <w:rPr>
          <w:rFonts w:ascii="Times New Roman" w:hAnsi="Times New Roman"/>
          <w:sz w:val="22"/>
        </w:rPr>
        <w:t>Ujednání</w:t>
      </w:r>
      <w:r w:rsidRPr="00AD1481">
        <w:rPr>
          <w:rFonts w:ascii="Times New Roman" w:hAnsi="Times New Roman"/>
          <w:sz w:val="22"/>
        </w:rPr>
        <w:t xml:space="preserve"> </w:t>
      </w:r>
      <w:r w:rsidR="00A9327C" w:rsidRPr="00AD1481">
        <w:rPr>
          <w:rFonts w:ascii="Times New Roman" w:hAnsi="Times New Roman"/>
          <w:sz w:val="22"/>
        </w:rPr>
        <w:t>11 (a)</w:t>
      </w:r>
      <w:r w:rsidR="00F943BA" w:rsidRPr="00AD1481">
        <w:rPr>
          <w:rFonts w:ascii="Times New Roman" w:hAnsi="Times New Roman"/>
          <w:sz w:val="22"/>
        </w:rPr>
        <w:t xml:space="preserve"> </w:t>
      </w:r>
      <w:r w:rsidRPr="00AD1481">
        <w:rPr>
          <w:rFonts w:ascii="Times New Roman" w:hAnsi="Times New Roman"/>
          <w:sz w:val="22"/>
        </w:rPr>
        <w:t>Obchodních podmínek tímto není dotčen</w:t>
      </w:r>
      <w:r w:rsidR="00F943BA" w:rsidRPr="00AD1481">
        <w:rPr>
          <w:rFonts w:ascii="Times New Roman" w:hAnsi="Times New Roman"/>
          <w:sz w:val="22"/>
        </w:rPr>
        <w:t>o.</w:t>
      </w:r>
    </w:p>
    <w:p w14:paraId="6883DF33" w14:textId="77777777" w:rsidR="00F339A0" w:rsidRPr="00955DE6" w:rsidRDefault="00F339A0" w:rsidP="00447617">
      <w:pPr>
        <w:pStyle w:val="BodyText1"/>
        <w:ind w:left="510"/>
        <w:jc w:val="both"/>
        <w:rPr>
          <w:rFonts w:ascii="Times New Roman" w:hAnsi="Times New Roman"/>
          <w:sz w:val="22"/>
          <w:szCs w:val="22"/>
          <w:highlight w:val="yellow"/>
        </w:rPr>
      </w:pPr>
    </w:p>
    <w:p w14:paraId="15816439" w14:textId="77777777" w:rsidR="00F943BA" w:rsidRPr="00955DE6" w:rsidRDefault="00D331ED" w:rsidP="00447617">
      <w:pPr>
        <w:pStyle w:val="smlouvaheading2"/>
        <w:rPr>
          <w:rFonts w:ascii="Times New Roman" w:hAnsi="Times New Roman"/>
          <w:sz w:val="22"/>
        </w:rPr>
      </w:pPr>
      <w:r w:rsidRPr="00955DE6">
        <w:rPr>
          <w:rFonts w:ascii="Times New Roman" w:hAnsi="Times New Roman"/>
          <w:sz w:val="22"/>
        </w:rPr>
        <w:t xml:space="preserve">Smlouva nabývá platnosti a účinnosti dnem jejího podpisu oprávněnými zástupci obou </w:t>
      </w:r>
      <w:r w:rsidR="00641DDA">
        <w:rPr>
          <w:rFonts w:ascii="Times New Roman" w:hAnsi="Times New Roman"/>
          <w:sz w:val="22"/>
        </w:rPr>
        <w:t xml:space="preserve">smluvních </w:t>
      </w:r>
      <w:r w:rsidRPr="00955DE6">
        <w:rPr>
          <w:rFonts w:ascii="Times New Roman" w:hAnsi="Times New Roman"/>
          <w:sz w:val="22"/>
        </w:rPr>
        <w:t>stran</w:t>
      </w:r>
      <w:r w:rsidR="00F943BA" w:rsidRPr="00955DE6">
        <w:rPr>
          <w:rFonts w:ascii="Times New Roman" w:hAnsi="Times New Roman"/>
          <w:sz w:val="22"/>
        </w:rPr>
        <w:t>.</w:t>
      </w:r>
    </w:p>
    <w:p w14:paraId="1FEE9A47" w14:textId="77777777" w:rsidR="00600E74" w:rsidRPr="00955DE6" w:rsidRDefault="00600E74" w:rsidP="00600E74">
      <w:pPr>
        <w:pStyle w:val="BodyText1"/>
        <w:rPr>
          <w:rFonts w:ascii="Times New Roman" w:hAnsi="Times New Roman"/>
          <w:sz w:val="22"/>
          <w:szCs w:val="22"/>
        </w:rPr>
      </w:pPr>
    </w:p>
    <w:p w14:paraId="1FA158C8" w14:textId="77777777" w:rsidR="00F943BA" w:rsidRPr="00955DE6" w:rsidRDefault="00D331ED" w:rsidP="00F339A0">
      <w:pPr>
        <w:pStyle w:val="smlouvaheading1"/>
        <w:rPr>
          <w:rFonts w:ascii="Times New Roman" w:hAnsi="Times New Roman"/>
          <w:sz w:val="22"/>
          <w:szCs w:val="22"/>
        </w:rPr>
      </w:pPr>
      <w:bookmarkStart w:id="61" w:name="ZN63"/>
      <w:bookmarkEnd w:id="61"/>
      <w:r w:rsidRPr="00955DE6">
        <w:rPr>
          <w:rFonts w:ascii="Times New Roman" w:hAnsi="Times New Roman"/>
          <w:sz w:val="22"/>
          <w:szCs w:val="22"/>
        </w:rPr>
        <w:t xml:space="preserve">Oznámení </w:t>
      </w:r>
    </w:p>
    <w:p w14:paraId="0BD7B2F9" w14:textId="77777777" w:rsidR="00F943BA" w:rsidRPr="00955DE6" w:rsidRDefault="00D331ED" w:rsidP="00F339A0">
      <w:pPr>
        <w:pStyle w:val="smlouvaheading2"/>
        <w:rPr>
          <w:rFonts w:ascii="Times New Roman" w:hAnsi="Times New Roman"/>
          <w:sz w:val="22"/>
        </w:rPr>
      </w:pPr>
      <w:r w:rsidRPr="00955DE6">
        <w:rPr>
          <w:rFonts w:ascii="Times New Roman" w:hAnsi="Times New Roman"/>
          <w:sz w:val="22"/>
        </w:rPr>
        <w:t xml:space="preserve">Adresy, telefonní čísla, faxová čísla a e-maily </w:t>
      </w:r>
      <w:r w:rsidR="00641DDA">
        <w:rPr>
          <w:rFonts w:ascii="Times New Roman" w:hAnsi="Times New Roman"/>
          <w:sz w:val="22"/>
        </w:rPr>
        <w:t xml:space="preserve">smluvních </w:t>
      </w:r>
      <w:r w:rsidRPr="00955DE6">
        <w:rPr>
          <w:rFonts w:ascii="Times New Roman" w:hAnsi="Times New Roman"/>
          <w:sz w:val="22"/>
        </w:rPr>
        <w:t>stran pro účely předcházejícího článku budou následující</w:t>
      </w:r>
      <w:r w:rsidR="00F943BA" w:rsidRPr="00955DE6">
        <w:rPr>
          <w:rFonts w:ascii="Times New Roman" w:hAnsi="Times New Roman"/>
          <w:sz w:val="22"/>
        </w:rPr>
        <w:t>:</w:t>
      </w:r>
    </w:p>
    <w:p w14:paraId="6CF9A46A" w14:textId="77777777" w:rsidR="00F339A0" w:rsidRPr="00955DE6" w:rsidRDefault="00F339A0" w:rsidP="00F339A0">
      <w:pPr>
        <w:pStyle w:val="BodyText1"/>
        <w:ind w:left="510"/>
        <w:rPr>
          <w:rFonts w:ascii="Times New Roman" w:hAnsi="Times New Roman"/>
          <w:sz w:val="22"/>
          <w:szCs w:val="22"/>
        </w:rPr>
      </w:pPr>
    </w:p>
    <w:p w14:paraId="40256BEC" w14:textId="77777777" w:rsidR="003F75C5" w:rsidRPr="00955DE6" w:rsidRDefault="00F943BA" w:rsidP="00DF10AD">
      <w:pPr>
        <w:pStyle w:val="BodyText1"/>
        <w:ind w:left="510"/>
        <w:rPr>
          <w:rFonts w:ascii="Times New Roman" w:hAnsi="Times New Roman"/>
          <w:sz w:val="22"/>
          <w:szCs w:val="22"/>
        </w:rPr>
      </w:pPr>
      <w:proofErr w:type="spellStart"/>
      <w:r w:rsidRPr="00955DE6">
        <w:rPr>
          <w:rFonts w:ascii="Times New Roman" w:hAnsi="Times New Roman"/>
          <w:sz w:val="22"/>
          <w:szCs w:val="22"/>
        </w:rPr>
        <w:t>Deloitte</w:t>
      </w:r>
      <w:proofErr w:type="spellEnd"/>
      <w:r w:rsidRPr="00955DE6">
        <w:rPr>
          <w:rFonts w:ascii="Times New Roman" w:hAnsi="Times New Roman"/>
          <w:sz w:val="22"/>
          <w:szCs w:val="22"/>
        </w:rPr>
        <w:t xml:space="preserve">: </w:t>
      </w:r>
      <w:r w:rsidR="00D331ED" w:rsidRPr="00955DE6">
        <w:rPr>
          <w:rFonts w:ascii="Times New Roman" w:hAnsi="Times New Roman"/>
          <w:sz w:val="22"/>
          <w:szCs w:val="22"/>
        </w:rPr>
        <w:t>Adresa uvedená na titulní straně Smlouvy</w:t>
      </w:r>
    </w:p>
    <w:p w14:paraId="76AA087C" w14:textId="2170C4C0" w:rsidR="00F943BA" w:rsidRPr="00AD1481" w:rsidRDefault="00F943BA" w:rsidP="00F339A0">
      <w:pPr>
        <w:pStyle w:val="BodyText1"/>
        <w:ind w:left="510"/>
        <w:rPr>
          <w:rFonts w:ascii="Times New Roman" w:hAnsi="Times New Roman"/>
          <w:sz w:val="22"/>
          <w:szCs w:val="22"/>
        </w:rPr>
      </w:pPr>
      <w:r w:rsidRPr="00955DE6">
        <w:rPr>
          <w:rFonts w:ascii="Times New Roman" w:hAnsi="Times New Roman"/>
          <w:sz w:val="22"/>
          <w:szCs w:val="22"/>
        </w:rPr>
        <w:tab/>
        <w:t xml:space="preserve">Tel.: </w:t>
      </w:r>
      <w:proofErr w:type="spellStart"/>
      <w:r w:rsidR="003C3CE3">
        <w:rPr>
          <w:rFonts w:ascii="Times New Roman" w:hAnsi="Times New Roman"/>
          <w:sz w:val="22"/>
          <w:szCs w:val="22"/>
        </w:rPr>
        <w:t>xxx</w:t>
      </w:r>
      <w:proofErr w:type="spellEnd"/>
    </w:p>
    <w:p w14:paraId="74146F62" w14:textId="64314400" w:rsidR="00F943BA" w:rsidRPr="00955DE6" w:rsidRDefault="00F943BA" w:rsidP="00F339A0">
      <w:pPr>
        <w:pStyle w:val="BodyText1"/>
        <w:ind w:left="510"/>
        <w:rPr>
          <w:rFonts w:ascii="Times New Roman" w:hAnsi="Times New Roman"/>
          <w:sz w:val="22"/>
          <w:szCs w:val="22"/>
        </w:rPr>
      </w:pPr>
      <w:r w:rsidRPr="00955DE6">
        <w:rPr>
          <w:rFonts w:ascii="Times New Roman" w:hAnsi="Times New Roman"/>
          <w:sz w:val="22"/>
          <w:szCs w:val="22"/>
        </w:rPr>
        <w:tab/>
        <w:t xml:space="preserve">Fax: </w:t>
      </w:r>
      <w:r w:rsidR="00AD1481" w:rsidRPr="006F52E2">
        <w:rPr>
          <w:rFonts w:ascii="Times New Roman" w:hAnsi="Times New Roman"/>
          <w:sz w:val="22"/>
          <w:szCs w:val="22"/>
        </w:rPr>
        <w:t>+</w:t>
      </w:r>
      <w:r w:rsidR="00AD1481">
        <w:rPr>
          <w:rFonts w:ascii="Times New Roman" w:hAnsi="Times New Roman"/>
          <w:sz w:val="22"/>
          <w:szCs w:val="22"/>
        </w:rPr>
        <w:t xml:space="preserve"> </w:t>
      </w:r>
      <w:proofErr w:type="spellStart"/>
      <w:r w:rsidR="003C3CE3">
        <w:rPr>
          <w:rFonts w:ascii="Times New Roman" w:hAnsi="Times New Roman"/>
          <w:sz w:val="22"/>
          <w:szCs w:val="22"/>
        </w:rPr>
        <w:t>xxx</w:t>
      </w:r>
      <w:proofErr w:type="spellEnd"/>
    </w:p>
    <w:p w14:paraId="4F0209FF" w14:textId="20E9D500" w:rsidR="00F943BA" w:rsidRPr="00AD1481" w:rsidRDefault="00AD1481" w:rsidP="00F339A0">
      <w:pPr>
        <w:pStyle w:val="BodyText1"/>
        <w:ind w:left="510"/>
        <w:rPr>
          <w:rFonts w:ascii="Times New Roman" w:hAnsi="Times New Roman"/>
          <w:sz w:val="22"/>
          <w:szCs w:val="22"/>
        </w:rPr>
      </w:pPr>
      <w:r>
        <w:rPr>
          <w:rFonts w:ascii="Times New Roman" w:hAnsi="Times New Roman"/>
          <w:sz w:val="22"/>
          <w:szCs w:val="22"/>
        </w:rPr>
        <w:tab/>
        <w:t xml:space="preserve">e-mail: </w:t>
      </w:r>
      <w:proofErr w:type="spellStart"/>
      <w:r w:rsidR="003C3CE3">
        <w:t>xxx</w:t>
      </w:r>
      <w:proofErr w:type="spellEnd"/>
    </w:p>
    <w:p w14:paraId="1C465E2C" w14:textId="77777777" w:rsidR="00F339A0" w:rsidRPr="00955DE6" w:rsidRDefault="00F339A0" w:rsidP="00F339A0">
      <w:pPr>
        <w:pStyle w:val="BodyText1"/>
        <w:ind w:left="510"/>
        <w:rPr>
          <w:rFonts w:ascii="Times New Roman" w:hAnsi="Times New Roman"/>
          <w:sz w:val="22"/>
          <w:szCs w:val="22"/>
        </w:rPr>
      </w:pPr>
      <w:bookmarkStart w:id="62" w:name="ZN64"/>
      <w:bookmarkEnd w:id="62"/>
    </w:p>
    <w:p w14:paraId="52976BFD" w14:textId="6A0E8EC5" w:rsidR="00FD6587" w:rsidRPr="00955DE6" w:rsidRDefault="00D331ED" w:rsidP="00F339A0">
      <w:pPr>
        <w:pStyle w:val="BodyText1"/>
        <w:ind w:left="510"/>
        <w:rPr>
          <w:rFonts w:ascii="Times New Roman" w:hAnsi="Times New Roman"/>
          <w:sz w:val="22"/>
          <w:szCs w:val="22"/>
        </w:rPr>
      </w:pPr>
      <w:r w:rsidRPr="00955DE6">
        <w:rPr>
          <w:rFonts w:ascii="Times New Roman" w:hAnsi="Times New Roman"/>
          <w:sz w:val="22"/>
          <w:szCs w:val="22"/>
        </w:rPr>
        <w:t>Klient</w:t>
      </w:r>
      <w:r w:rsidR="00F943BA" w:rsidRPr="00955DE6">
        <w:rPr>
          <w:rFonts w:ascii="Times New Roman" w:hAnsi="Times New Roman"/>
          <w:sz w:val="22"/>
          <w:szCs w:val="22"/>
        </w:rPr>
        <w:t xml:space="preserve">: </w:t>
      </w:r>
      <w:r w:rsidRPr="00955DE6">
        <w:rPr>
          <w:rFonts w:ascii="Times New Roman" w:hAnsi="Times New Roman"/>
          <w:sz w:val="22"/>
          <w:szCs w:val="22"/>
        </w:rPr>
        <w:t>Adresa uveden</w:t>
      </w:r>
      <w:r w:rsidR="0096587D">
        <w:rPr>
          <w:rFonts w:ascii="Times New Roman" w:hAnsi="Times New Roman"/>
          <w:sz w:val="22"/>
          <w:szCs w:val="22"/>
        </w:rPr>
        <w:t>á</w:t>
      </w:r>
      <w:r w:rsidRPr="00955DE6">
        <w:rPr>
          <w:rFonts w:ascii="Times New Roman" w:hAnsi="Times New Roman"/>
          <w:sz w:val="22"/>
          <w:szCs w:val="22"/>
        </w:rPr>
        <w:t xml:space="preserve"> na titulní straně Smlouvy </w:t>
      </w:r>
    </w:p>
    <w:p w14:paraId="1616B6FC" w14:textId="35EDE094" w:rsidR="00DF10AD" w:rsidRPr="00220010" w:rsidRDefault="00F943BA" w:rsidP="00F339A0">
      <w:pPr>
        <w:pStyle w:val="BodyText1"/>
        <w:ind w:left="510"/>
        <w:rPr>
          <w:rFonts w:ascii="Times New Roman" w:hAnsi="Times New Roman"/>
          <w:sz w:val="22"/>
          <w:szCs w:val="22"/>
        </w:rPr>
      </w:pPr>
      <w:r w:rsidRPr="00955DE6">
        <w:rPr>
          <w:rFonts w:ascii="Times New Roman" w:hAnsi="Times New Roman"/>
          <w:sz w:val="22"/>
          <w:szCs w:val="22"/>
        </w:rPr>
        <w:tab/>
        <w:t xml:space="preserve">Tel.: </w:t>
      </w:r>
      <w:bookmarkStart w:id="63" w:name="Tel"/>
      <w:bookmarkEnd w:id="63"/>
      <w:r w:rsidR="0096587D">
        <w:rPr>
          <w:rFonts w:cs="Arial"/>
          <w:color w:val="444444"/>
          <w:sz w:val="18"/>
          <w:szCs w:val="18"/>
        </w:rPr>
        <w:t>+</w:t>
      </w:r>
      <w:proofErr w:type="spellStart"/>
      <w:r w:rsidR="003C3CE3">
        <w:rPr>
          <w:rFonts w:ascii="Times New Roman" w:hAnsi="Times New Roman"/>
          <w:sz w:val="22"/>
          <w:szCs w:val="22"/>
        </w:rPr>
        <w:t>xxx</w:t>
      </w:r>
      <w:proofErr w:type="spellEnd"/>
    </w:p>
    <w:p w14:paraId="15429150" w14:textId="40D5ADEE" w:rsidR="0096587D" w:rsidRPr="00220010" w:rsidRDefault="00F943BA" w:rsidP="0096587D">
      <w:pPr>
        <w:pStyle w:val="BodyText1"/>
        <w:ind w:left="510"/>
        <w:rPr>
          <w:rFonts w:ascii="Times New Roman" w:hAnsi="Times New Roman"/>
          <w:sz w:val="22"/>
          <w:szCs w:val="22"/>
        </w:rPr>
      </w:pPr>
      <w:r w:rsidRPr="00955DE6">
        <w:rPr>
          <w:rFonts w:ascii="Times New Roman" w:hAnsi="Times New Roman"/>
          <w:sz w:val="22"/>
          <w:szCs w:val="22"/>
        </w:rPr>
        <w:tab/>
        <w:t xml:space="preserve">Fax: </w:t>
      </w:r>
      <w:bookmarkStart w:id="64" w:name="Fax"/>
      <w:bookmarkEnd w:id="64"/>
      <w:r w:rsidR="0096587D">
        <w:rPr>
          <w:rFonts w:cs="Arial"/>
          <w:color w:val="444444"/>
          <w:sz w:val="18"/>
          <w:szCs w:val="18"/>
        </w:rPr>
        <w:t>+</w:t>
      </w:r>
      <w:proofErr w:type="spellStart"/>
      <w:r w:rsidR="003C3CE3">
        <w:rPr>
          <w:rFonts w:ascii="Times New Roman" w:hAnsi="Times New Roman"/>
          <w:sz w:val="22"/>
          <w:szCs w:val="22"/>
        </w:rPr>
        <w:t>xxx</w:t>
      </w:r>
      <w:proofErr w:type="spellEnd"/>
    </w:p>
    <w:p w14:paraId="1281001A" w14:textId="67C05ED2" w:rsidR="00FD6587" w:rsidRPr="00955DE6" w:rsidRDefault="00F943BA" w:rsidP="00F339A0">
      <w:pPr>
        <w:pStyle w:val="BodyText1"/>
        <w:ind w:left="510"/>
        <w:rPr>
          <w:rFonts w:ascii="Times New Roman" w:hAnsi="Times New Roman"/>
          <w:sz w:val="22"/>
          <w:szCs w:val="22"/>
        </w:rPr>
      </w:pPr>
      <w:r w:rsidRPr="00955DE6">
        <w:rPr>
          <w:rFonts w:ascii="Times New Roman" w:hAnsi="Times New Roman"/>
          <w:sz w:val="22"/>
          <w:szCs w:val="22"/>
        </w:rPr>
        <w:tab/>
        <w:t xml:space="preserve">e- mail: </w:t>
      </w:r>
      <w:hyperlink r:id="rId15" w:tgtFrame="_self" w:history="1">
        <w:proofErr w:type="spellStart"/>
        <w:r w:rsidR="003C3CE3">
          <w:rPr>
            <w:rStyle w:val="Hypertextovodkaz"/>
            <w:rFonts w:ascii="Times New Roman" w:hAnsi="Times New Roman"/>
            <w:sz w:val="22"/>
            <w:szCs w:val="22"/>
          </w:rPr>
          <w:t>xxx</w:t>
        </w:r>
        <w:proofErr w:type="spellEnd"/>
      </w:hyperlink>
    </w:p>
    <w:p w14:paraId="79ED9E8A" w14:textId="77777777" w:rsidR="00F943BA" w:rsidRPr="00955DE6" w:rsidRDefault="00D331ED" w:rsidP="00F339A0">
      <w:pPr>
        <w:pStyle w:val="smlouvaheading1"/>
        <w:rPr>
          <w:rFonts w:ascii="Times New Roman" w:hAnsi="Times New Roman"/>
          <w:sz w:val="22"/>
          <w:szCs w:val="22"/>
        </w:rPr>
      </w:pPr>
      <w:r w:rsidRPr="00955DE6">
        <w:rPr>
          <w:rFonts w:ascii="Times New Roman" w:hAnsi="Times New Roman"/>
          <w:sz w:val="22"/>
          <w:szCs w:val="22"/>
        </w:rPr>
        <w:t xml:space="preserve">Všeobecné podmínky </w:t>
      </w:r>
    </w:p>
    <w:p w14:paraId="2BE7FDB5" w14:textId="2EAEA9CF" w:rsidR="00F943BA" w:rsidRDefault="00750A85" w:rsidP="00F339A0">
      <w:pPr>
        <w:pStyle w:val="smlouvaheading2"/>
        <w:rPr>
          <w:rFonts w:ascii="Times New Roman" w:hAnsi="Times New Roman"/>
          <w:sz w:val="22"/>
        </w:rPr>
      </w:pPr>
      <w:r w:rsidRPr="00955DE6">
        <w:rPr>
          <w:rFonts w:ascii="Times New Roman" w:hAnsi="Times New Roman"/>
          <w:sz w:val="22"/>
        </w:rPr>
        <w:t xml:space="preserve">Obchodní podmínky tvořící </w:t>
      </w:r>
      <w:r>
        <w:rPr>
          <w:rFonts w:ascii="Times New Roman" w:hAnsi="Times New Roman"/>
          <w:sz w:val="22"/>
        </w:rPr>
        <w:t>P</w:t>
      </w:r>
      <w:r w:rsidRPr="00955DE6">
        <w:rPr>
          <w:rFonts w:ascii="Times New Roman" w:hAnsi="Times New Roman"/>
          <w:sz w:val="22"/>
        </w:rPr>
        <w:t xml:space="preserve">řílohu č. 3 představují </w:t>
      </w:r>
      <w:r w:rsidR="00D670DA">
        <w:rPr>
          <w:rFonts w:ascii="Times New Roman" w:hAnsi="Times New Roman"/>
          <w:sz w:val="22"/>
        </w:rPr>
        <w:t>v</w:t>
      </w:r>
      <w:r w:rsidR="00D670DA" w:rsidRPr="00D55143">
        <w:rPr>
          <w:rFonts w:ascii="Times New Roman" w:hAnsi="Times New Roman"/>
          <w:sz w:val="22"/>
        </w:rPr>
        <w:t> souladu s</w:t>
      </w:r>
      <w:r w:rsidR="00D670DA">
        <w:rPr>
          <w:rFonts w:ascii="Times New Roman" w:hAnsi="Times New Roman"/>
          <w:sz w:val="22"/>
        </w:rPr>
        <w:t> </w:t>
      </w:r>
      <w:r w:rsidR="003B364C">
        <w:rPr>
          <w:rFonts w:ascii="Times New Roman" w:hAnsi="Times New Roman"/>
          <w:sz w:val="22"/>
        </w:rPr>
        <w:t>ujednání</w:t>
      </w:r>
      <w:r w:rsidR="00D670DA">
        <w:rPr>
          <w:rFonts w:ascii="Times New Roman" w:hAnsi="Times New Roman"/>
          <w:sz w:val="22"/>
        </w:rPr>
        <w:t xml:space="preserve">m </w:t>
      </w:r>
      <w:r w:rsidR="00D670DA" w:rsidRPr="00680376">
        <w:rPr>
          <w:rFonts w:ascii="Times New Roman" w:hAnsi="Times New Roman"/>
          <w:sz w:val="22"/>
        </w:rPr>
        <w:t>§ 1751 odst. 1 občanského zákoníku</w:t>
      </w:r>
      <w:r w:rsidR="00D670DA" w:rsidRPr="00955DE6">
        <w:rPr>
          <w:rFonts w:ascii="Times New Roman" w:hAnsi="Times New Roman"/>
          <w:sz w:val="22"/>
        </w:rPr>
        <w:t xml:space="preserve"> </w:t>
      </w:r>
      <w:r w:rsidRPr="00955DE6">
        <w:rPr>
          <w:rFonts w:ascii="Times New Roman" w:hAnsi="Times New Roman"/>
          <w:sz w:val="22"/>
        </w:rPr>
        <w:t xml:space="preserve">nedílnou součást </w:t>
      </w:r>
      <w:r>
        <w:rPr>
          <w:rFonts w:ascii="Times New Roman" w:hAnsi="Times New Roman"/>
          <w:sz w:val="22"/>
        </w:rPr>
        <w:t>tohoto Smluvního dopisu</w:t>
      </w:r>
      <w:r w:rsidR="00F943BA" w:rsidRPr="00955DE6">
        <w:rPr>
          <w:rFonts w:ascii="Times New Roman" w:hAnsi="Times New Roman"/>
          <w:sz w:val="22"/>
        </w:rPr>
        <w:t>.</w:t>
      </w:r>
    </w:p>
    <w:p w14:paraId="515EF1FF" w14:textId="77777777" w:rsidR="00FE1685" w:rsidRPr="006F52E2" w:rsidRDefault="00FE1685" w:rsidP="006F52E2">
      <w:pPr>
        <w:pStyle w:val="BodyText1"/>
        <w:ind w:left="709"/>
        <w:jc w:val="both"/>
        <w:rPr>
          <w:rFonts w:ascii="Times New Roman" w:hAnsi="Times New Roman"/>
          <w:sz w:val="22"/>
        </w:rPr>
      </w:pPr>
    </w:p>
    <w:p w14:paraId="448B4932" w14:textId="57213D02" w:rsidR="00EA7D7F" w:rsidRDefault="00EA7D7F" w:rsidP="00EA7D7F">
      <w:pPr>
        <w:pStyle w:val="smlouvaheading1"/>
        <w:rPr>
          <w:rFonts w:ascii="Times New Roman" w:hAnsi="Times New Roman"/>
          <w:sz w:val="22"/>
          <w:szCs w:val="22"/>
        </w:rPr>
      </w:pPr>
      <w:r>
        <w:rPr>
          <w:rFonts w:ascii="Times New Roman" w:hAnsi="Times New Roman"/>
          <w:sz w:val="22"/>
          <w:szCs w:val="22"/>
        </w:rPr>
        <w:t>Ostatní ujednání</w:t>
      </w:r>
    </w:p>
    <w:p w14:paraId="1748EE9F" w14:textId="63B04CDA" w:rsidR="00EA7D7F" w:rsidRPr="006F52E2" w:rsidRDefault="00EA7D7F" w:rsidP="006F52E2">
      <w:pPr>
        <w:pStyle w:val="smlouvaheading2"/>
        <w:rPr>
          <w:rFonts w:ascii="Times New Roman" w:hAnsi="Times New Roman"/>
          <w:sz w:val="22"/>
        </w:rPr>
      </w:pPr>
      <w:r w:rsidRPr="006F52E2">
        <w:rPr>
          <w:rFonts w:ascii="Times New Roman" w:hAnsi="Times New Roman"/>
          <w:sz w:val="22"/>
        </w:rPr>
        <w:t xml:space="preserve">Při ukončení smlouvy dříve než řádným poskytnutím Služeb má </w:t>
      </w:r>
      <w:proofErr w:type="spellStart"/>
      <w:r w:rsidRPr="006F52E2">
        <w:rPr>
          <w:rFonts w:ascii="Times New Roman" w:hAnsi="Times New Roman"/>
          <w:sz w:val="22"/>
        </w:rPr>
        <w:t>Deloitte</w:t>
      </w:r>
      <w:proofErr w:type="spellEnd"/>
      <w:r w:rsidRPr="006F52E2">
        <w:rPr>
          <w:rFonts w:ascii="Times New Roman" w:hAnsi="Times New Roman"/>
          <w:sz w:val="22"/>
        </w:rPr>
        <w:t xml:space="preserve"> nárok na úhradu Ceny nebo její č</w:t>
      </w:r>
      <w:r w:rsidR="006F52E2">
        <w:rPr>
          <w:rFonts w:ascii="Times New Roman" w:hAnsi="Times New Roman"/>
          <w:sz w:val="22"/>
        </w:rPr>
        <w:t>á</w:t>
      </w:r>
      <w:r w:rsidRPr="00FA6BB7">
        <w:rPr>
          <w:rFonts w:ascii="Times New Roman" w:hAnsi="Times New Roman"/>
          <w:sz w:val="22"/>
        </w:rPr>
        <w:t xml:space="preserve">sti pouze v případě, že k ukončení </w:t>
      </w:r>
      <w:r w:rsidR="006F52E2">
        <w:rPr>
          <w:rFonts w:ascii="Times New Roman" w:hAnsi="Times New Roman"/>
          <w:sz w:val="22"/>
        </w:rPr>
        <w:t>S</w:t>
      </w:r>
      <w:r w:rsidRPr="00FA6BB7">
        <w:rPr>
          <w:rFonts w:ascii="Times New Roman" w:hAnsi="Times New Roman"/>
          <w:sz w:val="22"/>
        </w:rPr>
        <w:t xml:space="preserve">mlouvy došlo na základě porušení povinností Klienta dle této Smlouvy. </w:t>
      </w:r>
    </w:p>
    <w:p w14:paraId="3EE3B39D" w14:textId="67FB1DE1" w:rsidR="00EA7D7F" w:rsidRPr="006F52E2" w:rsidRDefault="00EA7D7F" w:rsidP="006F52E2">
      <w:pPr>
        <w:pStyle w:val="smlouvaheading2"/>
        <w:rPr>
          <w:rFonts w:ascii="Times New Roman" w:hAnsi="Times New Roman"/>
          <w:sz w:val="22"/>
        </w:rPr>
      </w:pPr>
      <w:proofErr w:type="spellStart"/>
      <w:r w:rsidRPr="006F52E2">
        <w:rPr>
          <w:rFonts w:ascii="Times New Roman" w:hAnsi="Times New Roman"/>
          <w:sz w:val="22"/>
        </w:rPr>
        <w:t>Deloitte</w:t>
      </w:r>
      <w:proofErr w:type="spellEnd"/>
      <w:r w:rsidRPr="006F52E2">
        <w:rPr>
          <w:rFonts w:ascii="Times New Roman" w:hAnsi="Times New Roman"/>
          <w:sz w:val="22"/>
        </w:rPr>
        <w:t xml:space="preserve"> a Společnosti skupiny </w:t>
      </w:r>
      <w:proofErr w:type="spellStart"/>
      <w:r w:rsidRPr="006F52E2">
        <w:rPr>
          <w:rFonts w:ascii="Times New Roman" w:hAnsi="Times New Roman"/>
          <w:sz w:val="22"/>
        </w:rPr>
        <w:t>Deloitte</w:t>
      </w:r>
      <w:proofErr w:type="spellEnd"/>
      <w:r w:rsidRPr="006F52E2">
        <w:rPr>
          <w:rFonts w:ascii="Times New Roman" w:hAnsi="Times New Roman"/>
          <w:sz w:val="22"/>
        </w:rPr>
        <w:t xml:space="preserve"> mohou zkušenosti, dovednosti, znalosti a myšlenky získané v souvislosti s poskytováním Služeb používat a zveřejňovat za podmínky zachování mlčenlivosti.</w:t>
      </w:r>
    </w:p>
    <w:p w14:paraId="58D7CA47" w14:textId="7D813B08" w:rsidR="00EA7D7F" w:rsidRPr="00320535" w:rsidRDefault="00EA7D7F" w:rsidP="006F52E2">
      <w:pPr>
        <w:pStyle w:val="smlouvaheading2"/>
        <w:rPr>
          <w:rFonts w:ascii="Times New Roman" w:hAnsi="Times New Roman"/>
          <w:sz w:val="22"/>
        </w:rPr>
      </w:pPr>
      <w:r w:rsidRPr="00816E6D">
        <w:rPr>
          <w:rFonts w:ascii="Times New Roman" w:hAnsi="Times New Roman"/>
          <w:sz w:val="22"/>
        </w:rPr>
        <w:t>Lhůt</w:t>
      </w:r>
      <w:r w:rsidRPr="00AA5516">
        <w:rPr>
          <w:rFonts w:ascii="Times New Roman" w:hAnsi="Times New Roman"/>
          <w:sz w:val="22"/>
        </w:rPr>
        <w:t>y k podání žalob vztahujících se ke Smlouvě se budou řídit obec</w:t>
      </w:r>
      <w:r w:rsidR="006F52E2">
        <w:rPr>
          <w:rFonts w:ascii="Times New Roman" w:hAnsi="Times New Roman"/>
          <w:sz w:val="22"/>
        </w:rPr>
        <w:t>ně závaznými</w:t>
      </w:r>
      <w:r w:rsidRPr="00AA5516">
        <w:rPr>
          <w:rFonts w:ascii="Times New Roman" w:hAnsi="Times New Roman"/>
          <w:sz w:val="22"/>
        </w:rPr>
        <w:t xml:space="preserve"> právními předpisy.</w:t>
      </w:r>
    </w:p>
    <w:p w14:paraId="7EC0F6CD" w14:textId="77777777" w:rsidR="00EA7D7F" w:rsidRPr="006F52E2" w:rsidRDefault="00EA7D7F" w:rsidP="00FA6BB7">
      <w:pPr>
        <w:pStyle w:val="smlouvaheading2"/>
        <w:rPr>
          <w:rFonts w:ascii="Times New Roman" w:hAnsi="Times New Roman"/>
          <w:sz w:val="22"/>
        </w:rPr>
      </w:pPr>
      <w:r w:rsidRPr="00320535">
        <w:rPr>
          <w:rFonts w:ascii="Times New Roman" w:hAnsi="Times New Roman"/>
          <w:sz w:val="22"/>
        </w:rPr>
        <w:t>Ustanovení čl. 10 odst. f) Obchodních podmínek se neuplatní.</w:t>
      </w:r>
    </w:p>
    <w:p w14:paraId="389426F6" w14:textId="61C29B10" w:rsidR="00EA7D7F" w:rsidRPr="00AA5516" w:rsidRDefault="00EA7D7F" w:rsidP="00FA6BB7">
      <w:pPr>
        <w:pStyle w:val="smlouvaheading2"/>
        <w:rPr>
          <w:rFonts w:ascii="Times New Roman" w:hAnsi="Times New Roman"/>
          <w:sz w:val="22"/>
        </w:rPr>
      </w:pPr>
      <w:r w:rsidRPr="00816E6D">
        <w:rPr>
          <w:rFonts w:ascii="Times New Roman" w:hAnsi="Times New Roman"/>
          <w:sz w:val="22"/>
        </w:rPr>
        <w:t xml:space="preserve">Smluvní strany </w:t>
      </w:r>
      <w:r w:rsidR="006F52E2">
        <w:rPr>
          <w:rFonts w:ascii="Times New Roman" w:hAnsi="Times New Roman"/>
          <w:sz w:val="22"/>
        </w:rPr>
        <w:t>potvrzují</w:t>
      </w:r>
      <w:r w:rsidRPr="00816E6D">
        <w:rPr>
          <w:rFonts w:ascii="Times New Roman" w:hAnsi="Times New Roman"/>
          <w:sz w:val="22"/>
        </w:rPr>
        <w:t xml:space="preserve">, že </w:t>
      </w:r>
      <w:r w:rsidR="008227C2">
        <w:rPr>
          <w:rFonts w:ascii="Times New Roman" w:hAnsi="Times New Roman"/>
          <w:sz w:val="22"/>
        </w:rPr>
        <w:t xml:space="preserve">podklady Klienta předkládané </w:t>
      </w:r>
      <w:proofErr w:type="spellStart"/>
      <w:r w:rsidR="008227C2">
        <w:rPr>
          <w:rFonts w:ascii="Times New Roman" w:hAnsi="Times New Roman"/>
          <w:sz w:val="22"/>
        </w:rPr>
        <w:t>Deloitte</w:t>
      </w:r>
      <w:proofErr w:type="spellEnd"/>
      <w:r w:rsidR="008227C2">
        <w:rPr>
          <w:rFonts w:ascii="Times New Roman" w:hAnsi="Times New Roman"/>
          <w:sz w:val="22"/>
        </w:rPr>
        <w:t xml:space="preserve"> v</w:t>
      </w:r>
      <w:r w:rsidRPr="00816E6D">
        <w:rPr>
          <w:rFonts w:ascii="Times New Roman" w:hAnsi="Times New Roman"/>
          <w:sz w:val="22"/>
        </w:rPr>
        <w:t> </w:t>
      </w:r>
      <w:r w:rsidRPr="00AA5516">
        <w:rPr>
          <w:rFonts w:ascii="Times New Roman" w:hAnsi="Times New Roman"/>
          <w:sz w:val="22"/>
        </w:rPr>
        <w:t>rámci poskytování Služeb nebud</w:t>
      </w:r>
      <w:r w:rsidR="008227C2">
        <w:rPr>
          <w:rFonts w:ascii="Times New Roman" w:hAnsi="Times New Roman"/>
          <w:sz w:val="22"/>
        </w:rPr>
        <w:t>ou obsahovat</w:t>
      </w:r>
      <w:r w:rsidRPr="00816E6D">
        <w:rPr>
          <w:rFonts w:ascii="Times New Roman" w:hAnsi="Times New Roman"/>
          <w:sz w:val="22"/>
        </w:rPr>
        <w:t> </w:t>
      </w:r>
      <w:r w:rsidRPr="00AA5516">
        <w:rPr>
          <w:rFonts w:ascii="Times New Roman" w:hAnsi="Times New Roman"/>
          <w:sz w:val="22"/>
        </w:rPr>
        <w:t>osobní údaj</w:t>
      </w:r>
      <w:r w:rsidR="008227C2">
        <w:rPr>
          <w:rFonts w:ascii="Times New Roman" w:hAnsi="Times New Roman"/>
          <w:sz w:val="22"/>
        </w:rPr>
        <w:t>e</w:t>
      </w:r>
      <w:r w:rsidRPr="00816E6D">
        <w:rPr>
          <w:rFonts w:ascii="Times New Roman" w:hAnsi="Times New Roman"/>
          <w:sz w:val="22"/>
        </w:rPr>
        <w:t>.</w:t>
      </w:r>
    </w:p>
    <w:p w14:paraId="5976BBD5" w14:textId="1D7A874E" w:rsidR="0098407B" w:rsidRPr="006F52E2" w:rsidRDefault="0098407B" w:rsidP="00FA6BB7">
      <w:pPr>
        <w:pStyle w:val="BodyText1"/>
      </w:pPr>
    </w:p>
    <w:p w14:paraId="6586B47D" w14:textId="77777777" w:rsidR="00F339A0" w:rsidRPr="00955DE6" w:rsidRDefault="00F339A0" w:rsidP="00447617">
      <w:pPr>
        <w:pStyle w:val="BodyText1"/>
        <w:ind w:left="510"/>
        <w:jc w:val="both"/>
        <w:rPr>
          <w:rFonts w:ascii="Times New Roman" w:hAnsi="Times New Roman"/>
          <w:sz w:val="22"/>
          <w:szCs w:val="22"/>
          <w:highlight w:val="yellow"/>
        </w:rPr>
      </w:pPr>
    </w:p>
    <w:p w14:paraId="7BC7010A" w14:textId="7CCDA5D5" w:rsidR="00F943BA" w:rsidRPr="00955DE6" w:rsidRDefault="00707B58" w:rsidP="00F339A0">
      <w:pPr>
        <w:pStyle w:val="smlouvaheading1"/>
        <w:rPr>
          <w:rFonts w:ascii="Times New Roman" w:hAnsi="Times New Roman"/>
          <w:sz w:val="22"/>
          <w:szCs w:val="22"/>
        </w:rPr>
      </w:pPr>
      <w:r w:rsidRPr="00955DE6">
        <w:rPr>
          <w:rFonts w:ascii="Times New Roman" w:hAnsi="Times New Roman"/>
          <w:sz w:val="22"/>
          <w:szCs w:val="22"/>
        </w:rPr>
        <w:t xml:space="preserve">Závěrečná </w:t>
      </w:r>
      <w:r w:rsidR="003B364C">
        <w:rPr>
          <w:rFonts w:ascii="Times New Roman" w:hAnsi="Times New Roman"/>
          <w:sz w:val="22"/>
          <w:szCs w:val="22"/>
        </w:rPr>
        <w:t>ujednání</w:t>
      </w:r>
      <w:r w:rsidRPr="00955DE6">
        <w:rPr>
          <w:rFonts w:ascii="Times New Roman" w:hAnsi="Times New Roman"/>
          <w:sz w:val="22"/>
          <w:szCs w:val="22"/>
        </w:rPr>
        <w:t xml:space="preserve"> </w:t>
      </w:r>
    </w:p>
    <w:p w14:paraId="1C7FD079" w14:textId="121980CF" w:rsidR="00BC7FFA" w:rsidRPr="00955DE6" w:rsidRDefault="00707B58" w:rsidP="00BC7FFA">
      <w:pPr>
        <w:pStyle w:val="smlouvaheading2"/>
        <w:rPr>
          <w:rFonts w:ascii="Times New Roman" w:hAnsi="Times New Roman"/>
          <w:sz w:val="22"/>
        </w:rPr>
      </w:pPr>
      <w:r w:rsidRPr="00955DE6">
        <w:rPr>
          <w:rFonts w:ascii="Times New Roman" w:hAnsi="Times New Roman"/>
          <w:sz w:val="22"/>
        </w:rPr>
        <w:t xml:space="preserve">Obě </w:t>
      </w:r>
      <w:r w:rsidR="000D444D">
        <w:rPr>
          <w:rFonts w:ascii="Times New Roman" w:hAnsi="Times New Roman"/>
          <w:sz w:val="22"/>
        </w:rPr>
        <w:t xml:space="preserve">smluvní </w:t>
      </w:r>
      <w:r w:rsidRPr="00955DE6">
        <w:rPr>
          <w:rFonts w:ascii="Times New Roman" w:hAnsi="Times New Roman"/>
          <w:sz w:val="22"/>
        </w:rPr>
        <w:t xml:space="preserve">strany se seznámily s obsahem této Smlouvy a souhlasí, že budou vázány jejími </w:t>
      </w:r>
      <w:r w:rsidR="003B364C">
        <w:rPr>
          <w:rFonts w:ascii="Times New Roman" w:hAnsi="Times New Roman"/>
          <w:sz w:val="22"/>
        </w:rPr>
        <w:t>ujednání</w:t>
      </w:r>
      <w:r w:rsidRPr="00955DE6">
        <w:rPr>
          <w:rFonts w:ascii="Times New Roman" w:hAnsi="Times New Roman"/>
          <w:sz w:val="22"/>
        </w:rPr>
        <w:t>mi</w:t>
      </w:r>
      <w:r w:rsidR="00BC7FFA" w:rsidRPr="00955DE6">
        <w:rPr>
          <w:rFonts w:ascii="Times New Roman" w:hAnsi="Times New Roman"/>
          <w:sz w:val="22"/>
        </w:rPr>
        <w:t xml:space="preserve">. </w:t>
      </w:r>
    </w:p>
    <w:p w14:paraId="6E6D84E6" w14:textId="77777777" w:rsidR="009B0ABD" w:rsidRDefault="009B0ABD" w:rsidP="00F339A0">
      <w:pPr>
        <w:pStyle w:val="smlouvaheading2"/>
        <w:rPr>
          <w:rFonts w:ascii="Times New Roman" w:hAnsi="Times New Roman"/>
          <w:sz w:val="22"/>
        </w:rPr>
      </w:pPr>
      <w:r w:rsidRPr="009B0ABD">
        <w:rPr>
          <w:rFonts w:ascii="Times New Roman" w:hAnsi="Times New Roman"/>
          <w:sz w:val="22"/>
        </w:rPr>
        <w:t xml:space="preserve">Veškeré změny nebo dodatky ke Smlouvě musejí být provedeny písemně. </w:t>
      </w:r>
      <w:r w:rsidR="000C05F6">
        <w:rPr>
          <w:rFonts w:ascii="Times New Roman" w:hAnsi="Times New Roman"/>
          <w:sz w:val="22"/>
        </w:rPr>
        <w:t>J</w:t>
      </w:r>
      <w:r w:rsidR="000C05F6" w:rsidRPr="000C05F6">
        <w:rPr>
          <w:rFonts w:ascii="Times New Roman" w:hAnsi="Times New Roman"/>
          <w:sz w:val="22"/>
        </w:rPr>
        <w:t>akékoliv změny návrhu Smlouvy nebo návrhu dodatku Smlouvy budou Smluvní strany považovat za nový návrh Smlouvy nebo nový návrh dodatku Smlouvy. Smluvní strany použití § 1740 odst. 3, občanského zákoníku, vylučují</w:t>
      </w:r>
      <w:r w:rsidRPr="009B0ABD">
        <w:rPr>
          <w:rFonts w:ascii="Times New Roman" w:hAnsi="Times New Roman"/>
          <w:sz w:val="22"/>
        </w:rPr>
        <w:t>. Klient bere v potaz a souhlasí s článkem 6 Obchodních podmínek omezujícím odpovědnost za škodu.</w:t>
      </w:r>
    </w:p>
    <w:p w14:paraId="6014B5DE" w14:textId="7049FBEA" w:rsidR="00CA415C" w:rsidRPr="006F52E2" w:rsidRDefault="00CA415C" w:rsidP="006F52E2">
      <w:pPr>
        <w:pStyle w:val="smlouvaheading2"/>
        <w:rPr>
          <w:rFonts w:ascii="Times New Roman" w:hAnsi="Times New Roman"/>
          <w:sz w:val="22"/>
        </w:rPr>
      </w:pPr>
      <w:proofErr w:type="spellStart"/>
      <w:r w:rsidRPr="006F52E2">
        <w:rPr>
          <w:rFonts w:ascii="Times New Roman" w:hAnsi="Times New Roman"/>
          <w:sz w:val="22"/>
        </w:rPr>
        <w:lastRenderedPageBreak/>
        <w:t>Deloitte</w:t>
      </w:r>
      <w:proofErr w:type="spellEnd"/>
      <w:r w:rsidRPr="006F52E2">
        <w:rPr>
          <w:rFonts w:ascii="Times New Roman" w:hAnsi="Times New Roman"/>
          <w:sz w:val="22"/>
        </w:rPr>
        <w:t xml:space="preserve"> bere na vědomí, že </w:t>
      </w:r>
      <w:r w:rsidR="004E125C" w:rsidRPr="006F52E2">
        <w:rPr>
          <w:rFonts w:ascii="Times New Roman" w:hAnsi="Times New Roman"/>
          <w:sz w:val="22"/>
        </w:rPr>
        <w:t>Klient</w:t>
      </w:r>
      <w:r w:rsidRPr="006F52E2">
        <w:rPr>
          <w:rFonts w:ascii="Times New Roman" w:hAnsi="Times New Roman"/>
          <w:sz w:val="22"/>
        </w:rPr>
        <w:t xml:space="preserve"> je subjektem povinným zveřejňovat smlouv</w:t>
      </w:r>
      <w:r w:rsidR="004E125C" w:rsidRPr="006F52E2">
        <w:rPr>
          <w:rFonts w:ascii="Times New Roman" w:hAnsi="Times New Roman"/>
          <w:sz w:val="22"/>
        </w:rPr>
        <w:t xml:space="preserve">y dle zákona č. 340/2015 Sb., a Klient </w:t>
      </w:r>
      <w:r w:rsidRPr="006F52E2">
        <w:rPr>
          <w:rFonts w:ascii="Times New Roman" w:hAnsi="Times New Roman"/>
          <w:sz w:val="22"/>
        </w:rPr>
        <w:t>tuto smlouvu uveřejnění v registru smluv.</w:t>
      </w:r>
    </w:p>
    <w:p w14:paraId="5562DD12" w14:textId="77777777" w:rsidR="00CA415C" w:rsidRPr="00CA415C" w:rsidRDefault="00CA415C" w:rsidP="00CA415C">
      <w:pPr>
        <w:pStyle w:val="BodyText1"/>
      </w:pPr>
    </w:p>
    <w:p w14:paraId="7A906EAD" w14:textId="77777777" w:rsidR="00707B58" w:rsidRPr="00955DE6" w:rsidRDefault="00707B58" w:rsidP="00F339A0">
      <w:pPr>
        <w:pStyle w:val="smlouvaheading2"/>
        <w:rPr>
          <w:rFonts w:ascii="Times New Roman" w:hAnsi="Times New Roman"/>
          <w:sz w:val="22"/>
        </w:rPr>
      </w:pPr>
      <w:r w:rsidRPr="00955DE6">
        <w:rPr>
          <w:rFonts w:ascii="Times New Roman" w:hAnsi="Times New Roman"/>
          <w:sz w:val="22"/>
        </w:rPr>
        <w:t xml:space="preserve">Tato Smlouva bude vyhotovena ve dvou (2) stejnopisech s platností originálu. Každá strana smlouvy obdrží jeden stejnopis včetně příloh, které tvoří nedílnou součást Smlouvy. Jeden stejnopis připadne Klientovi, druhý obdrží </w:t>
      </w:r>
      <w:proofErr w:type="spellStart"/>
      <w:r w:rsidRPr="00955DE6">
        <w:rPr>
          <w:rFonts w:ascii="Times New Roman" w:hAnsi="Times New Roman"/>
          <w:sz w:val="22"/>
        </w:rPr>
        <w:t>Deloitte</w:t>
      </w:r>
      <w:proofErr w:type="spellEnd"/>
      <w:r w:rsidRPr="00955DE6">
        <w:rPr>
          <w:rFonts w:ascii="Times New Roman" w:hAnsi="Times New Roman"/>
          <w:sz w:val="22"/>
        </w:rPr>
        <w:t xml:space="preserve">. </w:t>
      </w:r>
    </w:p>
    <w:p w14:paraId="11F2DE42" w14:textId="77777777" w:rsidR="00F943BA" w:rsidRPr="00955DE6" w:rsidRDefault="00707B58" w:rsidP="00F339A0">
      <w:pPr>
        <w:pStyle w:val="smlouvaheading2"/>
        <w:rPr>
          <w:rFonts w:ascii="Times New Roman" w:hAnsi="Times New Roman"/>
          <w:sz w:val="22"/>
        </w:rPr>
      </w:pPr>
      <w:r w:rsidRPr="00955DE6">
        <w:rPr>
          <w:rFonts w:ascii="Times New Roman" w:hAnsi="Times New Roman"/>
          <w:sz w:val="22"/>
        </w:rPr>
        <w:t>S</w:t>
      </w:r>
      <w:r w:rsidR="000D444D">
        <w:rPr>
          <w:rFonts w:ascii="Times New Roman" w:hAnsi="Times New Roman"/>
          <w:sz w:val="22"/>
        </w:rPr>
        <w:t>mluvní s</w:t>
      </w:r>
      <w:r w:rsidRPr="00955DE6">
        <w:rPr>
          <w:rFonts w:ascii="Times New Roman" w:hAnsi="Times New Roman"/>
          <w:sz w:val="22"/>
        </w:rPr>
        <w:t xml:space="preserve">trany prohlašují, že text této Smlouvy vzájemně projednaly a že ve věci jejího obsahu i znění dosáhly úplné shody. </w:t>
      </w:r>
      <w:r w:rsidR="00286BC9" w:rsidRPr="00955DE6">
        <w:rPr>
          <w:rFonts w:ascii="Times New Roman" w:hAnsi="Times New Roman"/>
          <w:sz w:val="22"/>
        </w:rPr>
        <w:t>Na důkaz toho, že text Smlouvy zcela odpov</w:t>
      </w:r>
      <w:r w:rsidR="00955DE6">
        <w:rPr>
          <w:rFonts w:ascii="Times New Roman" w:hAnsi="Times New Roman"/>
          <w:sz w:val="22"/>
        </w:rPr>
        <w:t>í</w:t>
      </w:r>
      <w:r w:rsidR="00286BC9" w:rsidRPr="00955DE6">
        <w:rPr>
          <w:rFonts w:ascii="Times New Roman" w:hAnsi="Times New Roman"/>
          <w:sz w:val="22"/>
        </w:rPr>
        <w:t>d</w:t>
      </w:r>
      <w:r w:rsidR="00955DE6">
        <w:rPr>
          <w:rFonts w:ascii="Times New Roman" w:hAnsi="Times New Roman"/>
          <w:sz w:val="22"/>
        </w:rPr>
        <w:t>á</w:t>
      </w:r>
      <w:r w:rsidR="00286BC9" w:rsidRPr="00955DE6">
        <w:rPr>
          <w:rFonts w:ascii="Times New Roman" w:hAnsi="Times New Roman"/>
          <w:sz w:val="22"/>
        </w:rPr>
        <w:t xml:space="preserve"> vůli </w:t>
      </w:r>
      <w:r w:rsidR="000D444D">
        <w:rPr>
          <w:rFonts w:ascii="Times New Roman" w:hAnsi="Times New Roman"/>
          <w:sz w:val="22"/>
        </w:rPr>
        <w:t xml:space="preserve">smluvních </w:t>
      </w:r>
      <w:r w:rsidR="00286BC9" w:rsidRPr="00955DE6">
        <w:rPr>
          <w:rFonts w:ascii="Times New Roman" w:hAnsi="Times New Roman"/>
          <w:sz w:val="22"/>
        </w:rPr>
        <w:t>stran a že nebyl podepsán v tísni ani za nápadně nevýhodných podmíne</w:t>
      </w:r>
      <w:r w:rsidR="00955DE6">
        <w:rPr>
          <w:rFonts w:ascii="Times New Roman" w:hAnsi="Times New Roman"/>
          <w:sz w:val="22"/>
        </w:rPr>
        <w:t>k</w:t>
      </w:r>
      <w:r w:rsidR="00286BC9" w:rsidRPr="00955DE6">
        <w:rPr>
          <w:rFonts w:ascii="Times New Roman" w:hAnsi="Times New Roman"/>
          <w:sz w:val="22"/>
        </w:rPr>
        <w:t>,</w:t>
      </w:r>
      <w:r w:rsidR="000D444D">
        <w:rPr>
          <w:rFonts w:ascii="Times New Roman" w:hAnsi="Times New Roman"/>
          <w:sz w:val="22"/>
        </w:rPr>
        <w:t xml:space="preserve"> smluvní strany</w:t>
      </w:r>
      <w:r w:rsidR="00286BC9" w:rsidRPr="00955DE6">
        <w:rPr>
          <w:rFonts w:ascii="Times New Roman" w:hAnsi="Times New Roman"/>
          <w:sz w:val="22"/>
        </w:rPr>
        <w:t xml:space="preserve"> připojují své podpisy. </w:t>
      </w:r>
    </w:p>
    <w:p w14:paraId="2D4543BF" w14:textId="77777777" w:rsidR="00220010" w:rsidRDefault="00220010" w:rsidP="00220010">
      <w:pPr>
        <w:pStyle w:val="BodyText1"/>
        <w:ind w:left="5040" w:hanging="5040"/>
        <w:rPr>
          <w:rFonts w:ascii="Times New Roman" w:hAnsi="Times New Roman"/>
          <w:sz w:val="22"/>
          <w:szCs w:val="22"/>
        </w:rPr>
      </w:pPr>
    </w:p>
    <w:p w14:paraId="5544D1F3" w14:textId="318C7F2F" w:rsidR="00EA6043" w:rsidRPr="00955DE6" w:rsidRDefault="00EA6043" w:rsidP="00313B5C">
      <w:pPr>
        <w:pStyle w:val="BodyText1"/>
        <w:tabs>
          <w:tab w:val="left" w:pos="4395"/>
        </w:tabs>
        <w:rPr>
          <w:rFonts w:ascii="Times New Roman" w:hAnsi="Times New Roman"/>
          <w:sz w:val="22"/>
          <w:szCs w:val="22"/>
        </w:rPr>
      </w:pPr>
      <w:r w:rsidRPr="00955DE6">
        <w:rPr>
          <w:rFonts w:ascii="Times New Roman" w:hAnsi="Times New Roman"/>
          <w:sz w:val="22"/>
          <w:szCs w:val="22"/>
        </w:rPr>
        <w:t xml:space="preserve">V </w:t>
      </w:r>
      <w:r w:rsidR="00313B5C">
        <w:rPr>
          <w:rFonts w:ascii="Times New Roman" w:hAnsi="Times New Roman"/>
          <w:sz w:val="22"/>
          <w:szCs w:val="22"/>
        </w:rPr>
        <w:t>Praze</w:t>
      </w:r>
      <w:r w:rsidRPr="00955DE6">
        <w:rPr>
          <w:rFonts w:ascii="Times New Roman" w:hAnsi="Times New Roman"/>
          <w:sz w:val="22"/>
          <w:szCs w:val="22"/>
        </w:rPr>
        <w:t xml:space="preserve"> dne: </w:t>
      </w:r>
      <w:r w:rsidRPr="00955DE6">
        <w:rPr>
          <w:rFonts w:ascii="Times New Roman" w:hAnsi="Times New Roman"/>
          <w:sz w:val="22"/>
          <w:szCs w:val="22"/>
        </w:rPr>
        <w:fldChar w:fldCharType="begin"/>
      </w:r>
      <w:r w:rsidRPr="00955DE6">
        <w:rPr>
          <w:rFonts w:ascii="Times New Roman" w:hAnsi="Times New Roman"/>
          <w:sz w:val="22"/>
          <w:szCs w:val="22"/>
        </w:rPr>
        <w:instrText xml:space="preserve"> DATE \@ "d.M.yyyy" </w:instrText>
      </w:r>
      <w:r w:rsidRPr="00955DE6">
        <w:rPr>
          <w:rFonts w:ascii="Times New Roman" w:hAnsi="Times New Roman"/>
          <w:sz w:val="22"/>
          <w:szCs w:val="22"/>
        </w:rPr>
        <w:fldChar w:fldCharType="separate"/>
      </w:r>
      <w:r w:rsidR="003C3CE3">
        <w:rPr>
          <w:rFonts w:ascii="Times New Roman" w:hAnsi="Times New Roman"/>
          <w:noProof/>
          <w:sz w:val="22"/>
          <w:szCs w:val="22"/>
        </w:rPr>
        <w:t>19.9.2016</w:t>
      </w:r>
      <w:r w:rsidRPr="00955DE6">
        <w:rPr>
          <w:rFonts w:ascii="Times New Roman" w:hAnsi="Times New Roman"/>
          <w:sz w:val="22"/>
          <w:szCs w:val="22"/>
        </w:rPr>
        <w:fldChar w:fldCharType="end"/>
      </w:r>
      <w:r w:rsidR="00313B5C">
        <w:rPr>
          <w:rFonts w:ascii="Times New Roman" w:hAnsi="Times New Roman"/>
          <w:sz w:val="22"/>
          <w:szCs w:val="22"/>
        </w:rPr>
        <w:tab/>
      </w:r>
      <w:r w:rsidRPr="00955DE6">
        <w:rPr>
          <w:rFonts w:ascii="Times New Roman" w:hAnsi="Times New Roman"/>
          <w:sz w:val="22"/>
          <w:szCs w:val="22"/>
        </w:rPr>
        <w:t xml:space="preserve">V </w:t>
      </w:r>
      <w:r w:rsidR="00313B5C">
        <w:rPr>
          <w:rFonts w:ascii="Times New Roman" w:hAnsi="Times New Roman"/>
          <w:sz w:val="22"/>
          <w:szCs w:val="22"/>
        </w:rPr>
        <w:t>Plzni</w:t>
      </w:r>
      <w:r w:rsidRPr="00955DE6">
        <w:rPr>
          <w:rFonts w:ascii="Times New Roman" w:hAnsi="Times New Roman"/>
          <w:sz w:val="22"/>
          <w:szCs w:val="22"/>
        </w:rPr>
        <w:t xml:space="preserve"> dne: </w:t>
      </w:r>
      <w:r w:rsidRPr="00955DE6">
        <w:rPr>
          <w:rFonts w:ascii="Times New Roman" w:hAnsi="Times New Roman"/>
          <w:sz w:val="22"/>
          <w:szCs w:val="22"/>
        </w:rPr>
        <w:fldChar w:fldCharType="begin"/>
      </w:r>
      <w:r w:rsidRPr="00955DE6">
        <w:rPr>
          <w:rFonts w:ascii="Times New Roman" w:hAnsi="Times New Roman"/>
          <w:sz w:val="22"/>
          <w:szCs w:val="22"/>
        </w:rPr>
        <w:instrText xml:space="preserve"> DATE \@ "d.M.yyyy" </w:instrText>
      </w:r>
      <w:r w:rsidRPr="00955DE6">
        <w:rPr>
          <w:rFonts w:ascii="Times New Roman" w:hAnsi="Times New Roman"/>
          <w:sz w:val="22"/>
          <w:szCs w:val="22"/>
        </w:rPr>
        <w:fldChar w:fldCharType="separate"/>
      </w:r>
      <w:r w:rsidR="003C3CE3">
        <w:rPr>
          <w:rFonts w:ascii="Times New Roman" w:hAnsi="Times New Roman"/>
          <w:noProof/>
          <w:sz w:val="22"/>
          <w:szCs w:val="22"/>
        </w:rPr>
        <w:t>19.9.2016</w:t>
      </w:r>
      <w:r w:rsidRPr="00955DE6">
        <w:rPr>
          <w:rFonts w:ascii="Times New Roman" w:hAnsi="Times New Roman"/>
          <w:sz w:val="22"/>
          <w:szCs w:val="22"/>
        </w:rPr>
        <w:fldChar w:fldCharType="end"/>
      </w:r>
      <w:r w:rsidRPr="00955DE6">
        <w:rPr>
          <w:rFonts w:ascii="Times New Roman" w:hAnsi="Times New Roman"/>
          <w:sz w:val="22"/>
          <w:szCs w:val="22"/>
        </w:rPr>
        <w:t xml:space="preserve"> </w:t>
      </w:r>
    </w:p>
    <w:p w14:paraId="4C372FC4" w14:textId="77777777" w:rsidR="00EA6043" w:rsidRPr="00955DE6" w:rsidRDefault="00EA6043" w:rsidP="00EA6043">
      <w:pPr>
        <w:pStyle w:val="BodyText1"/>
        <w:rPr>
          <w:rFonts w:ascii="Times New Roman" w:hAnsi="Times New Roman"/>
          <w:sz w:val="22"/>
          <w:szCs w:val="22"/>
        </w:rPr>
      </w:pPr>
    </w:p>
    <w:p w14:paraId="7C305FE5" w14:textId="77777777" w:rsidR="00EA6043" w:rsidRPr="00955DE6" w:rsidRDefault="00EA6043" w:rsidP="00EA6043">
      <w:pPr>
        <w:pStyle w:val="BodyText1"/>
        <w:rPr>
          <w:rFonts w:ascii="Times New Roman" w:hAnsi="Times New Roman"/>
          <w:sz w:val="22"/>
          <w:szCs w:val="22"/>
        </w:rPr>
      </w:pPr>
    </w:p>
    <w:p w14:paraId="19FCFD9D" w14:textId="6CDBCDA5" w:rsidR="00EA6043" w:rsidRPr="00955DE6" w:rsidRDefault="009B0ABD" w:rsidP="00313B5C">
      <w:pPr>
        <w:pStyle w:val="BodyText1"/>
        <w:tabs>
          <w:tab w:val="left" w:pos="4395"/>
        </w:tabs>
        <w:rPr>
          <w:rFonts w:ascii="Times New Roman" w:hAnsi="Times New Roman"/>
          <w:sz w:val="22"/>
          <w:szCs w:val="22"/>
        </w:rPr>
      </w:pPr>
      <w:proofErr w:type="spellStart"/>
      <w:r w:rsidRPr="00955DE6">
        <w:rPr>
          <w:rFonts w:ascii="Times New Roman" w:hAnsi="Times New Roman"/>
          <w:b/>
          <w:sz w:val="22"/>
          <w:szCs w:val="22"/>
        </w:rPr>
        <w:t>Deloitte</w:t>
      </w:r>
      <w:proofErr w:type="spellEnd"/>
      <w:r w:rsidRPr="00955DE6">
        <w:rPr>
          <w:rFonts w:ascii="Times New Roman" w:hAnsi="Times New Roman"/>
          <w:b/>
          <w:sz w:val="22"/>
          <w:szCs w:val="22"/>
        </w:rPr>
        <w:t xml:space="preserve"> </w:t>
      </w:r>
      <w:r>
        <w:rPr>
          <w:rFonts w:ascii="Times New Roman" w:hAnsi="Times New Roman"/>
          <w:b/>
          <w:sz w:val="22"/>
          <w:szCs w:val="22"/>
        </w:rPr>
        <w:t>A</w:t>
      </w:r>
      <w:r w:rsidR="00313B5C">
        <w:rPr>
          <w:rFonts w:ascii="Times New Roman" w:hAnsi="Times New Roman"/>
          <w:b/>
          <w:sz w:val="22"/>
          <w:szCs w:val="22"/>
        </w:rPr>
        <w:t>u</w:t>
      </w:r>
      <w:r>
        <w:rPr>
          <w:rFonts w:ascii="Times New Roman" w:hAnsi="Times New Roman"/>
          <w:b/>
          <w:sz w:val="22"/>
          <w:szCs w:val="22"/>
        </w:rPr>
        <w:t>d</w:t>
      </w:r>
      <w:r w:rsidR="00313B5C">
        <w:rPr>
          <w:rFonts w:ascii="Times New Roman" w:hAnsi="Times New Roman"/>
          <w:b/>
          <w:sz w:val="22"/>
          <w:szCs w:val="22"/>
        </w:rPr>
        <w:t>it</w:t>
      </w:r>
      <w:r>
        <w:rPr>
          <w:rFonts w:ascii="Times New Roman" w:hAnsi="Times New Roman"/>
          <w:b/>
          <w:sz w:val="22"/>
          <w:szCs w:val="22"/>
        </w:rPr>
        <w:t xml:space="preserve"> s.r.o.</w:t>
      </w:r>
      <w:r w:rsidR="00313B5C">
        <w:rPr>
          <w:rFonts w:ascii="Times New Roman" w:hAnsi="Times New Roman"/>
          <w:sz w:val="22"/>
          <w:szCs w:val="22"/>
        </w:rPr>
        <w:tab/>
      </w:r>
      <w:r w:rsidR="00313B5C" w:rsidRPr="00313B5C">
        <w:rPr>
          <w:rFonts w:ascii="Times New Roman" w:hAnsi="Times New Roman"/>
          <w:b/>
          <w:sz w:val="22"/>
          <w:szCs w:val="22"/>
        </w:rPr>
        <w:t>Západočeská univerzita v Plzni</w:t>
      </w:r>
      <w:r w:rsidR="00EA6043" w:rsidRPr="00955DE6">
        <w:rPr>
          <w:rFonts w:ascii="Times New Roman" w:hAnsi="Times New Roman"/>
          <w:sz w:val="22"/>
          <w:szCs w:val="22"/>
        </w:rPr>
        <w:tab/>
      </w:r>
    </w:p>
    <w:p w14:paraId="10D67D74" w14:textId="315BFB63" w:rsidR="00C37A9C" w:rsidRDefault="003C3CE3" w:rsidP="00D56AA9">
      <w:pPr>
        <w:pStyle w:val="BodyText1"/>
        <w:ind w:left="4395" w:hanging="4395"/>
      </w:pPr>
      <w:proofErr w:type="spellStart"/>
      <w:r>
        <w:rPr>
          <w:rFonts w:ascii="Times New Roman" w:hAnsi="Times New Roman"/>
          <w:sz w:val="22"/>
          <w:szCs w:val="22"/>
        </w:rPr>
        <w:t>xxx</w:t>
      </w:r>
      <w:proofErr w:type="spellEnd"/>
      <w:r w:rsidR="00313B5C">
        <w:rPr>
          <w:rFonts w:ascii="Times New Roman" w:hAnsi="Times New Roman"/>
          <w:sz w:val="22"/>
          <w:szCs w:val="22"/>
        </w:rPr>
        <w:t xml:space="preserve">, </w:t>
      </w:r>
      <w:r w:rsidR="00EA6043" w:rsidRPr="00313B5C">
        <w:rPr>
          <w:rFonts w:ascii="Times New Roman" w:hAnsi="Times New Roman"/>
          <w:sz w:val="22"/>
          <w:szCs w:val="22"/>
        </w:rPr>
        <w:t>Partner</w:t>
      </w:r>
      <w:r w:rsidR="00313B5C">
        <w:rPr>
          <w:rFonts w:ascii="Times New Roman" w:hAnsi="Times New Roman"/>
          <w:sz w:val="22"/>
          <w:szCs w:val="22"/>
        </w:rPr>
        <w:tab/>
      </w:r>
      <w:r w:rsidR="00D56AA9">
        <w:rPr>
          <w:rFonts w:ascii="Times New Roman" w:hAnsi="Times New Roman"/>
          <w:sz w:val="22"/>
          <w:szCs w:val="22"/>
        </w:rPr>
        <w:t>Ing. Petr Beneš</w:t>
      </w:r>
    </w:p>
    <w:p w14:paraId="35E834D2" w14:textId="77777777" w:rsidR="00D56AA9" w:rsidRDefault="00D56AA9" w:rsidP="00C37A9C">
      <w:pPr>
        <w:pStyle w:val="Prosttext"/>
        <w:rPr>
          <w:rFonts w:ascii="Times New Roman" w:hAnsi="Times New Roman" w:cs="Times New Roman"/>
          <w:i/>
          <w:szCs w:val="22"/>
        </w:rPr>
      </w:pPr>
    </w:p>
    <w:p w14:paraId="283F26FF" w14:textId="77777777" w:rsidR="00D56AA9" w:rsidRDefault="00D56AA9" w:rsidP="00C37A9C">
      <w:pPr>
        <w:pStyle w:val="Prosttext"/>
        <w:rPr>
          <w:rFonts w:ascii="Times New Roman" w:hAnsi="Times New Roman" w:cs="Times New Roman"/>
          <w:i/>
          <w:szCs w:val="22"/>
        </w:rPr>
      </w:pPr>
    </w:p>
    <w:p w14:paraId="19C7BBC9" w14:textId="77777777" w:rsidR="00D56AA9" w:rsidRDefault="00D56AA9" w:rsidP="00C37A9C">
      <w:pPr>
        <w:pStyle w:val="Prosttext"/>
        <w:rPr>
          <w:rFonts w:ascii="Times New Roman" w:hAnsi="Times New Roman" w:cs="Times New Roman"/>
          <w:i/>
          <w:szCs w:val="22"/>
        </w:rPr>
      </w:pPr>
    </w:p>
    <w:p w14:paraId="1E7BDBDF" w14:textId="77777777" w:rsidR="00D56AA9" w:rsidRDefault="00D56AA9" w:rsidP="00C37A9C">
      <w:pPr>
        <w:pStyle w:val="Prosttext"/>
        <w:rPr>
          <w:rFonts w:ascii="Times New Roman" w:hAnsi="Times New Roman" w:cs="Times New Roman"/>
          <w:i/>
          <w:szCs w:val="22"/>
        </w:rPr>
      </w:pPr>
    </w:p>
    <w:p w14:paraId="10AEC94A" w14:textId="77777777" w:rsidR="00D56AA9" w:rsidRDefault="00D56AA9" w:rsidP="00C37A9C">
      <w:pPr>
        <w:pStyle w:val="Prosttext"/>
        <w:rPr>
          <w:rFonts w:ascii="Times New Roman" w:hAnsi="Times New Roman" w:cs="Times New Roman"/>
          <w:i/>
          <w:szCs w:val="22"/>
        </w:rPr>
      </w:pPr>
    </w:p>
    <w:p w14:paraId="40A57FEC" w14:textId="77777777" w:rsidR="00E5379F" w:rsidRPr="00955DE6" w:rsidRDefault="00F814BC" w:rsidP="00855EAC">
      <w:pPr>
        <w:pStyle w:val="BodyText1"/>
        <w:ind w:left="5040" w:hanging="5040"/>
        <w:rPr>
          <w:rFonts w:ascii="Times New Roman" w:hAnsi="Times New Roman"/>
          <w:b/>
          <w:sz w:val="22"/>
          <w:szCs w:val="22"/>
        </w:rPr>
      </w:pPr>
      <w:r w:rsidRPr="00955DE6">
        <w:rPr>
          <w:rFonts w:ascii="Times New Roman" w:hAnsi="Times New Roman"/>
          <w:sz w:val="22"/>
          <w:szCs w:val="22"/>
        </w:rPr>
        <w:tab/>
      </w:r>
      <w:r w:rsidRPr="00955DE6">
        <w:rPr>
          <w:rFonts w:ascii="Times New Roman" w:hAnsi="Times New Roman"/>
          <w:sz w:val="22"/>
          <w:szCs w:val="22"/>
        </w:rPr>
        <w:tab/>
      </w:r>
      <w:r w:rsidRPr="00955DE6">
        <w:rPr>
          <w:rFonts w:ascii="Times New Roman" w:hAnsi="Times New Roman"/>
          <w:sz w:val="22"/>
          <w:szCs w:val="22"/>
        </w:rPr>
        <w:tab/>
      </w:r>
      <w:r w:rsidRPr="00955DE6">
        <w:rPr>
          <w:rFonts w:ascii="Times New Roman" w:hAnsi="Times New Roman"/>
          <w:sz w:val="22"/>
          <w:szCs w:val="22"/>
        </w:rPr>
        <w:tab/>
      </w:r>
      <w:r w:rsidRPr="00955DE6">
        <w:rPr>
          <w:rFonts w:ascii="Times New Roman" w:hAnsi="Times New Roman"/>
          <w:sz w:val="22"/>
          <w:szCs w:val="22"/>
        </w:rPr>
        <w:tab/>
      </w:r>
    </w:p>
    <w:p w14:paraId="282954F5" w14:textId="77777777" w:rsidR="0050366B" w:rsidRPr="00955DE6" w:rsidRDefault="0050366B" w:rsidP="008E0ABF">
      <w:pPr>
        <w:pStyle w:val="BodyText1"/>
        <w:jc w:val="center"/>
        <w:rPr>
          <w:rFonts w:ascii="Times New Roman" w:hAnsi="Times New Roman"/>
          <w:b/>
          <w:sz w:val="22"/>
          <w:szCs w:val="22"/>
        </w:rPr>
        <w:sectPr w:rsidR="0050366B" w:rsidRPr="00955DE6" w:rsidSect="00AC7C5F">
          <w:headerReference w:type="default" r:id="rId16"/>
          <w:footerReference w:type="default" r:id="rId17"/>
          <w:type w:val="continuous"/>
          <w:pgSz w:w="11906" w:h="16838" w:code="9"/>
          <w:pgMar w:top="1418" w:right="1418" w:bottom="1418" w:left="1418" w:header="709" w:footer="709" w:gutter="0"/>
          <w:paperSrc w:first="15" w:other="15"/>
          <w:cols w:space="708"/>
          <w:docGrid w:linePitch="360"/>
        </w:sectPr>
      </w:pPr>
    </w:p>
    <w:p w14:paraId="54ACF4C6" w14:textId="77777777" w:rsidR="00E5379F" w:rsidRPr="00955DE6" w:rsidRDefault="00E5379F" w:rsidP="008E0ABF">
      <w:pPr>
        <w:pStyle w:val="BodyText1"/>
        <w:jc w:val="center"/>
        <w:rPr>
          <w:rFonts w:ascii="Times New Roman" w:hAnsi="Times New Roman"/>
          <w:b/>
          <w:sz w:val="22"/>
          <w:szCs w:val="22"/>
        </w:rPr>
      </w:pPr>
    </w:p>
    <w:p w14:paraId="0A372B7F" w14:textId="77777777" w:rsidR="00D0755D" w:rsidRPr="00955DE6" w:rsidRDefault="00286BC9" w:rsidP="00E5379F">
      <w:pPr>
        <w:pStyle w:val="BodyText1"/>
        <w:jc w:val="center"/>
        <w:rPr>
          <w:rFonts w:ascii="Times New Roman" w:hAnsi="Times New Roman"/>
          <w:sz w:val="22"/>
          <w:szCs w:val="22"/>
        </w:rPr>
      </w:pPr>
      <w:r w:rsidRPr="00955DE6">
        <w:rPr>
          <w:rFonts w:ascii="Times New Roman" w:hAnsi="Times New Roman"/>
          <w:b/>
          <w:sz w:val="22"/>
          <w:szCs w:val="22"/>
        </w:rPr>
        <w:t xml:space="preserve">Příloha č. </w:t>
      </w:r>
      <w:r w:rsidR="008E0ABF" w:rsidRPr="00955DE6">
        <w:rPr>
          <w:rFonts w:ascii="Times New Roman" w:hAnsi="Times New Roman"/>
          <w:b/>
          <w:sz w:val="22"/>
          <w:szCs w:val="22"/>
        </w:rPr>
        <w:t>1</w:t>
      </w:r>
    </w:p>
    <w:p w14:paraId="018C5945" w14:textId="77777777" w:rsidR="008E0ABF" w:rsidRPr="00955DE6" w:rsidRDefault="00286BC9" w:rsidP="00E5379F">
      <w:pPr>
        <w:pStyle w:val="Bodytextbold"/>
        <w:jc w:val="center"/>
        <w:rPr>
          <w:rFonts w:ascii="Times New Roman" w:hAnsi="Times New Roman"/>
          <w:sz w:val="22"/>
        </w:rPr>
      </w:pPr>
      <w:r w:rsidRPr="00955DE6">
        <w:rPr>
          <w:rFonts w:ascii="Times New Roman" w:hAnsi="Times New Roman"/>
          <w:sz w:val="22"/>
        </w:rPr>
        <w:t xml:space="preserve">Rozsah Služeb </w:t>
      </w:r>
    </w:p>
    <w:p w14:paraId="00494D0A" w14:textId="77777777" w:rsidR="008E0ABF" w:rsidRPr="00955DE6" w:rsidRDefault="008E0ABF" w:rsidP="008E0ABF">
      <w:pPr>
        <w:pStyle w:val="BodyText1"/>
        <w:rPr>
          <w:rFonts w:ascii="Times New Roman" w:hAnsi="Times New Roman"/>
          <w:sz w:val="22"/>
          <w:szCs w:val="22"/>
        </w:rPr>
      </w:pPr>
    </w:p>
    <w:p w14:paraId="54BF1084" w14:textId="77777777" w:rsidR="00F943BA" w:rsidRPr="00955DE6" w:rsidRDefault="00F943BA" w:rsidP="008E0ABF">
      <w:pPr>
        <w:pStyle w:val="BodyText1"/>
        <w:rPr>
          <w:rFonts w:ascii="Times New Roman" w:hAnsi="Times New Roman"/>
          <w:sz w:val="22"/>
          <w:szCs w:val="22"/>
        </w:rPr>
      </w:pPr>
    </w:p>
    <w:p w14:paraId="5692DB93" w14:textId="644288C8" w:rsidR="008E0ABF" w:rsidRPr="00955DE6" w:rsidRDefault="008E0ABF" w:rsidP="008E0ABF">
      <w:pPr>
        <w:pStyle w:val="BodyText1"/>
        <w:rPr>
          <w:rFonts w:ascii="Times New Roman" w:hAnsi="Times New Roman"/>
          <w:sz w:val="22"/>
          <w:szCs w:val="22"/>
        </w:rPr>
      </w:pPr>
    </w:p>
    <w:p w14:paraId="03FE6C61" w14:textId="3C7F51A1" w:rsidR="001E3A43" w:rsidRPr="00AD1481" w:rsidRDefault="001E3A43" w:rsidP="00AD1481">
      <w:pPr>
        <w:pStyle w:val="BodyText1"/>
        <w:jc w:val="both"/>
        <w:rPr>
          <w:rFonts w:ascii="Times New Roman" w:hAnsi="Times New Roman"/>
          <w:sz w:val="22"/>
          <w:szCs w:val="22"/>
        </w:rPr>
      </w:pPr>
      <w:r w:rsidRPr="00AD1481">
        <w:rPr>
          <w:rFonts w:ascii="Times New Roman" w:hAnsi="Times New Roman"/>
          <w:sz w:val="22"/>
          <w:szCs w:val="22"/>
        </w:rPr>
        <w:t xml:space="preserve">Předmětem </w:t>
      </w:r>
      <w:r w:rsidR="00AD1481">
        <w:rPr>
          <w:rFonts w:ascii="Times New Roman" w:hAnsi="Times New Roman"/>
          <w:sz w:val="22"/>
          <w:szCs w:val="22"/>
        </w:rPr>
        <w:t>Služ</w:t>
      </w:r>
      <w:r w:rsidR="00644D83">
        <w:rPr>
          <w:rFonts w:ascii="Times New Roman" w:hAnsi="Times New Roman"/>
          <w:sz w:val="22"/>
          <w:szCs w:val="22"/>
        </w:rPr>
        <w:t>eb</w:t>
      </w:r>
      <w:r w:rsidRPr="00AD1481">
        <w:rPr>
          <w:rFonts w:ascii="Times New Roman" w:hAnsi="Times New Roman"/>
          <w:sz w:val="22"/>
          <w:szCs w:val="22"/>
        </w:rPr>
        <w:t xml:space="preserve"> je </w:t>
      </w:r>
      <w:r w:rsidR="00644D83">
        <w:rPr>
          <w:rFonts w:ascii="Times New Roman" w:hAnsi="Times New Roman"/>
          <w:sz w:val="22"/>
          <w:szCs w:val="22"/>
        </w:rPr>
        <w:t xml:space="preserve">provedení </w:t>
      </w:r>
      <w:r w:rsidRPr="00AD1481">
        <w:rPr>
          <w:rFonts w:ascii="Times New Roman" w:hAnsi="Times New Roman"/>
          <w:sz w:val="22"/>
          <w:szCs w:val="22"/>
        </w:rPr>
        <w:t>externí</w:t>
      </w:r>
      <w:r w:rsidR="00644D83">
        <w:rPr>
          <w:rFonts w:ascii="Times New Roman" w:hAnsi="Times New Roman"/>
          <w:sz w:val="22"/>
          <w:szCs w:val="22"/>
        </w:rPr>
        <w:t>ho</w:t>
      </w:r>
      <w:r w:rsidRPr="00AD1481">
        <w:rPr>
          <w:rFonts w:ascii="Times New Roman" w:hAnsi="Times New Roman"/>
          <w:sz w:val="22"/>
          <w:szCs w:val="22"/>
        </w:rPr>
        <w:t xml:space="preserve"> ověření nastavení metodiky </w:t>
      </w:r>
      <w:proofErr w:type="spellStart"/>
      <w:r w:rsidRPr="00AD1481">
        <w:rPr>
          <w:rFonts w:ascii="Times New Roman" w:hAnsi="Times New Roman"/>
          <w:sz w:val="22"/>
          <w:szCs w:val="22"/>
        </w:rPr>
        <w:t>fullcost</w:t>
      </w:r>
      <w:proofErr w:type="spellEnd"/>
      <w:r w:rsidRPr="00AD1481">
        <w:rPr>
          <w:rFonts w:ascii="Times New Roman" w:hAnsi="Times New Roman"/>
          <w:sz w:val="22"/>
          <w:szCs w:val="22"/>
        </w:rPr>
        <w:t xml:space="preserve">  u </w:t>
      </w:r>
      <w:r w:rsidR="00AD1481">
        <w:rPr>
          <w:rFonts w:ascii="Times New Roman" w:hAnsi="Times New Roman"/>
          <w:sz w:val="22"/>
          <w:szCs w:val="22"/>
        </w:rPr>
        <w:t>Klienta</w:t>
      </w:r>
      <w:r w:rsidR="00433D9D">
        <w:rPr>
          <w:rFonts w:ascii="Times New Roman" w:hAnsi="Times New Roman"/>
          <w:sz w:val="22"/>
          <w:szCs w:val="22"/>
        </w:rPr>
        <w:t xml:space="preserve"> </w:t>
      </w:r>
      <w:r w:rsidR="006F7350">
        <w:rPr>
          <w:rFonts w:ascii="Times New Roman" w:hAnsi="Times New Roman"/>
          <w:sz w:val="22"/>
          <w:szCs w:val="22"/>
        </w:rPr>
        <w:t>-</w:t>
      </w:r>
      <w:r w:rsidR="00433D9D">
        <w:rPr>
          <w:rFonts w:ascii="Times New Roman" w:hAnsi="Times New Roman"/>
          <w:sz w:val="22"/>
          <w:szCs w:val="22"/>
        </w:rPr>
        <w:t xml:space="preserve">„Metodika  přepočtu režijních nákladů univerzity na projekty </w:t>
      </w:r>
      <w:proofErr w:type="spellStart"/>
      <w:r w:rsidR="00433D9D">
        <w:rPr>
          <w:rFonts w:ascii="Times New Roman" w:hAnsi="Times New Roman"/>
          <w:sz w:val="22"/>
          <w:szCs w:val="22"/>
        </w:rPr>
        <w:t>VaV</w:t>
      </w:r>
      <w:proofErr w:type="spellEnd"/>
      <w:r w:rsidR="00433D9D">
        <w:rPr>
          <w:rFonts w:ascii="Times New Roman" w:hAnsi="Times New Roman"/>
          <w:sz w:val="22"/>
          <w:szCs w:val="22"/>
        </w:rPr>
        <w:t>“</w:t>
      </w:r>
      <w:r w:rsidR="006F7350">
        <w:rPr>
          <w:rFonts w:ascii="Times New Roman" w:hAnsi="Times New Roman"/>
          <w:sz w:val="22"/>
          <w:szCs w:val="22"/>
        </w:rPr>
        <w:t xml:space="preserve"> - jako univerzální metodiky, kterou lze využívat pro všechny druhy poskytovatelů  finančních zdrojů.</w:t>
      </w:r>
      <w:r w:rsidRPr="00AD1481">
        <w:rPr>
          <w:rFonts w:ascii="Times New Roman" w:hAnsi="Times New Roman"/>
          <w:sz w:val="22"/>
          <w:szCs w:val="22"/>
        </w:rPr>
        <w:t xml:space="preserve"> </w:t>
      </w:r>
      <w:r w:rsidR="0065304C">
        <w:rPr>
          <w:rFonts w:ascii="Times New Roman" w:hAnsi="Times New Roman"/>
          <w:sz w:val="22"/>
          <w:szCs w:val="22"/>
        </w:rPr>
        <w:t xml:space="preserve">Služby budou poskytnuty </w:t>
      </w:r>
      <w:r w:rsidR="0065304C" w:rsidRPr="0090214E">
        <w:rPr>
          <w:rFonts w:ascii="Times New Roman" w:hAnsi="Times New Roman"/>
          <w:sz w:val="22"/>
          <w:szCs w:val="22"/>
        </w:rPr>
        <w:t xml:space="preserve">objektivním, nestranným a profesionálním způsobem, neovlivněným jakýmkoli konkrétním obchodním zájmem </w:t>
      </w:r>
      <w:proofErr w:type="spellStart"/>
      <w:r w:rsidR="0065304C" w:rsidRPr="0090214E">
        <w:rPr>
          <w:rFonts w:ascii="Times New Roman" w:hAnsi="Times New Roman"/>
          <w:sz w:val="22"/>
          <w:szCs w:val="22"/>
        </w:rPr>
        <w:t>Deloitte</w:t>
      </w:r>
      <w:proofErr w:type="spellEnd"/>
      <w:r w:rsidR="0065304C" w:rsidRPr="0090214E">
        <w:rPr>
          <w:rFonts w:ascii="Times New Roman" w:hAnsi="Times New Roman"/>
          <w:sz w:val="22"/>
          <w:szCs w:val="22"/>
        </w:rPr>
        <w:t xml:space="preserve"> či kohokoli z jeho personálu a bez návaznosti na obdržení jakýchkoli odměn od jiné strany</w:t>
      </w:r>
      <w:r w:rsidR="0065304C">
        <w:rPr>
          <w:rFonts w:ascii="Times New Roman" w:hAnsi="Times New Roman"/>
          <w:sz w:val="22"/>
          <w:szCs w:val="22"/>
        </w:rPr>
        <w:t>, řádně a v dohodných termínech.</w:t>
      </w:r>
    </w:p>
    <w:p w14:paraId="529074F8" w14:textId="77777777" w:rsidR="001E3A43" w:rsidRPr="00AD1481" w:rsidRDefault="001E3A43" w:rsidP="00AD1481">
      <w:pPr>
        <w:pStyle w:val="BodyText1"/>
        <w:jc w:val="both"/>
        <w:rPr>
          <w:rFonts w:ascii="Times New Roman" w:hAnsi="Times New Roman"/>
          <w:sz w:val="22"/>
          <w:szCs w:val="22"/>
        </w:rPr>
      </w:pPr>
    </w:p>
    <w:p w14:paraId="0AE41C9F" w14:textId="0E09CD61" w:rsidR="001E3A43" w:rsidRPr="00AD1481" w:rsidRDefault="00644D83" w:rsidP="00AD1481">
      <w:pPr>
        <w:pStyle w:val="BodyText1"/>
        <w:jc w:val="both"/>
        <w:rPr>
          <w:rFonts w:ascii="Times New Roman" w:hAnsi="Times New Roman"/>
          <w:sz w:val="22"/>
          <w:szCs w:val="22"/>
        </w:rPr>
      </w:pPr>
      <w:proofErr w:type="spellStart"/>
      <w:r>
        <w:rPr>
          <w:rFonts w:ascii="Times New Roman" w:hAnsi="Times New Roman"/>
          <w:sz w:val="22"/>
          <w:szCs w:val="22"/>
        </w:rPr>
        <w:t>Deloitte</w:t>
      </w:r>
      <w:proofErr w:type="spellEnd"/>
      <w:r w:rsidRPr="00AD1481">
        <w:rPr>
          <w:rFonts w:ascii="Times New Roman" w:hAnsi="Times New Roman"/>
          <w:sz w:val="22"/>
          <w:szCs w:val="22"/>
        </w:rPr>
        <w:t xml:space="preserve"> </w:t>
      </w:r>
      <w:r w:rsidR="001E3A43" w:rsidRPr="00AD1481">
        <w:rPr>
          <w:rFonts w:ascii="Times New Roman" w:hAnsi="Times New Roman"/>
          <w:sz w:val="22"/>
          <w:szCs w:val="22"/>
        </w:rPr>
        <w:t xml:space="preserve">je povinen při </w:t>
      </w:r>
      <w:r>
        <w:rPr>
          <w:rFonts w:ascii="Times New Roman" w:hAnsi="Times New Roman"/>
          <w:sz w:val="22"/>
          <w:szCs w:val="22"/>
        </w:rPr>
        <w:t>poskytování Služeb</w:t>
      </w:r>
      <w:r w:rsidR="001E3A43" w:rsidRPr="00AD1481">
        <w:rPr>
          <w:rFonts w:ascii="Times New Roman" w:hAnsi="Times New Roman"/>
          <w:sz w:val="22"/>
          <w:szCs w:val="22"/>
        </w:rPr>
        <w:t xml:space="preserve"> postupovat podle aktuálně platných požadavků </w:t>
      </w:r>
      <w:r w:rsidR="00433D9D">
        <w:rPr>
          <w:rFonts w:ascii="Times New Roman" w:hAnsi="Times New Roman"/>
          <w:sz w:val="22"/>
          <w:szCs w:val="22"/>
        </w:rPr>
        <w:t xml:space="preserve">poskytovatelů finančních zdrojů </w:t>
      </w:r>
      <w:r w:rsidR="001E3A43" w:rsidRPr="00AD1481">
        <w:rPr>
          <w:rFonts w:ascii="Times New Roman" w:hAnsi="Times New Roman"/>
          <w:sz w:val="22"/>
          <w:szCs w:val="22"/>
        </w:rPr>
        <w:t xml:space="preserve">na metodiku </w:t>
      </w:r>
      <w:proofErr w:type="spellStart"/>
      <w:r w:rsidR="001E3A43" w:rsidRPr="00AD1481">
        <w:rPr>
          <w:rFonts w:ascii="Times New Roman" w:hAnsi="Times New Roman"/>
          <w:sz w:val="22"/>
          <w:szCs w:val="22"/>
        </w:rPr>
        <w:t>fullcost</w:t>
      </w:r>
      <w:proofErr w:type="spellEnd"/>
      <w:r w:rsidR="001E3A43" w:rsidRPr="00AD1481">
        <w:rPr>
          <w:rFonts w:ascii="Times New Roman" w:hAnsi="Times New Roman"/>
          <w:sz w:val="22"/>
          <w:szCs w:val="22"/>
        </w:rPr>
        <w:t>.</w:t>
      </w:r>
    </w:p>
    <w:p w14:paraId="6C2AC106" w14:textId="77777777" w:rsidR="001E3A43" w:rsidRPr="00AD1481" w:rsidRDefault="001E3A43" w:rsidP="00AD1481">
      <w:pPr>
        <w:pStyle w:val="BodyText1"/>
        <w:jc w:val="both"/>
        <w:rPr>
          <w:rFonts w:ascii="Times New Roman" w:hAnsi="Times New Roman"/>
          <w:sz w:val="22"/>
          <w:szCs w:val="22"/>
        </w:rPr>
      </w:pPr>
    </w:p>
    <w:p w14:paraId="706128FB" w14:textId="4FA6EC89" w:rsidR="00644D83" w:rsidRDefault="00AD1481" w:rsidP="00AD1481">
      <w:pPr>
        <w:pStyle w:val="BodyText1"/>
        <w:jc w:val="both"/>
        <w:rPr>
          <w:rFonts w:ascii="Times New Roman" w:hAnsi="Times New Roman"/>
          <w:sz w:val="22"/>
          <w:szCs w:val="22"/>
        </w:rPr>
      </w:pPr>
      <w:r>
        <w:rPr>
          <w:rFonts w:ascii="Times New Roman" w:hAnsi="Times New Roman"/>
          <w:sz w:val="22"/>
          <w:szCs w:val="22"/>
        </w:rPr>
        <w:t>Klient</w:t>
      </w:r>
      <w:r w:rsidR="001E3A43" w:rsidRPr="00AD1481">
        <w:rPr>
          <w:rFonts w:ascii="Times New Roman" w:hAnsi="Times New Roman"/>
          <w:sz w:val="22"/>
          <w:szCs w:val="22"/>
        </w:rPr>
        <w:t xml:space="preserve"> se zavazuje poskytnout </w:t>
      </w:r>
      <w:r w:rsidR="00644D83">
        <w:rPr>
          <w:rFonts w:ascii="Times New Roman" w:hAnsi="Times New Roman"/>
          <w:sz w:val="22"/>
          <w:szCs w:val="22"/>
        </w:rPr>
        <w:t xml:space="preserve">společnosti </w:t>
      </w:r>
      <w:proofErr w:type="spellStart"/>
      <w:r w:rsidR="00644D83">
        <w:rPr>
          <w:rFonts w:ascii="Times New Roman" w:hAnsi="Times New Roman"/>
          <w:sz w:val="22"/>
          <w:szCs w:val="22"/>
        </w:rPr>
        <w:t>Deloitte</w:t>
      </w:r>
      <w:proofErr w:type="spellEnd"/>
      <w:r w:rsidR="001E3A43" w:rsidRPr="00AD1481">
        <w:rPr>
          <w:rFonts w:ascii="Times New Roman" w:hAnsi="Times New Roman"/>
          <w:sz w:val="22"/>
          <w:szCs w:val="22"/>
        </w:rPr>
        <w:t xml:space="preserve"> veškeré </w:t>
      </w:r>
      <w:r w:rsidR="00644D83">
        <w:rPr>
          <w:rFonts w:ascii="Times New Roman" w:hAnsi="Times New Roman"/>
          <w:sz w:val="22"/>
          <w:szCs w:val="22"/>
        </w:rPr>
        <w:t xml:space="preserve">informace či </w:t>
      </w:r>
      <w:r w:rsidR="001E3A43" w:rsidRPr="00AD1481">
        <w:rPr>
          <w:rFonts w:ascii="Times New Roman" w:hAnsi="Times New Roman"/>
          <w:sz w:val="22"/>
          <w:szCs w:val="22"/>
        </w:rPr>
        <w:t xml:space="preserve">dokumenty, které </w:t>
      </w:r>
      <w:r w:rsidR="00644D83">
        <w:rPr>
          <w:rFonts w:ascii="Times New Roman" w:hAnsi="Times New Roman"/>
          <w:sz w:val="22"/>
          <w:szCs w:val="22"/>
        </w:rPr>
        <w:t xml:space="preserve">jsou nezbytné pro poskytnutí Služeb, </w:t>
      </w:r>
      <w:r w:rsidR="00CC49E4">
        <w:rPr>
          <w:rFonts w:ascii="Times New Roman" w:hAnsi="Times New Roman"/>
          <w:sz w:val="22"/>
          <w:szCs w:val="22"/>
        </w:rPr>
        <w:t xml:space="preserve">a to </w:t>
      </w:r>
      <w:r w:rsidR="00644D83">
        <w:rPr>
          <w:rFonts w:ascii="Times New Roman" w:hAnsi="Times New Roman"/>
          <w:sz w:val="22"/>
          <w:szCs w:val="22"/>
        </w:rPr>
        <w:t xml:space="preserve">zejména: </w:t>
      </w:r>
    </w:p>
    <w:p w14:paraId="4F57F03B" w14:textId="77777777" w:rsidR="00644D83" w:rsidRPr="000D2299" w:rsidRDefault="00644D83" w:rsidP="00644D83">
      <w:pPr>
        <w:pStyle w:val="BodyText1"/>
        <w:numPr>
          <w:ilvl w:val="0"/>
          <w:numId w:val="64"/>
        </w:numPr>
        <w:ind w:left="993" w:hanging="284"/>
        <w:rPr>
          <w:rFonts w:ascii="Times New Roman" w:hAnsi="Times New Roman"/>
          <w:color w:val="000000" w:themeColor="text1"/>
          <w:sz w:val="22"/>
          <w:szCs w:val="22"/>
        </w:rPr>
      </w:pPr>
      <w:r w:rsidRPr="000D2299">
        <w:rPr>
          <w:rFonts w:ascii="Times New Roman" w:hAnsi="Times New Roman"/>
          <w:color w:val="000000" w:themeColor="text1"/>
          <w:sz w:val="22"/>
          <w:szCs w:val="22"/>
        </w:rPr>
        <w:t>Interní směrnice/metodiky vztahující se k </w:t>
      </w:r>
      <w:proofErr w:type="spellStart"/>
      <w:r w:rsidRPr="000D2299">
        <w:rPr>
          <w:rFonts w:ascii="Times New Roman" w:hAnsi="Times New Roman"/>
          <w:color w:val="000000" w:themeColor="text1"/>
          <w:sz w:val="22"/>
          <w:szCs w:val="22"/>
        </w:rPr>
        <w:t>fullcost</w:t>
      </w:r>
      <w:proofErr w:type="spellEnd"/>
      <w:r w:rsidRPr="000D2299">
        <w:rPr>
          <w:rFonts w:ascii="Times New Roman" w:hAnsi="Times New Roman"/>
          <w:color w:val="000000" w:themeColor="text1"/>
          <w:sz w:val="22"/>
          <w:szCs w:val="22"/>
        </w:rPr>
        <w:t xml:space="preserve"> metodice.</w:t>
      </w:r>
    </w:p>
    <w:p w14:paraId="7BA7E17E" w14:textId="77777777" w:rsidR="00644D83" w:rsidRPr="000D2299" w:rsidRDefault="00644D83" w:rsidP="00644D83">
      <w:pPr>
        <w:pStyle w:val="BodyText1"/>
        <w:numPr>
          <w:ilvl w:val="0"/>
          <w:numId w:val="64"/>
        </w:numPr>
        <w:ind w:left="993" w:hanging="284"/>
        <w:rPr>
          <w:rFonts w:ascii="Times New Roman" w:hAnsi="Times New Roman"/>
          <w:color w:val="000000" w:themeColor="text1"/>
          <w:sz w:val="22"/>
          <w:szCs w:val="22"/>
        </w:rPr>
      </w:pPr>
      <w:r w:rsidRPr="000D2299">
        <w:rPr>
          <w:rFonts w:ascii="Times New Roman" w:hAnsi="Times New Roman"/>
          <w:color w:val="000000" w:themeColor="text1"/>
          <w:sz w:val="22"/>
          <w:szCs w:val="22"/>
        </w:rPr>
        <w:t>Výpočtový model alokace nákladů (</w:t>
      </w:r>
      <w:proofErr w:type="spellStart"/>
      <w:r w:rsidRPr="000D2299">
        <w:rPr>
          <w:rFonts w:ascii="Times New Roman" w:hAnsi="Times New Roman"/>
          <w:color w:val="000000" w:themeColor="text1"/>
          <w:sz w:val="22"/>
          <w:szCs w:val="22"/>
        </w:rPr>
        <w:t>fullcost</w:t>
      </w:r>
      <w:proofErr w:type="spellEnd"/>
      <w:r w:rsidRPr="000D2299">
        <w:rPr>
          <w:rFonts w:ascii="Times New Roman" w:hAnsi="Times New Roman"/>
          <w:color w:val="000000" w:themeColor="text1"/>
          <w:sz w:val="22"/>
          <w:szCs w:val="22"/>
        </w:rPr>
        <w:t xml:space="preserve"> model).</w:t>
      </w:r>
    </w:p>
    <w:p w14:paraId="7282ABB6" w14:textId="77777777" w:rsidR="00644D83" w:rsidRPr="000D2299" w:rsidRDefault="00644D83" w:rsidP="00644D83">
      <w:pPr>
        <w:pStyle w:val="BodyText1"/>
        <w:numPr>
          <w:ilvl w:val="0"/>
          <w:numId w:val="64"/>
        </w:numPr>
        <w:ind w:left="993" w:hanging="284"/>
        <w:rPr>
          <w:rFonts w:ascii="Times New Roman" w:hAnsi="Times New Roman"/>
          <w:color w:val="000000" w:themeColor="text1"/>
          <w:sz w:val="22"/>
          <w:szCs w:val="22"/>
        </w:rPr>
      </w:pPr>
      <w:r w:rsidRPr="000D2299">
        <w:rPr>
          <w:rFonts w:ascii="Times New Roman" w:hAnsi="Times New Roman"/>
          <w:color w:val="000000" w:themeColor="text1"/>
          <w:sz w:val="22"/>
          <w:szCs w:val="22"/>
        </w:rPr>
        <w:t>Další související dokumentaci.</w:t>
      </w:r>
    </w:p>
    <w:p w14:paraId="3F3BE509" w14:textId="51CD319D" w:rsidR="001E3A43" w:rsidRPr="00AD1481" w:rsidRDefault="001E3A43" w:rsidP="00AD1481">
      <w:pPr>
        <w:pStyle w:val="BodyText1"/>
        <w:jc w:val="both"/>
        <w:rPr>
          <w:rFonts w:ascii="Times New Roman" w:hAnsi="Times New Roman"/>
          <w:sz w:val="22"/>
          <w:szCs w:val="22"/>
        </w:rPr>
      </w:pPr>
    </w:p>
    <w:p w14:paraId="77CE6CCC" w14:textId="77777777" w:rsidR="001E3A43" w:rsidRPr="00AD1481" w:rsidRDefault="001E3A43" w:rsidP="00AD1481">
      <w:pPr>
        <w:pStyle w:val="BodyText1"/>
        <w:jc w:val="both"/>
        <w:rPr>
          <w:rFonts w:ascii="Times New Roman" w:hAnsi="Times New Roman"/>
          <w:sz w:val="22"/>
          <w:szCs w:val="22"/>
        </w:rPr>
      </w:pPr>
    </w:p>
    <w:p w14:paraId="4530C8D8" w14:textId="669A956E" w:rsidR="001E3A43" w:rsidRPr="00AD1481" w:rsidRDefault="001E3A43" w:rsidP="00AD1481">
      <w:pPr>
        <w:pStyle w:val="BodyText1"/>
        <w:jc w:val="both"/>
        <w:rPr>
          <w:rFonts w:ascii="Times New Roman" w:hAnsi="Times New Roman"/>
          <w:sz w:val="22"/>
          <w:szCs w:val="22"/>
        </w:rPr>
      </w:pPr>
      <w:r w:rsidRPr="00AD1481">
        <w:rPr>
          <w:rFonts w:ascii="Times New Roman" w:hAnsi="Times New Roman"/>
          <w:sz w:val="22"/>
          <w:szCs w:val="22"/>
        </w:rPr>
        <w:t xml:space="preserve">Výstupem </w:t>
      </w:r>
      <w:r w:rsidR="00AD1481">
        <w:rPr>
          <w:rFonts w:ascii="Times New Roman" w:hAnsi="Times New Roman"/>
          <w:sz w:val="22"/>
          <w:szCs w:val="22"/>
        </w:rPr>
        <w:t>Služ</w:t>
      </w:r>
      <w:r w:rsidR="00351104">
        <w:rPr>
          <w:rFonts w:ascii="Times New Roman" w:hAnsi="Times New Roman"/>
          <w:sz w:val="22"/>
          <w:szCs w:val="22"/>
        </w:rPr>
        <w:t>e</w:t>
      </w:r>
      <w:r w:rsidR="00AD1481">
        <w:rPr>
          <w:rFonts w:ascii="Times New Roman" w:hAnsi="Times New Roman"/>
          <w:sz w:val="22"/>
          <w:szCs w:val="22"/>
        </w:rPr>
        <w:t>b</w:t>
      </w:r>
      <w:r w:rsidRPr="00AD1481">
        <w:rPr>
          <w:rFonts w:ascii="Times New Roman" w:hAnsi="Times New Roman"/>
          <w:sz w:val="22"/>
          <w:szCs w:val="22"/>
        </w:rPr>
        <w:t xml:space="preserve"> bude Zpráva auditora </w:t>
      </w:r>
      <w:r w:rsidR="00644D83">
        <w:rPr>
          <w:rFonts w:ascii="Times New Roman" w:hAnsi="Times New Roman"/>
          <w:sz w:val="22"/>
          <w:szCs w:val="22"/>
        </w:rPr>
        <w:t xml:space="preserve">(„Zpráva“) </w:t>
      </w:r>
      <w:r w:rsidRPr="00FA6BB7">
        <w:rPr>
          <w:rFonts w:ascii="Times New Roman" w:hAnsi="Times New Roman"/>
          <w:sz w:val="22"/>
          <w:szCs w:val="22"/>
        </w:rPr>
        <w:t xml:space="preserve">potvrzující </w:t>
      </w:r>
      <w:r w:rsidR="009B4CA6" w:rsidRPr="00FA6BB7">
        <w:rPr>
          <w:rFonts w:ascii="Times New Roman" w:hAnsi="Times New Roman"/>
          <w:sz w:val="22"/>
          <w:szCs w:val="22"/>
        </w:rPr>
        <w:t xml:space="preserve">správnost </w:t>
      </w:r>
      <w:r w:rsidR="00433D9D" w:rsidRPr="00FA6BB7">
        <w:rPr>
          <w:rFonts w:ascii="Times New Roman" w:hAnsi="Times New Roman"/>
          <w:sz w:val="22"/>
          <w:szCs w:val="22"/>
        </w:rPr>
        <w:t>použit</w:t>
      </w:r>
      <w:r w:rsidR="009B4CA6" w:rsidRPr="00FA6BB7">
        <w:rPr>
          <w:rFonts w:ascii="Times New Roman" w:hAnsi="Times New Roman"/>
          <w:sz w:val="22"/>
          <w:szCs w:val="22"/>
        </w:rPr>
        <w:t>é</w:t>
      </w:r>
      <w:r w:rsidR="00433D9D" w:rsidRPr="00FA6BB7">
        <w:rPr>
          <w:rFonts w:ascii="Times New Roman" w:hAnsi="Times New Roman"/>
          <w:sz w:val="22"/>
          <w:szCs w:val="22"/>
        </w:rPr>
        <w:t xml:space="preserve"> metodiky </w:t>
      </w:r>
      <w:proofErr w:type="spellStart"/>
      <w:r w:rsidR="00433D9D" w:rsidRPr="00FA6BB7">
        <w:rPr>
          <w:rFonts w:ascii="Times New Roman" w:hAnsi="Times New Roman"/>
          <w:sz w:val="22"/>
          <w:szCs w:val="22"/>
        </w:rPr>
        <w:t>fullcost</w:t>
      </w:r>
      <w:proofErr w:type="spellEnd"/>
      <w:r w:rsidR="00433D9D" w:rsidRPr="00FA6BB7">
        <w:rPr>
          <w:rFonts w:ascii="Times New Roman" w:hAnsi="Times New Roman"/>
          <w:sz w:val="22"/>
          <w:szCs w:val="22"/>
        </w:rPr>
        <w:t xml:space="preserve"> pro výpočet režijních nákladů </w:t>
      </w:r>
      <w:r w:rsidR="006F7350" w:rsidRPr="00FA6BB7">
        <w:rPr>
          <w:rFonts w:ascii="Times New Roman" w:hAnsi="Times New Roman"/>
          <w:sz w:val="22"/>
          <w:szCs w:val="22"/>
        </w:rPr>
        <w:t>pro různé druhy poskytovatelů finančních zdrojů</w:t>
      </w:r>
      <w:r w:rsidR="009B4CA6" w:rsidRPr="00FA6BB7">
        <w:rPr>
          <w:rFonts w:ascii="Times New Roman" w:hAnsi="Times New Roman"/>
          <w:sz w:val="22"/>
          <w:szCs w:val="22"/>
        </w:rPr>
        <w:t xml:space="preserve"> u Klienta</w:t>
      </w:r>
      <w:r w:rsidR="006F7350" w:rsidRPr="00FA6BB7">
        <w:rPr>
          <w:rFonts w:ascii="Times New Roman" w:hAnsi="Times New Roman"/>
          <w:sz w:val="22"/>
          <w:szCs w:val="22"/>
        </w:rPr>
        <w:t>.</w:t>
      </w:r>
      <w:r w:rsidR="00433D9D" w:rsidRPr="00FA6BB7">
        <w:rPr>
          <w:rFonts w:ascii="Times New Roman" w:hAnsi="Times New Roman"/>
          <w:sz w:val="22"/>
          <w:szCs w:val="22"/>
        </w:rPr>
        <w:t xml:space="preserve">  </w:t>
      </w:r>
      <w:proofErr w:type="spellStart"/>
      <w:r w:rsidR="00D66FBD" w:rsidRPr="00FA6BB7">
        <w:rPr>
          <w:rFonts w:ascii="Times New Roman" w:hAnsi="Times New Roman"/>
          <w:sz w:val="22"/>
          <w:szCs w:val="22"/>
        </w:rPr>
        <w:t>Deloitte</w:t>
      </w:r>
      <w:proofErr w:type="spellEnd"/>
      <w:r w:rsidR="00D66FBD" w:rsidRPr="00FA6BB7">
        <w:rPr>
          <w:rFonts w:ascii="Times New Roman" w:hAnsi="Times New Roman"/>
          <w:sz w:val="22"/>
          <w:szCs w:val="22"/>
        </w:rPr>
        <w:t xml:space="preserve"> se zavazuje </w:t>
      </w:r>
      <w:r w:rsidRPr="00FA6BB7">
        <w:rPr>
          <w:rFonts w:ascii="Times New Roman" w:hAnsi="Times New Roman"/>
          <w:sz w:val="22"/>
          <w:szCs w:val="22"/>
        </w:rPr>
        <w:t xml:space="preserve">odevzdat </w:t>
      </w:r>
      <w:r w:rsidR="00D66FBD" w:rsidRPr="00FA6BB7">
        <w:rPr>
          <w:rFonts w:ascii="Times New Roman" w:hAnsi="Times New Roman"/>
          <w:sz w:val="22"/>
          <w:szCs w:val="22"/>
        </w:rPr>
        <w:t xml:space="preserve">Zprávu Klientovi </w:t>
      </w:r>
      <w:r w:rsidRPr="00FA6BB7">
        <w:rPr>
          <w:rFonts w:ascii="Times New Roman" w:hAnsi="Times New Roman"/>
          <w:sz w:val="22"/>
          <w:szCs w:val="22"/>
        </w:rPr>
        <w:t xml:space="preserve">nejpozději do </w:t>
      </w:r>
      <w:r w:rsidR="0027188E" w:rsidRPr="00FA6BB7">
        <w:rPr>
          <w:rFonts w:ascii="Times New Roman" w:hAnsi="Times New Roman"/>
          <w:sz w:val="22"/>
          <w:szCs w:val="22"/>
        </w:rPr>
        <w:t>30. 11. 2016</w:t>
      </w:r>
      <w:r w:rsidRPr="00FA6BB7">
        <w:rPr>
          <w:rFonts w:ascii="Times New Roman" w:hAnsi="Times New Roman"/>
          <w:sz w:val="22"/>
          <w:szCs w:val="22"/>
        </w:rPr>
        <w:t>. Struktura Zprávy musí vycházet ze struktury zprávy auditora obsažené v zákoně o auditorech (zákon</w:t>
      </w:r>
      <w:r w:rsidRPr="00AD1481">
        <w:rPr>
          <w:rFonts w:ascii="Times New Roman" w:hAnsi="Times New Roman"/>
          <w:sz w:val="22"/>
          <w:szCs w:val="22"/>
        </w:rPr>
        <w:t xml:space="preserve"> č. 93/2009 Sb., v platném znění). Zpráva bude vyhotovena a předána </w:t>
      </w:r>
      <w:r w:rsidR="00AD1481" w:rsidRPr="00AD1481">
        <w:rPr>
          <w:rFonts w:ascii="Times New Roman" w:hAnsi="Times New Roman"/>
          <w:sz w:val="22"/>
          <w:szCs w:val="22"/>
        </w:rPr>
        <w:t>Klientovi</w:t>
      </w:r>
      <w:r w:rsidRPr="00AD1481">
        <w:rPr>
          <w:rFonts w:ascii="Times New Roman" w:hAnsi="Times New Roman"/>
          <w:sz w:val="22"/>
          <w:szCs w:val="22"/>
        </w:rPr>
        <w:t xml:space="preserve"> v českém jazyce, a to v listinné formě vytištěné a podepsané ve dvou originálech a v elektronické formě ve formátu PDF (Portable </w:t>
      </w:r>
      <w:proofErr w:type="spellStart"/>
      <w:r w:rsidRPr="00AD1481">
        <w:rPr>
          <w:rFonts w:ascii="Times New Roman" w:hAnsi="Times New Roman"/>
          <w:sz w:val="22"/>
          <w:szCs w:val="22"/>
        </w:rPr>
        <w:t>Document</w:t>
      </w:r>
      <w:proofErr w:type="spellEnd"/>
      <w:r w:rsidRPr="00AD1481">
        <w:rPr>
          <w:rFonts w:ascii="Times New Roman" w:hAnsi="Times New Roman"/>
          <w:sz w:val="22"/>
          <w:szCs w:val="22"/>
        </w:rPr>
        <w:t xml:space="preserve"> Formant) na nosiči dat CD/DVD.</w:t>
      </w:r>
    </w:p>
    <w:p w14:paraId="5AFE684C" w14:textId="77777777" w:rsidR="008E0ABF" w:rsidRPr="00955DE6" w:rsidRDefault="008E0ABF" w:rsidP="008E0ABF">
      <w:pPr>
        <w:pStyle w:val="BodyText1"/>
        <w:rPr>
          <w:rFonts w:ascii="Times New Roman" w:hAnsi="Times New Roman"/>
          <w:sz w:val="22"/>
          <w:szCs w:val="22"/>
        </w:rPr>
      </w:pPr>
    </w:p>
    <w:p w14:paraId="512A7E92" w14:textId="23244B05" w:rsidR="00644D83" w:rsidRPr="00955DE6" w:rsidRDefault="00644D83" w:rsidP="00644D83">
      <w:pPr>
        <w:pStyle w:val="BodyText1"/>
        <w:tabs>
          <w:tab w:val="left" w:pos="1701"/>
        </w:tabs>
        <w:rPr>
          <w:rFonts w:ascii="Times New Roman" w:hAnsi="Times New Roman"/>
          <w:sz w:val="22"/>
          <w:szCs w:val="22"/>
        </w:rPr>
      </w:pPr>
      <w:r w:rsidRPr="00955DE6">
        <w:rPr>
          <w:rFonts w:ascii="Times New Roman" w:hAnsi="Times New Roman"/>
          <w:sz w:val="22"/>
          <w:szCs w:val="22"/>
        </w:rPr>
        <w:t>Zahájení</w:t>
      </w:r>
      <w:r w:rsidR="00D66FBD">
        <w:rPr>
          <w:rFonts w:ascii="Times New Roman" w:hAnsi="Times New Roman"/>
          <w:sz w:val="22"/>
          <w:szCs w:val="22"/>
        </w:rPr>
        <w:t xml:space="preserve"> poskytování Služeb:</w:t>
      </w:r>
      <w:r w:rsidRPr="00955DE6">
        <w:rPr>
          <w:rFonts w:ascii="Times New Roman" w:hAnsi="Times New Roman"/>
          <w:sz w:val="22"/>
          <w:szCs w:val="22"/>
        </w:rPr>
        <w:t xml:space="preserve"> </w:t>
      </w:r>
      <w:r>
        <w:rPr>
          <w:rFonts w:ascii="Times New Roman" w:hAnsi="Times New Roman"/>
          <w:sz w:val="22"/>
          <w:szCs w:val="22"/>
        </w:rPr>
        <w:tab/>
        <w:t>3. 10. 2016</w:t>
      </w:r>
    </w:p>
    <w:p w14:paraId="66468DC4" w14:textId="7AF3DE93" w:rsidR="00644D83" w:rsidRPr="00955DE6" w:rsidRDefault="00D66FBD" w:rsidP="00644D83">
      <w:pPr>
        <w:pStyle w:val="BodyText1"/>
        <w:tabs>
          <w:tab w:val="left" w:pos="1701"/>
        </w:tabs>
        <w:rPr>
          <w:rFonts w:ascii="Times New Roman" w:hAnsi="Times New Roman"/>
          <w:sz w:val="22"/>
          <w:szCs w:val="22"/>
        </w:rPr>
      </w:pPr>
      <w:r>
        <w:rPr>
          <w:rFonts w:ascii="Times New Roman" w:hAnsi="Times New Roman"/>
          <w:sz w:val="22"/>
          <w:szCs w:val="22"/>
        </w:rPr>
        <w:t>Předání Zprávy nejpozději do:</w:t>
      </w:r>
      <w:r w:rsidR="00644D83">
        <w:rPr>
          <w:rFonts w:ascii="Times New Roman" w:hAnsi="Times New Roman"/>
          <w:sz w:val="22"/>
          <w:szCs w:val="22"/>
        </w:rPr>
        <w:tab/>
        <w:t>30. 11. 2016</w:t>
      </w:r>
    </w:p>
    <w:p w14:paraId="6CF419E7" w14:textId="77777777" w:rsidR="008E0ABF" w:rsidRPr="00955DE6" w:rsidRDefault="008E0ABF">
      <w:pPr>
        <w:keepLines w:val="0"/>
        <w:tabs>
          <w:tab w:val="clear" w:pos="851"/>
        </w:tabs>
        <w:spacing w:before="0"/>
        <w:jc w:val="left"/>
        <w:rPr>
          <w:rFonts w:ascii="Times New Roman" w:hAnsi="Times New Roman"/>
          <w:b/>
          <w:color w:val="000000"/>
          <w:sz w:val="22"/>
          <w:szCs w:val="22"/>
        </w:rPr>
      </w:pPr>
      <w:r w:rsidRPr="00955DE6">
        <w:rPr>
          <w:rFonts w:ascii="Times New Roman" w:hAnsi="Times New Roman"/>
          <w:b/>
          <w:sz w:val="22"/>
          <w:szCs w:val="22"/>
        </w:rPr>
        <w:br w:type="page"/>
      </w:r>
    </w:p>
    <w:p w14:paraId="6B929B24" w14:textId="77777777" w:rsidR="008E0ABF" w:rsidRPr="00955DE6" w:rsidRDefault="00286BC9" w:rsidP="008E0ABF">
      <w:pPr>
        <w:pStyle w:val="BodyText1"/>
        <w:jc w:val="center"/>
        <w:rPr>
          <w:rFonts w:ascii="Times New Roman" w:hAnsi="Times New Roman"/>
          <w:b/>
          <w:sz w:val="22"/>
          <w:szCs w:val="22"/>
        </w:rPr>
      </w:pPr>
      <w:r w:rsidRPr="00955DE6">
        <w:rPr>
          <w:rFonts w:ascii="Times New Roman" w:hAnsi="Times New Roman"/>
          <w:b/>
          <w:sz w:val="22"/>
          <w:szCs w:val="22"/>
        </w:rPr>
        <w:lastRenderedPageBreak/>
        <w:t xml:space="preserve">Příloha č. </w:t>
      </w:r>
      <w:r w:rsidR="008E0ABF" w:rsidRPr="00955DE6">
        <w:rPr>
          <w:rFonts w:ascii="Times New Roman" w:hAnsi="Times New Roman"/>
          <w:b/>
          <w:sz w:val="22"/>
          <w:szCs w:val="22"/>
        </w:rPr>
        <w:t>2</w:t>
      </w:r>
    </w:p>
    <w:p w14:paraId="7256A764" w14:textId="77777777" w:rsidR="00E5379F" w:rsidRPr="00955DE6" w:rsidRDefault="00286BC9" w:rsidP="008E0ABF">
      <w:pPr>
        <w:pStyle w:val="BodyText1"/>
        <w:jc w:val="center"/>
        <w:rPr>
          <w:rFonts w:ascii="Times New Roman" w:hAnsi="Times New Roman"/>
          <w:b/>
          <w:sz w:val="22"/>
          <w:szCs w:val="22"/>
        </w:rPr>
      </w:pPr>
      <w:r w:rsidRPr="00955DE6">
        <w:rPr>
          <w:rFonts w:ascii="Times New Roman" w:hAnsi="Times New Roman"/>
          <w:b/>
          <w:sz w:val="22"/>
          <w:szCs w:val="22"/>
        </w:rPr>
        <w:t xml:space="preserve">Cena za Služby a platební podmínky </w:t>
      </w:r>
    </w:p>
    <w:p w14:paraId="01609627" w14:textId="77777777" w:rsidR="00E5379F" w:rsidRPr="00955DE6" w:rsidRDefault="00E5379F" w:rsidP="008E0ABF">
      <w:pPr>
        <w:pStyle w:val="BodyText1"/>
        <w:jc w:val="center"/>
        <w:rPr>
          <w:rFonts w:ascii="Times New Roman" w:hAnsi="Times New Roman"/>
          <w:b/>
          <w:sz w:val="22"/>
          <w:szCs w:val="22"/>
        </w:rPr>
      </w:pPr>
    </w:p>
    <w:p w14:paraId="716CFC27" w14:textId="77777777" w:rsidR="008E0ABF" w:rsidRPr="00955DE6" w:rsidRDefault="008E0ABF" w:rsidP="008E0ABF">
      <w:pPr>
        <w:pStyle w:val="BodyText1"/>
        <w:rPr>
          <w:rFonts w:ascii="Times New Roman" w:hAnsi="Times New Roman"/>
          <w:sz w:val="22"/>
          <w:szCs w:val="22"/>
          <w:highlight w:val="yellow"/>
        </w:rPr>
      </w:pPr>
    </w:p>
    <w:p w14:paraId="3ACE5FFA" w14:textId="77777777" w:rsidR="00F943BA" w:rsidRDefault="00BF0911" w:rsidP="008E0ABF">
      <w:pPr>
        <w:pStyle w:val="Bodytextbold"/>
        <w:rPr>
          <w:rFonts w:ascii="Times New Roman" w:hAnsi="Times New Roman"/>
          <w:sz w:val="22"/>
        </w:rPr>
      </w:pPr>
      <w:r w:rsidRPr="00955DE6">
        <w:rPr>
          <w:rFonts w:ascii="Times New Roman" w:hAnsi="Times New Roman"/>
          <w:sz w:val="22"/>
        </w:rPr>
        <w:t>Cena za Služby</w:t>
      </w:r>
    </w:p>
    <w:p w14:paraId="71A8A618" w14:textId="77777777" w:rsidR="001E3A43" w:rsidRPr="001E3A43" w:rsidRDefault="001E3A43" w:rsidP="001E3A43">
      <w:pPr>
        <w:pStyle w:val="BodyText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714"/>
        <w:gridCol w:w="1958"/>
        <w:gridCol w:w="1966"/>
      </w:tblGrid>
      <w:tr w:rsidR="00D66FBD" w:rsidRPr="00955DE6" w14:paraId="5C328507" w14:textId="77777777" w:rsidTr="0090214E">
        <w:tc>
          <w:tcPr>
            <w:tcW w:w="2714" w:type="dxa"/>
          </w:tcPr>
          <w:p w14:paraId="5D171E19" w14:textId="69B9E823" w:rsidR="00D66FBD" w:rsidRPr="00313B5C" w:rsidRDefault="00D66FBD" w:rsidP="00BF0911">
            <w:pPr>
              <w:pStyle w:val="BodyText1"/>
              <w:rPr>
                <w:rFonts w:ascii="Times New Roman" w:hAnsi="Times New Roman"/>
                <w:b/>
                <w:sz w:val="22"/>
                <w:szCs w:val="22"/>
              </w:rPr>
            </w:pPr>
            <w:r w:rsidRPr="00313B5C">
              <w:rPr>
                <w:rFonts w:ascii="Times New Roman" w:hAnsi="Times New Roman"/>
                <w:b/>
                <w:sz w:val="22"/>
                <w:szCs w:val="22"/>
              </w:rPr>
              <w:t xml:space="preserve">Cena </w:t>
            </w:r>
            <w:bookmarkStart w:id="65" w:name="M75"/>
            <w:bookmarkEnd w:id="65"/>
            <w:r w:rsidRPr="00313B5C">
              <w:rPr>
                <w:rFonts w:ascii="Times New Roman" w:hAnsi="Times New Roman"/>
                <w:b/>
                <w:sz w:val="22"/>
                <w:szCs w:val="22"/>
              </w:rPr>
              <w:t>v Kč bez DPH</w:t>
            </w:r>
          </w:p>
        </w:tc>
        <w:tc>
          <w:tcPr>
            <w:tcW w:w="1958" w:type="dxa"/>
          </w:tcPr>
          <w:p w14:paraId="5AEA99BE" w14:textId="56BBE0CB" w:rsidR="00D66FBD" w:rsidRPr="00313B5C" w:rsidRDefault="00D66FBD" w:rsidP="00BF0911">
            <w:pPr>
              <w:pStyle w:val="BodyText1"/>
              <w:rPr>
                <w:rFonts w:ascii="Times New Roman" w:hAnsi="Times New Roman"/>
                <w:b/>
                <w:sz w:val="22"/>
                <w:szCs w:val="22"/>
              </w:rPr>
            </w:pPr>
            <w:r>
              <w:rPr>
                <w:rFonts w:ascii="Times New Roman" w:hAnsi="Times New Roman"/>
                <w:b/>
                <w:sz w:val="22"/>
                <w:szCs w:val="22"/>
              </w:rPr>
              <w:t xml:space="preserve">21% </w:t>
            </w:r>
            <w:r w:rsidRPr="00313B5C">
              <w:rPr>
                <w:rFonts w:ascii="Times New Roman" w:hAnsi="Times New Roman"/>
                <w:b/>
                <w:sz w:val="22"/>
                <w:szCs w:val="22"/>
              </w:rPr>
              <w:t>DPH</w:t>
            </w:r>
          </w:p>
        </w:tc>
        <w:tc>
          <w:tcPr>
            <w:tcW w:w="1966" w:type="dxa"/>
          </w:tcPr>
          <w:p w14:paraId="7519071B" w14:textId="6951BB03" w:rsidR="00D66FBD" w:rsidRPr="00955DE6" w:rsidRDefault="00D66FBD" w:rsidP="00313B5C">
            <w:pPr>
              <w:pStyle w:val="BodyText1"/>
              <w:rPr>
                <w:rFonts w:ascii="Times New Roman" w:hAnsi="Times New Roman"/>
                <w:b/>
                <w:sz w:val="22"/>
                <w:szCs w:val="22"/>
              </w:rPr>
            </w:pPr>
            <w:r w:rsidRPr="00313B5C">
              <w:rPr>
                <w:rFonts w:ascii="Times New Roman" w:hAnsi="Times New Roman"/>
                <w:b/>
                <w:sz w:val="22"/>
                <w:szCs w:val="22"/>
              </w:rPr>
              <w:t>Cena v Kč s DPH</w:t>
            </w:r>
          </w:p>
        </w:tc>
      </w:tr>
      <w:tr w:rsidR="00D66FBD" w:rsidRPr="00955DE6" w14:paraId="6CE6F479" w14:textId="77777777" w:rsidTr="0090214E">
        <w:tc>
          <w:tcPr>
            <w:tcW w:w="2714" w:type="dxa"/>
          </w:tcPr>
          <w:p w14:paraId="6B46EF57" w14:textId="503AB2A4" w:rsidR="00D66FBD" w:rsidRPr="00955DE6" w:rsidRDefault="00D66FBD" w:rsidP="008E0ABF">
            <w:pPr>
              <w:pStyle w:val="BodyText1"/>
              <w:rPr>
                <w:rFonts w:ascii="Times New Roman" w:hAnsi="Times New Roman"/>
                <w:sz w:val="22"/>
                <w:szCs w:val="22"/>
              </w:rPr>
            </w:pPr>
            <w:r>
              <w:rPr>
                <w:rFonts w:ascii="Times New Roman" w:hAnsi="Times New Roman"/>
                <w:sz w:val="22"/>
                <w:szCs w:val="22"/>
              </w:rPr>
              <w:t>110 000,00</w:t>
            </w:r>
          </w:p>
        </w:tc>
        <w:tc>
          <w:tcPr>
            <w:tcW w:w="1958" w:type="dxa"/>
          </w:tcPr>
          <w:p w14:paraId="1B58BFE3" w14:textId="395D9EC6" w:rsidR="00D66FBD" w:rsidRPr="00955DE6" w:rsidRDefault="00D66FBD" w:rsidP="008E0ABF">
            <w:pPr>
              <w:pStyle w:val="BodyText1"/>
              <w:rPr>
                <w:rFonts w:ascii="Times New Roman" w:hAnsi="Times New Roman"/>
                <w:sz w:val="22"/>
                <w:szCs w:val="22"/>
              </w:rPr>
            </w:pPr>
            <w:r>
              <w:rPr>
                <w:rFonts w:ascii="Times New Roman" w:hAnsi="Times New Roman"/>
                <w:sz w:val="22"/>
                <w:szCs w:val="22"/>
              </w:rPr>
              <w:t>23 100,00</w:t>
            </w:r>
          </w:p>
        </w:tc>
        <w:tc>
          <w:tcPr>
            <w:tcW w:w="1966" w:type="dxa"/>
          </w:tcPr>
          <w:p w14:paraId="36C634DE" w14:textId="52A24EA2" w:rsidR="00D66FBD" w:rsidRPr="00955DE6" w:rsidRDefault="00D66FBD" w:rsidP="008E0ABF">
            <w:pPr>
              <w:pStyle w:val="BodyText1"/>
              <w:rPr>
                <w:rFonts w:ascii="Times New Roman" w:hAnsi="Times New Roman"/>
                <w:sz w:val="22"/>
                <w:szCs w:val="22"/>
              </w:rPr>
            </w:pPr>
            <w:r>
              <w:rPr>
                <w:rFonts w:ascii="Times New Roman" w:hAnsi="Times New Roman"/>
                <w:sz w:val="22"/>
                <w:szCs w:val="22"/>
              </w:rPr>
              <w:t>133 100,00</w:t>
            </w:r>
          </w:p>
        </w:tc>
      </w:tr>
    </w:tbl>
    <w:p w14:paraId="5758B2D2" w14:textId="77777777" w:rsidR="008E0ABF" w:rsidRDefault="008E0ABF" w:rsidP="008E0ABF">
      <w:pPr>
        <w:pStyle w:val="BodyText1"/>
        <w:rPr>
          <w:rFonts w:ascii="Times New Roman" w:hAnsi="Times New Roman"/>
          <w:sz w:val="22"/>
          <w:szCs w:val="22"/>
        </w:rPr>
      </w:pPr>
    </w:p>
    <w:p w14:paraId="6DF8D5FC" w14:textId="77777777" w:rsidR="001E3A43" w:rsidRPr="00955DE6" w:rsidRDefault="001E3A43" w:rsidP="008E0ABF">
      <w:pPr>
        <w:pStyle w:val="BodyText1"/>
        <w:rPr>
          <w:rFonts w:ascii="Times New Roman" w:hAnsi="Times New Roman"/>
          <w:sz w:val="22"/>
          <w:szCs w:val="22"/>
        </w:rPr>
      </w:pPr>
    </w:p>
    <w:p w14:paraId="6BCFD662" w14:textId="77777777" w:rsidR="00F943BA" w:rsidRPr="00955DE6" w:rsidRDefault="00BF0911" w:rsidP="00447617">
      <w:pPr>
        <w:pStyle w:val="Bodytextbold"/>
        <w:rPr>
          <w:rFonts w:ascii="Times New Roman" w:hAnsi="Times New Roman"/>
          <w:sz w:val="22"/>
        </w:rPr>
      </w:pPr>
      <w:r w:rsidRPr="00955DE6">
        <w:rPr>
          <w:rFonts w:ascii="Times New Roman" w:hAnsi="Times New Roman"/>
          <w:sz w:val="22"/>
        </w:rPr>
        <w:t xml:space="preserve">Platební </w:t>
      </w:r>
      <w:r w:rsidRPr="00B2674F">
        <w:rPr>
          <w:rFonts w:ascii="Times New Roman" w:hAnsi="Times New Roman"/>
          <w:sz w:val="22"/>
        </w:rPr>
        <w:t>kalendář</w:t>
      </w:r>
      <w:r w:rsidRPr="00955DE6">
        <w:rPr>
          <w:rFonts w:ascii="Times New Roman" w:hAnsi="Times New Roman"/>
          <w:sz w:val="22"/>
        </w:rPr>
        <w:t xml:space="preserve"> </w:t>
      </w:r>
    </w:p>
    <w:p w14:paraId="1F605D79" w14:textId="77777777" w:rsidR="008E0ABF" w:rsidRPr="00955DE6" w:rsidRDefault="008E0ABF" w:rsidP="00447617">
      <w:pPr>
        <w:pStyle w:val="BodyText1"/>
        <w:jc w:val="both"/>
        <w:rPr>
          <w:rFonts w:ascii="Times New Roman" w:hAnsi="Times New Roman"/>
          <w:sz w:val="22"/>
          <w:szCs w:val="22"/>
          <w:highlight w:val="yellow"/>
        </w:rPr>
      </w:pPr>
    </w:p>
    <w:p w14:paraId="1EE4E23E" w14:textId="7A52E70C" w:rsidR="00CC49E4" w:rsidRDefault="00955DE6" w:rsidP="00955DE6">
      <w:pPr>
        <w:pStyle w:val="BodyText1"/>
        <w:jc w:val="both"/>
        <w:rPr>
          <w:rFonts w:ascii="Times New Roman" w:hAnsi="Times New Roman"/>
          <w:sz w:val="22"/>
          <w:szCs w:val="22"/>
        </w:rPr>
      </w:pPr>
      <w:r w:rsidRPr="00955DE6">
        <w:rPr>
          <w:rFonts w:ascii="Times New Roman" w:hAnsi="Times New Roman"/>
          <w:sz w:val="22"/>
          <w:szCs w:val="22"/>
        </w:rPr>
        <w:t xml:space="preserve">Faktura bude vystavena po dokončení prací a po odevzdání </w:t>
      </w:r>
      <w:r w:rsidR="00D66FBD">
        <w:rPr>
          <w:rFonts w:ascii="Times New Roman" w:hAnsi="Times New Roman"/>
          <w:sz w:val="22"/>
          <w:szCs w:val="22"/>
        </w:rPr>
        <w:t>Zprávy</w:t>
      </w:r>
      <w:r w:rsidRPr="00955DE6">
        <w:rPr>
          <w:rFonts w:ascii="Times New Roman" w:hAnsi="Times New Roman"/>
          <w:sz w:val="22"/>
          <w:szCs w:val="22"/>
        </w:rPr>
        <w:t xml:space="preserve">. </w:t>
      </w:r>
      <w:r w:rsidR="0098407B">
        <w:rPr>
          <w:rFonts w:ascii="Times New Roman" w:hAnsi="Times New Roman"/>
          <w:sz w:val="22"/>
          <w:szCs w:val="22"/>
        </w:rPr>
        <w:t>Splatnost faktury bude 21 dní od doručení Klientovi.</w:t>
      </w:r>
    </w:p>
    <w:p w14:paraId="6FC5214F" w14:textId="77777777" w:rsidR="001F1B4B" w:rsidRDefault="001F1B4B" w:rsidP="00955DE6">
      <w:pPr>
        <w:pStyle w:val="BodyText1"/>
        <w:jc w:val="both"/>
        <w:rPr>
          <w:rFonts w:ascii="Times New Roman" w:hAnsi="Times New Roman"/>
          <w:sz w:val="22"/>
          <w:szCs w:val="22"/>
          <w:highlight w:val="lightGray"/>
        </w:rPr>
      </w:pPr>
    </w:p>
    <w:p w14:paraId="011C1259" w14:textId="77777777" w:rsidR="008E0ABF" w:rsidRDefault="008E0ABF" w:rsidP="00447617">
      <w:pPr>
        <w:pStyle w:val="BodyText1"/>
        <w:jc w:val="both"/>
        <w:rPr>
          <w:rFonts w:ascii="Times New Roman" w:hAnsi="Times New Roman"/>
          <w:sz w:val="22"/>
          <w:szCs w:val="22"/>
        </w:rPr>
      </w:pPr>
    </w:p>
    <w:p w14:paraId="598A2401" w14:textId="77777777" w:rsidR="00B2005F" w:rsidRDefault="00B2005F">
      <w:pPr>
        <w:keepLines w:val="0"/>
        <w:tabs>
          <w:tab w:val="clear" w:pos="851"/>
        </w:tabs>
        <w:spacing w:before="0"/>
        <w:jc w:val="left"/>
        <w:rPr>
          <w:color w:val="000000"/>
          <w:sz w:val="19"/>
          <w:szCs w:val="48"/>
        </w:rPr>
      </w:pPr>
      <w:r>
        <w:br w:type="page"/>
      </w:r>
    </w:p>
    <w:p w14:paraId="2394330A" w14:textId="77777777" w:rsidR="00EA6043" w:rsidRDefault="00EA6043" w:rsidP="00220010">
      <w:pPr>
        <w:keepLines w:val="0"/>
        <w:tabs>
          <w:tab w:val="clear" w:pos="851"/>
        </w:tabs>
        <w:spacing w:before="0"/>
        <w:jc w:val="center"/>
        <w:rPr>
          <w:rFonts w:ascii="Times New Roman" w:hAnsi="Times New Roman"/>
          <w:b/>
          <w:sz w:val="22"/>
          <w:szCs w:val="22"/>
        </w:rPr>
        <w:sectPr w:rsidR="00EA6043" w:rsidSect="0050366B">
          <w:pgSz w:w="11906" w:h="16838" w:code="9"/>
          <w:pgMar w:top="1418" w:right="1418" w:bottom="1418" w:left="1418" w:header="709" w:footer="709" w:gutter="0"/>
          <w:paperSrc w:first="15" w:other="15"/>
          <w:cols w:space="708"/>
          <w:docGrid w:linePitch="360"/>
        </w:sectPr>
      </w:pPr>
    </w:p>
    <w:p w14:paraId="37778D93" w14:textId="77777777" w:rsidR="001D56FF" w:rsidRPr="00B2005F" w:rsidRDefault="001D56FF" w:rsidP="002B6BD6">
      <w:pPr>
        <w:keepLines w:val="0"/>
        <w:tabs>
          <w:tab w:val="clear" w:pos="851"/>
        </w:tabs>
        <w:spacing w:before="0"/>
        <w:ind w:right="70"/>
        <w:jc w:val="center"/>
        <w:rPr>
          <w:rFonts w:ascii="Times New Roman" w:hAnsi="Times New Roman"/>
          <w:b/>
          <w:sz w:val="22"/>
          <w:szCs w:val="22"/>
        </w:rPr>
      </w:pPr>
      <w:r w:rsidRPr="00B2005F">
        <w:rPr>
          <w:rFonts w:ascii="Times New Roman" w:hAnsi="Times New Roman"/>
          <w:b/>
          <w:sz w:val="22"/>
          <w:szCs w:val="22"/>
        </w:rPr>
        <w:lastRenderedPageBreak/>
        <w:t>Příloha č. 3</w:t>
      </w:r>
    </w:p>
    <w:p w14:paraId="007F1A05" w14:textId="77777777" w:rsidR="001D56FF" w:rsidRDefault="001D56FF" w:rsidP="002B6BD6">
      <w:pPr>
        <w:pStyle w:val="BodyText1"/>
        <w:ind w:right="70"/>
        <w:jc w:val="center"/>
        <w:rPr>
          <w:rFonts w:ascii="Times New Roman" w:hAnsi="Times New Roman"/>
          <w:b/>
          <w:sz w:val="22"/>
          <w:szCs w:val="22"/>
        </w:rPr>
      </w:pPr>
      <w:r>
        <w:rPr>
          <w:rFonts w:ascii="Times New Roman" w:hAnsi="Times New Roman"/>
          <w:b/>
          <w:sz w:val="22"/>
          <w:szCs w:val="22"/>
        </w:rPr>
        <w:t xml:space="preserve">Obchodní podmínky </w:t>
      </w:r>
      <w:proofErr w:type="spellStart"/>
      <w:r>
        <w:rPr>
          <w:rFonts w:ascii="Times New Roman" w:hAnsi="Times New Roman"/>
          <w:b/>
          <w:sz w:val="22"/>
          <w:szCs w:val="22"/>
        </w:rPr>
        <w:t>Deloitte</w:t>
      </w:r>
      <w:proofErr w:type="spellEnd"/>
      <w:r>
        <w:rPr>
          <w:rFonts w:ascii="Times New Roman" w:hAnsi="Times New Roman"/>
          <w:b/>
          <w:sz w:val="22"/>
          <w:szCs w:val="22"/>
        </w:rPr>
        <w:t xml:space="preserve"> CE</w:t>
      </w:r>
    </w:p>
    <w:p w14:paraId="2715EE96" w14:textId="77777777" w:rsidR="001D56FF" w:rsidRPr="00B2005F" w:rsidRDefault="001D56FF" w:rsidP="002B6BD6">
      <w:pPr>
        <w:pStyle w:val="BodyText1"/>
        <w:ind w:right="70"/>
        <w:jc w:val="center"/>
        <w:rPr>
          <w:rFonts w:ascii="Times New Roman" w:hAnsi="Times New Roman"/>
          <w:b/>
          <w:sz w:val="22"/>
          <w:szCs w:val="22"/>
        </w:rPr>
      </w:pPr>
    </w:p>
    <w:p w14:paraId="0F6EAFE3" w14:textId="77777777" w:rsidR="001D56FF" w:rsidRPr="003D6B57" w:rsidRDefault="001D56FF" w:rsidP="002B6BD6">
      <w:pPr>
        <w:keepNext/>
        <w:keepLines w:val="0"/>
        <w:numPr>
          <w:ilvl w:val="0"/>
          <w:numId w:val="29"/>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Smlouva a smluvní strany </w:t>
      </w:r>
    </w:p>
    <w:p w14:paraId="245E49B5" w14:textId="4933CF0D" w:rsidR="001D56FF" w:rsidRPr="003D6B57" w:rsidRDefault="003B364C" w:rsidP="002B6BD6">
      <w:pPr>
        <w:keepLines w:val="0"/>
        <w:numPr>
          <w:ilvl w:val="0"/>
          <w:numId w:val="28"/>
        </w:numPr>
        <w:tabs>
          <w:tab w:val="clear" w:pos="851"/>
        </w:tabs>
        <w:spacing w:after="120"/>
        <w:ind w:left="0" w:right="70" w:hanging="357"/>
        <w:rPr>
          <w:rFonts w:asciiTheme="minorHAnsi" w:hAnsiTheme="minorHAnsi" w:cstheme="minorHAnsi"/>
          <w:sz w:val="16"/>
          <w:szCs w:val="16"/>
        </w:rPr>
      </w:pPr>
      <w:r>
        <w:rPr>
          <w:rFonts w:asciiTheme="minorHAnsi" w:hAnsiTheme="minorHAnsi" w:cstheme="minorHAnsi"/>
          <w:sz w:val="16"/>
          <w:szCs w:val="16"/>
        </w:rPr>
        <w:t>Ujednání</w:t>
      </w:r>
      <w:r w:rsidR="001D56FF" w:rsidRPr="003D6B57">
        <w:rPr>
          <w:rFonts w:asciiTheme="minorHAnsi" w:hAnsiTheme="minorHAnsi" w:cstheme="minorHAnsi"/>
          <w:sz w:val="16"/>
          <w:szCs w:val="16"/>
        </w:rPr>
        <w:t xml:space="preserve"> Smlouvy a/nebo Smluvního dopisu a/nebo </w:t>
      </w:r>
      <w:r w:rsidR="001D56FF" w:rsidRPr="006F72F5">
        <w:rPr>
          <w:rFonts w:asciiTheme="minorHAnsi" w:hAnsiTheme="minorHAnsi" w:cstheme="minorHAnsi"/>
          <w:sz w:val="16"/>
          <w:szCs w:val="16"/>
        </w:rPr>
        <w:t>Objednávky prací</w:t>
      </w:r>
      <w:r w:rsidR="001D56FF" w:rsidRPr="007F35CF">
        <w:rPr>
          <w:b/>
          <w:szCs w:val="22"/>
        </w:rPr>
        <w:t xml:space="preserve"> </w:t>
      </w:r>
      <w:r w:rsidR="001D56FF" w:rsidRPr="003D6B57">
        <w:rPr>
          <w:rFonts w:asciiTheme="minorHAnsi" w:hAnsiTheme="minorHAnsi" w:cstheme="minorHAnsi"/>
          <w:sz w:val="16"/>
          <w:szCs w:val="16"/>
        </w:rPr>
        <w:t xml:space="preserve">a jakýchkoli jiných příloh, než jsou tyto Obchodní podmínky („Smluvní dopis“), vydaných </w:t>
      </w:r>
      <w:proofErr w:type="spellStart"/>
      <w:r w:rsidR="001D56FF" w:rsidRPr="00E80251">
        <w:rPr>
          <w:rFonts w:asciiTheme="minorHAnsi" w:hAnsiTheme="minorHAnsi" w:cstheme="minorHAnsi"/>
          <w:sz w:val="16"/>
          <w:szCs w:val="16"/>
        </w:rPr>
        <w:t>Deloitte</w:t>
      </w:r>
      <w:proofErr w:type="spellEnd"/>
      <w:r w:rsidR="001D56FF" w:rsidRPr="00E80251">
        <w:rPr>
          <w:rFonts w:asciiTheme="minorHAnsi" w:hAnsiTheme="minorHAnsi" w:cstheme="minorHAnsi"/>
          <w:sz w:val="16"/>
          <w:szCs w:val="16"/>
        </w:rPr>
        <w:t xml:space="preserve"> </w:t>
      </w:r>
      <w:proofErr w:type="spellStart"/>
      <w:r w:rsidR="001D56FF" w:rsidRPr="00E80251">
        <w:rPr>
          <w:rFonts w:asciiTheme="minorHAnsi" w:hAnsiTheme="minorHAnsi" w:cstheme="minorHAnsi"/>
          <w:sz w:val="16"/>
          <w:szCs w:val="16"/>
        </w:rPr>
        <w:t>Advisory</w:t>
      </w:r>
      <w:proofErr w:type="spellEnd"/>
      <w:r w:rsidR="001D56FF" w:rsidRPr="00E80251">
        <w:rPr>
          <w:rFonts w:asciiTheme="minorHAnsi" w:hAnsiTheme="minorHAnsi" w:cstheme="minorHAnsi"/>
          <w:sz w:val="16"/>
          <w:szCs w:val="16"/>
        </w:rPr>
        <w:t xml:space="preserve"> s.r.o., IČ</w:t>
      </w:r>
      <w:r w:rsidR="001D56FF">
        <w:rPr>
          <w:rFonts w:asciiTheme="minorHAnsi" w:hAnsiTheme="minorHAnsi" w:cstheme="minorHAnsi"/>
          <w:sz w:val="16"/>
          <w:szCs w:val="16"/>
        </w:rPr>
        <w:t>O</w:t>
      </w:r>
      <w:r w:rsidR="001D56FF" w:rsidRPr="00E80251">
        <w:rPr>
          <w:rFonts w:asciiTheme="minorHAnsi" w:hAnsiTheme="minorHAnsi" w:cstheme="minorHAnsi"/>
          <w:sz w:val="16"/>
          <w:szCs w:val="16"/>
        </w:rPr>
        <w:t>: 27582167, se sídlem: Praha 8, Karolinská 654/2, PSČ: 18600, Česká republika, zapsanou v obchodním rejstříku vedeném Městským soudem v Praze, spis. zn.: C 113225</w:t>
      </w:r>
      <w:r w:rsidR="001D56FF">
        <w:t xml:space="preserve"> </w:t>
      </w:r>
      <w:r w:rsidR="001D56FF" w:rsidRPr="003D6B57">
        <w:rPr>
          <w:rFonts w:asciiTheme="minorHAnsi" w:hAnsiTheme="minorHAnsi" w:cstheme="minorHAnsi"/>
          <w:sz w:val="16"/>
          <w:szCs w:val="16"/>
        </w:rPr>
        <w:t>(„</w:t>
      </w:r>
      <w:proofErr w:type="spellStart"/>
      <w:r w:rsidR="001D56FF" w:rsidRPr="003D6B57">
        <w:rPr>
          <w:rFonts w:asciiTheme="minorHAnsi" w:hAnsiTheme="minorHAnsi" w:cstheme="minorHAnsi"/>
          <w:sz w:val="16"/>
          <w:szCs w:val="16"/>
        </w:rPr>
        <w:t>Deloitte</w:t>
      </w:r>
      <w:proofErr w:type="spellEnd"/>
      <w:r w:rsidR="001D56FF" w:rsidRPr="003D6B57">
        <w:rPr>
          <w:rFonts w:asciiTheme="minorHAnsi" w:hAnsiTheme="minorHAnsi" w:cstheme="minorHAnsi"/>
          <w:sz w:val="16"/>
          <w:szCs w:val="16"/>
        </w:rPr>
        <w:t xml:space="preserve">“) a adresovaných subjektu identifikovanému ve Smluvním dopise („Klient“) a tyto Obchodní podmínky (společně „Smlouva“) tvoří úplnou dohodu mezi Klientem a </w:t>
      </w:r>
      <w:proofErr w:type="spellStart"/>
      <w:r w:rsidR="001D56FF" w:rsidRPr="003D6B57">
        <w:rPr>
          <w:rFonts w:asciiTheme="minorHAnsi" w:hAnsiTheme="minorHAnsi" w:cstheme="minorHAnsi"/>
          <w:sz w:val="16"/>
          <w:szCs w:val="16"/>
        </w:rPr>
        <w:t>Deloitte</w:t>
      </w:r>
      <w:proofErr w:type="spellEnd"/>
      <w:r w:rsidR="001D56FF" w:rsidRPr="003D6B57">
        <w:rPr>
          <w:rFonts w:asciiTheme="minorHAnsi" w:hAnsiTheme="minorHAnsi" w:cstheme="minorHAnsi"/>
          <w:sz w:val="16"/>
          <w:szCs w:val="16"/>
        </w:rPr>
        <w:t xml:space="preserve"> ve vztahu ke službám, dodávkám a výsledkům práce, které jsou popsány v příslušném Smluvním dopise a které mají být poskytnuty společností </w:t>
      </w:r>
      <w:proofErr w:type="spellStart"/>
      <w:r w:rsidR="001D56FF" w:rsidRPr="003D6B57">
        <w:rPr>
          <w:rFonts w:asciiTheme="minorHAnsi" w:hAnsiTheme="minorHAnsi" w:cstheme="minorHAnsi"/>
          <w:sz w:val="16"/>
          <w:szCs w:val="16"/>
        </w:rPr>
        <w:t>Deloitte</w:t>
      </w:r>
      <w:proofErr w:type="spellEnd"/>
      <w:r w:rsidR="001D56FF" w:rsidRPr="003D6B57">
        <w:rPr>
          <w:rFonts w:asciiTheme="minorHAnsi" w:hAnsiTheme="minorHAnsi" w:cstheme="minorHAnsi"/>
          <w:sz w:val="16"/>
          <w:szCs w:val="16"/>
        </w:rPr>
        <w:t xml:space="preserve"> (včetně Výstupů definovaných níže), a ve vztahu k odpovědnostem společnosti </w:t>
      </w:r>
      <w:proofErr w:type="spellStart"/>
      <w:r w:rsidR="001D56FF" w:rsidRPr="003D6B57">
        <w:rPr>
          <w:rFonts w:asciiTheme="minorHAnsi" w:hAnsiTheme="minorHAnsi" w:cstheme="minorHAnsi"/>
          <w:sz w:val="16"/>
          <w:szCs w:val="16"/>
        </w:rPr>
        <w:t>Deloitte</w:t>
      </w:r>
      <w:proofErr w:type="spellEnd"/>
      <w:r w:rsidR="001D56FF" w:rsidRPr="003D6B57">
        <w:rPr>
          <w:rFonts w:asciiTheme="minorHAnsi" w:hAnsiTheme="minorHAnsi" w:cstheme="minorHAnsi"/>
          <w:sz w:val="16"/>
          <w:szCs w:val="16"/>
        </w:rPr>
        <w:t xml:space="preserve"> za ně („Služby“). Použitelnost těchto Obchodních podmínek může být vyloučena nebo omezena pouze zákonem, nařízeními nebo výslovnou písemnou dohodou mezi </w:t>
      </w:r>
      <w:proofErr w:type="spellStart"/>
      <w:r w:rsidR="001D56FF" w:rsidRPr="003D6B57">
        <w:rPr>
          <w:rFonts w:asciiTheme="minorHAnsi" w:hAnsiTheme="minorHAnsi" w:cstheme="minorHAnsi"/>
          <w:sz w:val="16"/>
          <w:szCs w:val="16"/>
        </w:rPr>
        <w:t>Deloitte</w:t>
      </w:r>
      <w:proofErr w:type="spellEnd"/>
      <w:r w:rsidR="001D56FF" w:rsidRPr="003D6B57">
        <w:rPr>
          <w:rFonts w:asciiTheme="minorHAnsi" w:hAnsiTheme="minorHAnsi" w:cstheme="minorHAnsi"/>
          <w:sz w:val="16"/>
          <w:szCs w:val="16"/>
        </w:rPr>
        <w:t xml:space="preserve"> a Klientem. Termíny s velkými písmeny, které nejsou definovány v Obchodních podmínkách, mají význam vymezený ve Smluvním dopise. Pokud dojde k rozporu </w:t>
      </w:r>
      <w:r w:rsidR="001D56FF">
        <w:rPr>
          <w:rFonts w:asciiTheme="minorHAnsi" w:hAnsiTheme="minorHAnsi" w:cstheme="minorHAnsi"/>
          <w:sz w:val="16"/>
          <w:szCs w:val="16"/>
        </w:rPr>
        <w:t>mezi zněním těchto</w:t>
      </w:r>
      <w:r w:rsidR="001D56FF" w:rsidRPr="003D6B57">
        <w:rPr>
          <w:rFonts w:asciiTheme="minorHAnsi" w:hAnsiTheme="minorHAnsi" w:cstheme="minorHAnsi"/>
          <w:sz w:val="16"/>
          <w:szCs w:val="16"/>
        </w:rPr>
        <w:t xml:space="preserve"> Obchodní</w:t>
      </w:r>
      <w:r w:rsidR="001D56FF">
        <w:rPr>
          <w:rFonts w:asciiTheme="minorHAnsi" w:hAnsiTheme="minorHAnsi" w:cstheme="minorHAnsi"/>
          <w:sz w:val="16"/>
          <w:szCs w:val="16"/>
        </w:rPr>
        <w:t>ch</w:t>
      </w:r>
      <w:r w:rsidR="001D56FF" w:rsidRPr="003D6B57">
        <w:rPr>
          <w:rFonts w:asciiTheme="minorHAnsi" w:hAnsiTheme="minorHAnsi" w:cstheme="minorHAnsi"/>
          <w:sz w:val="16"/>
          <w:szCs w:val="16"/>
        </w:rPr>
        <w:t xml:space="preserve"> podmín</w:t>
      </w:r>
      <w:r w:rsidR="001D56FF">
        <w:rPr>
          <w:rFonts w:asciiTheme="minorHAnsi" w:hAnsiTheme="minorHAnsi" w:cstheme="minorHAnsi"/>
          <w:sz w:val="16"/>
          <w:szCs w:val="16"/>
        </w:rPr>
        <w:t>e</w:t>
      </w:r>
      <w:r w:rsidR="001D56FF" w:rsidRPr="003D6B57">
        <w:rPr>
          <w:rFonts w:asciiTheme="minorHAnsi" w:hAnsiTheme="minorHAnsi" w:cstheme="minorHAnsi"/>
          <w:sz w:val="16"/>
          <w:szCs w:val="16"/>
        </w:rPr>
        <w:t xml:space="preserve">k a Smluvním dopisem, </w:t>
      </w:r>
      <w:r w:rsidR="001D56FF">
        <w:rPr>
          <w:rFonts w:asciiTheme="minorHAnsi" w:hAnsiTheme="minorHAnsi" w:cstheme="minorHAnsi"/>
          <w:sz w:val="16"/>
          <w:szCs w:val="16"/>
        </w:rPr>
        <w:t>má přednost znění</w:t>
      </w:r>
      <w:r w:rsidR="001D56FF" w:rsidRPr="003D6B57">
        <w:rPr>
          <w:rFonts w:asciiTheme="minorHAnsi" w:hAnsiTheme="minorHAnsi" w:cstheme="minorHAnsi"/>
          <w:sz w:val="16"/>
          <w:szCs w:val="16"/>
        </w:rPr>
        <w:t xml:space="preserve"> Smluvní</w:t>
      </w:r>
      <w:r w:rsidR="001D56FF">
        <w:rPr>
          <w:rFonts w:asciiTheme="minorHAnsi" w:hAnsiTheme="minorHAnsi" w:cstheme="minorHAnsi"/>
          <w:sz w:val="16"/>
          <w:szCs w:val="16"/>
        </w:rPr>
        <w:t>ho</w:t>
      </w:r>
      <w:r w:rsidR="001D56FF" w:rsidRPr="003D6B57">
        <w:rPr>
          <w:rFonts w:asciiTheme="minorHAnsi" w:hAnsiTheme="minorHAnsi" w:cstheme="minorHAnsi"/>
          <w:sz w:val="16"/>
          <w:szCs w:val="16"/>
        </w:rPr>
        <w:t xml:space="preserve"> dopis</w:t>
      </w:r>
      <w:r w:rsidR="001D56FF">
        <w:rPr>
          <w:rFonts w:asciiTheme="minorHAnsi" w:hAnsiTheme="minorHAnsi" w:cstheme="minorHAnsi"/>
          <w:sz w:val="16"/>
          <w:szCs w:val="16"/>
        </w:rPr>
        <w:t>u</w:t>
      </w:r>
      <w:r w:rsidR="001D56FF" w:rsidRPr="003D6B57">
        <w:rPr>
          <w:rFonts w:asciiTheme="minorHAnsi" w:hAnsiTheme="minorHAnsi" w:cstheme="minorHAnsi"/>
          <w:sz w:val="16"/>
          <w:szCs w:val="16"/>
        </w:rPr>
        <w:t xml:space="preserve">. </w:t>
      </w:r>
    </w:p>
    <w:p w14:paraId="503E635B" w14:textId="49E8B051" w:rsidR="001D56FF" w:rsidRPr="003D6B57" w:rsidRDefault="001D56FF" w:rsidP="002B6BD6">
      <w:pPr>
        <w:keepLines w:val="0"/>
        <w:numPr>
          <w:ilvl w:val="0"/>
          <w:numId w:val="28"/>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Pro účely </w:t>
      </w:r>
      <w:r>
        <w:rPr>
          <w:rFonts w:asciiTheme="minorHAnsi" w:hAnsiTheme="minorHAnsi" w:cstheme="minorHAnsi"/>
          <w:sz w:val="16"/>
          <w:szCs w:val="16"/>
        </w:rPr>
        <w:t xml:space="preserve">této </w:t>
      </w:r>
      <w:r w:rsidRPr="003D6B57">
        <w:rPr>
          <w:rFonts w:asciiTheme="minorHAnsi" w:hAnsiTheme="minorHAnsi" w:cstheme="minorHAnsi"/>
          <w:sz w:val="16"/>
          <w:szCs w:val="16"/>
        </w:rPr>
        <w:t xml:space="preserve">Smlouvy znamená termín „Klient“ subjekt, který podepsal Smluvní dopis, a/nebo člena(y) skupiny Klienta, kteří jsou smluvní stranou nebo jsou identifikováni v příslušném Smluvním dopise. Klient prohlašuje a zaručuje, že má pravomoc a pověření (a) podepsat Smlouvu a (b) zavázat sebe a členy skupiny Klienta identifikované ve Smluvním dopise. Pro účely této Smlouvy znamená termín „Oprávněná osoba“ takové osoby (pokud existují), (a) které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a Klient odsouhlasili ve Smluvním dopise a které mohou mít užitek z Výstupu (nebo </w:t>
      </w:r>
      <w:r>
        <w:rPr>
          <w:rFonts w:asciiTheme="minorHAnsi" w:hAnsiTheme="minorHAnsi" w:cstheme="minorHAnsi"/>
          <w:sz w:val="16"/>
          <w:szCs w:val="16"/>
        </w:rPr>
        <w:t xml:space="preserve">z </w:t>
      </w:r>
      <w:r w:rsidRPr="003D6B57">
        <w:rPr>
          <w:rFonts w:asciiTheme="minorHAnsi" w:hAnsiTheme="minorHAnsi" w:cstheme="minorHAnsi"/>
          <w:sz w:val="16"/>
          <w:szCs w:val="16"/>
        </w:rPr>
        <w:t>jeho část</w:t>
      </w:r>
      <w:r>
        <w:rPr>
          <w:rFonts w:asciiTheme="minorHAnsi" w:hAnsiTheme="minorHAnsi" w:cstheme="minorHAnsi"/>
          <w:sz w:val="16"/>
          <w:szCs w:val="16"/>
        </w:rPr>
        <w:t>í</w:t>
      </w:r>
      <w:r w:rsidRPr="003D6B57">
        <w:rPr>
          <w:rFonts w:asciiTheme="minorHAnsi" w:hAnsiTheme="minorHAnsi" w:cstheme="minorHAnsi"/>
          <w:sz w:val="16"/>
          <w:szCs w:val="16"/>
        </w:rPr>
        <w:t xml:space="preserve">) a mohou se na něj (nebo na jeho část) spoléhat a (b) přijaly podmínky </w:t>
      </w:r>
      <w:r>
        <w:rPr>
          <w:rFonts w:asciiTheme="minorHAnsi" w:hAnsiTheme="minorHAnsi" w:cstheme="minorHAnsi"/>
          <w:sz w:val="16"/>
          <w:szCs w:val="16"/>
        </w:rPr>
        <w:t xml:space="preserve">této </w:t>
      </w:r>
      <w:r w:rsidRPr="003D6B57">
        <w:rPr>
          <w:rFonts w:asciiTheme="minorHAnsi" w:hAnsiTheme="minorHAnsi" w:cstheme="minorHAnsi"/>
          <w:sz w:val="16"/>
          <w:szCs w:val="16"/>
        </w:rPr>
        <w:t xml:space="preserve">Smlouvy na základě písemných ujednání se společností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jak je podrobně specifikováno v</w:t>
      </w:r>
      <w:r w:rsidR="00770164">
        <w:rPr>
          <w:rFonts w:asciiTheme="minorHAnsi" w:hAnsiTheme="minorHAnsi" w:cstheme="minorHAnsi"/>
          <w:sz w:val="16"/>
          <w:szCs w:val="16"/>
        </w:rPr>
        <w:t> </w:t>
      </w:r>
      <w:r w:rsidRPr="003D6B57">
        <w:rPr>
          <w:rFonts w:asciiTheme="minorHAnsi" w:hAnsiTheme="minorHAnsi" w:cstheme="minorHAnsi"/>
          <w:sz w:val="16"/>
          <w:szCs w:val="16"/>
        </w:rPr>
        <w:t>ustanovení</w:t>
      </w:r>
      <w:r w:rsidR="00770164">
        <w:rPr>
          <w:rFonts w:asciiTheme="minorHAnsi" w:hAnsiTheme="minorHAnsi" w:cstheme="minorHAnsi"/>
          <w:sz w:val="16"/>
          <w:szCs w:val="16"/>
        </w:rPr>
        <w:t xml:space="preserve"> čl. 25</w:t>
      </w:r>
      <w:r w:rsidRPr="003D6B57">
        <w:rPr>
          <w:rFonts w:asciiTheme="minorHAnsi" w:hAnsiTheme="minorHAnsi" w:cstheme="minorHAnsi"/>
          <w:sz w:val="16"/>
          <w:szCs w:val="16"/>
        </w:rPr>
        <w:t xml:space="preserve"> níže, ale žádná Oprávněná osoba nebude stranou této Smlouvy.  Termín „Příjemce (Příjemci)“ znamená osoby, včetně mj. Klienta, skupinu Klienta a Oprávněné osoby, (i) u nichž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a Klient odsouhlasili, že mohou mít přístup k Výstupu (nebo jeho části) a (b) přijaly ty podmínky Smlouvy, které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 jednotlivých případech požaduje. Příjemce</w:t>
      </w:r>
      <w:r>
        <w:rPr>
          <w:rFonts w:asciiTheme="minorHAnsi" w:hAnsiTheme="minorHAnsi" w:cstheme="minorHAnsi"/>
          <w:sz w:val="16"/>
          <w:szCs w:val="16"/>
        </w:rPr>
        <w:t xml:space="preserve">, který není </w:t>
      </w:r>
      <w:r w:rsidRPr="003D6B57">
        <w:rPr>
          <w:rFonts w:asciiTheme="minorHAnsi" w:hAnsiTheme="minorHAnsi" w:cstheme="minorHAnsi"/>
          <w:sz w:val="16"/>
          <w:szCs w:val="16"/>
        </w:rPr>
        <w:t>Klient</w:t>
      </w:r>
      <w:r>
        <w:rPr>
          <w:rFonts w:asciiTheme="minorHAnsi" w:hAnsiTheme="minorHAnsi" w:cstheme="minorHAnsi"/>
          <w:sz w:val="16"/>
          <w:szCs w:val="16"/>
        </w:rPr>
        <w:t>em</w:t>
      </w:r>
      <w:r w:rsidRPr="003D6B57">
        <w:rPr>
          <w:rFonts w:asciiTheme="minorHAnsi" w:hAnsiTheme="minorHAnsi" w:cstheme="minorHAnsi"/>
          <w:sz w:val="16"/>
          <w:szCs w:val="16"/>
        </w:rPr>
        <w:t xml:space="preserve"> a/nebo </w:t>
      </w:r>
      <w:r>
        <w:rPr>
          <w:rFonts w:asciiTheme="minorHAnsi" w:hAnsiTheme="minorHAnsi" w:cstheme="minorHAnsi"/>
          <w:sz w:val="16"/>
          <w:szCs w:val="16"/>
        </w:rPr>
        <w:t xml:space="preserve">součástí </w:t>
      </w:r>
      <w:r w:rsidRPr="003D6B57">
        <w:rPr>
          <w:rFonts w:asciiTheme="minorHAnsi" w:hAnsiTheme="minorHAnsi" w:cstheme="minorHAnsi"/>
          <w:sz w:val="16"/>
          <w:szCs w:val="16"/>
        </w:rPr>
        <w:t>skupin</w:t>
      </w:r>
      <w:r>
        <w:rPr>
          <w:rFonts w:asciiTheme="minorHAnsi" w:hAnsiTheme="minorHAnsi" w:cstheme="minorHAnsi"/>
          <w:sz w:val="16"/>
          <w:szCs w:val="16"/>
        </w:rPr>
        <w:t>y</w:t>
      </w:r>
      <w:r w:rsidRPr="003D6B57">
        <w:rPr>
          <w:rFonts w:asciiTheme="minorHAnsi" w:hAnsiTheme="minorHAnsi" w:cstheme="minorHAnsi"/>
          <w:sz w:val="16"/>
          <w:szCs w:val="16"/>
        </w:rPr>
        <w:t xml:space="preserve"> Klienta</w:t>
      </w:r>
      <w:r>
        <w:rPr>
          <w:rFonts w:asciiTheme="minorHAnsi" w:hAnsiTheme="minorHAnsi" w:cstheme="minorHAnsi"/>
          <w:sz w:val="16"/>
          <w:szCs w:val="16"/>
        </w:rPr>
        <w:t>, není</w:t>
      </w:r>
      <w:r w:rsidRPr="003D6B57">
        <w:rPr>
          <w:rFonts w:asciiTheme="minorHAnsi" w:hAnsiTheme="minorHAnsi" w:cstheme="minorHAnsi"/>
          <w:sz w:val="16"/>
          <w:szCs w:val="16"/>
        </w:rPr>
        <w:t xml:space="preserve"> stranou Smlouvy.  </w:t>
      </w:r>
    </w:p>
    <w:p w14:paraId="04767DE8" w14:textId="77777777" w:rsidR="001D56FF" w:rsidRPr="003D6B57" w:rsidRDefault="001D56FF" w:rsidP="002B6BD6">
      <w:pPr>
        <w:keepLines w:val="0"/>
        <w:numPr>
          <w:ilvl w:val="0"/>
          <w:numId w:val="28"/>
        </w:numPr>
        <w:tabs>
          <w:tab w:val="clear" w:pos="851"/>
        </w:tabs>
        <w:spacing w:after="120"/>
        <w:ind w:left="0" w:right="70" w:hanging="357"/>
        <w:rPr>
          <w:rFonts w:asciiTheme="minorHAnsi" w:hAnsiTheme="minorHAnsi" w:cstheme="minorHAnsi"/>
          <w:sz w:val="16"/>
          <w:szCs w:val="16"/>
        </w:rPr>
      </w:pPr>
      <w:r w:rsidRPr="00357D53">
        <w:rPr>
          <w:rFonts w:asciiTheme="minorHAnsi" w:hAnsiTheme="minorHAnsi" w:cstheme="minorHAnsi"/>
          <w:sz w:val="16"/>
          <w:szCs w:val="16"/>
        </w:rPr>
        <w:t xml:space="preserve">Společnost </w:t>
      </w:r>
      <w:proofErr w:type="spellStart"/>
      <w:r w:rsidRPr="00357D53">
        <w:rPr>
          <w:rFonts w:asciiTheme="minorHAnsi" w:hAnsiTheme="minorHAnsi" w:cstheme="minorHAnsi"/>
          <w:sz w:val="16"/>
          <w:szCs w:val="16"/>
        </w:rPr>
        <w:t>Deloitte</w:t>
      </w:r>
      <w:proofErr w:type="spellEnd"/>
      <w:r w:rsidRPr="00357D53">
        <w:rPr>
          <w:rFonts w:asciiTheme="minorHAnsi" w:hAnsiTheme="minorHAnsi" w:cstheme="minorHAnsi"/>
          <w:sz w:val="16"/>
          <w:szCs w:val="16"/>
        </w:rPr>
        <w:t xml:space="preserve"> může zadat zajištění jakýchkoli Služeb dle této Smlouvy </w:t>
      </w:r>
      <w:r>
        <w:rPr>
          <w:rFonts w:asciiTheme="minorHAnsi" w:hAnsiTheme="minorHAnsi" w:cstheme="minorHAnsi"/>
          <w:sz w:val="16"/>
          <w:szCs w:val="16"/>
        </w:rPr>
        <w:t>jakékoliv jiné Společnosti skupiny</w:t>
      </w:r>
      <w:r w:rsidRPr="00357D53">
        <w:rPr>
          <w:rFonts w:asciiTheme="minorHAnsi" w:hAnsiTheme="minorHAnsi" w:cstheme="minorHAnsi"/>
          <w:sz w:val="16"/>
          <w:szCs w:val="16"/>
        </w:rPr>
        <w:t xml:space="preserve"> </w:t>
      </w:r>
      <w:proofErr w:type="spellStart"/>
      <w:r w:rsidRPr="00357D53">
        <w:rPr>
          <w:rFonts w:asciiTheme="minorHAnsi" w:hAnsiTheme="minorHAnsi" w:cstheme="minorHAnsi"/>
          <w:sz w:val="16"/>
          <w:szCs w:val="16"/>
        </w:rPr>
        <w:t>Deloitte</w:t>
      </w:r>
      <w:proofErr w:type="spellEnd"/>
      <w:r w:rsidRPr="00357D53">
        <w:rPr>
          <w:rFonts w:asciiTheme="minorHAnsi" w:hAnsiTheme="minorHAnsi" w:cstheme="minorHAnsi"/>
          <w:sz w:val="16"/>
          <w:szCs w:val="16"/>
        </w:rPr>
        <w:t xml:space="preserve"> a/nebo jiné třetí straně jako subdodavateli</w:t>
      </w:r>
      <w:r>
        <w:rPr>
          <w:i/>
        </w:rPr>
        <w:t xml:space="preserve"> </w:t>
      </w:r>
      <w:r w:rsidRPr="003D6B57">
        <w:rPr>
          <w:rFonts w:asciiTheme="minorHAnsi" w:hAnsiTheme="minorHAnsi" w:cstheme="minorHAnsi"/>
          <w:sz w:val="16"/>
          <w:szCs w:val="16"/>
        </w:rPr>
        <w:t xml:space="preserve">(společně „Subdodavatel“). Vztah Klienta je pouze se společností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jako se subjektem, který se smluvně zavázal k poskytování Služeb. Každá smluvní strana je nezávislou smluvní stranou a žádná z nich není zprostředkovatelem, distributorem, zaměstnavatelem, partnerem, zmocněncem, společníkem ve společném podniku, spoluvlastníkem nebo zástupcem druhé smluvní strany ani za něj nebude považována. </w:t>
      </w:r>
    </w:p>
    <w:p w14:paraId="50C8CF00" w14:textId="77777777" w:rsidR="001D56FF" w:rsidRPr="003D6B57" w:rsidRDefault="001D56FF" w:rsidP="002B6BD6">
      <w:pPr>
        <w:keepLines w:val="0"/>
        <w:numPr>
          <w:ilvl w:val="0"/>
          <w:numId w:val="28"/>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Společnost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zůstává odpovědná vůči Klientovi za všechny Služby, které jsou nebo budou poskytovány podle této Smlouvy, včetně Služeb poskytovaných ze strany jejích Subdodavatelů. </w:t>
      </w:r>
      <w:r w:rsidRPr="00357D53">
        <w:rPr>
          <w:rFonts w:asciiTheme="minorHAnsi" w:hAnsiTheme="minorHAnsi" w:cstheme="minorHAnsi"/>
          <w:sz w:val="16"/>
          <w:szCs w:val="16"/>
        </w:rPr>
        <w:t>Tudíž v maximálním přípustném rozsahu dle platného práva nemá</w:t>
      </w:r>
      <w:r w:rsidRPr="003D6B57" w:rsidDel="00E80251">
        <w:rPr>
          <w:rFonts w:asciiTheme="minorHAnsi" w:hAnsiTheme="minorHAnsi" w:cstheme="minorHAnsi"/>
          <w:sz w:val="16"/>
          <w:szCs w:val="16"/>
        </w:rPr>
        <w:t xml:space="preserve"> </w:t>
      </w:r>
      <w:r w:rsidRPr="003D6B57">
        <w:rPr>
          <w:rFonts w:asciiTheme="minorHAnsi" w:hAnsiTheme="minorHAnsi" w:cstheme="minorHAnsi"/>
          <w:sz w:val="16"/>
          <w:szCs w:val="16"/>
        </w:rPr>
        <w:t xml:space="preserve">(a) žádná ze Společností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(kromě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odpovědnost vůči skupině Klienta, (b) Klient nevznese žádný nárok ani nezahájí žádné řízení jakékoli povahy (ať jde o smlouvu, občanskoprávní delikt, porušení zákonné povinnosti nebo jinou záležitost, a to včetně mj. žaloby pro nedbalost) žádným způsobem s ohledem na Smlouvu </w:t>
      </w:r>
      <w:r w:rsidRPr="003D6B57">
        <w:rPr>
          <w:rFonts w:asciiTheme="minorHAnsi" w:hAnsiTheme="minorHAnsi" w:cstheme="minorHAnsi"/>
          <w:sz w:val="16"/>
          <w:szCs w:val="16"/>
        </w:rPr>
        <w:lastRenderedPageBreak/>
        <w:t xml:space="preserve">nebo v souvislosti s ní proti jakékoli 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(kromě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a (c) Klient zároveň zajistí, že žádný člen skupiny Klienta, který není stranou Smlouvy, nevznese nárok ani nezahájí řízení jakékoli povahy (ať jde o smlouvu, občanskoprávní delikt, porušení zákonné povinnosti nebo jinou záležitost, a to včetně mj. žaloby pro nedbalost) jakýmkoli způsobem s ohledem na Smlouvu nebo v souvislosti s ní proti žádné 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Žádný jednotlivý partner ani zaměstnanec nepřevezme odpovědnost (včetně odpovědnosti sám za sebe) za Služby poskytované podle této Smlouvy. Klient souhlasí, že nevznese žádný nárok vůči jakémukoli jednotlivému partnerovi nebo zaměstnanci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jelikož společnost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zůstává právně odpovědná vůči Klientovi za jednání nebo opomenutí ve vztahu ke Službám poskytovaným za podmínek této Smlouvy. </w:t>
      </w:r>
    </w:p>
    <w:p w14:paraId="42BA02CC" w14:textId="77777777" w:rsidR="001D56FF" w:rsidRPr="003D6B57" w:rsidRDefault="001D56FF" w:rsidP="00015A9A">
      <w:pPr>
        <w:keepLines w:val="0"/>
        <w:numPr>
          <w:ilvl w:val="0"/>
          <w:numId w:val="28"/>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Pod pojmem „Společnosti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se rozumí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Touche</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Tohmatsu</w:t>
      </w:r>
      <w:proofErr w:type="spellEnd"/>
      <w:r w:rsidRPr="003D6B57">
        <w:rPr>
          <w:rFonts w:asciiTheme="minorHAnsi" w:hAnsiTheme="minorHAnsi" w:cstheme="minorHAnsi"/>
          <w:sz w:val="16"/>
          <w:szCs w:val="16"/>
        </w:rPr>
        <w:t xml:space="preserve"> Limited, společnost s ručením omezeným zárukou („</w:t>
      </w:r>
      <w:proofErr w:type="spellStart"/>
      <w:r w:rsidRPr="003D6B57">
        <w:rPr>
          <w:rFonts w:asciiTheme="minorHAnsi" w:hAnsiTheme="minorHAnsi" w:cstheme="minorHAnsi"/>
          <w:sz w:val="16"/>
          <w:szCs w:val="16"/>
        </w:rPr>
        <w:t>private</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company</w:t>
      </w:r>
      <w:proofErr w:type="spellEnd"/>
      <w:r w:rsidRPr="003D6B57">
        <w:rPr>
          <w:rFonts w:asciiTheme="minorHAnsi" w:hAnsiTheme="minorHAnsi" w:cstheme="minorHAnsi"/>
          <w:sz w:val="16"/>
          <w:szCs w:val="16"/>
        </w:rPr>
        <w:t xml:space="preserve"> limited by </w:t>
      </w:r>
      <w:proofErr w:type="spellStart"/>
      <w:r w:rsidRPr="003D6B57">
        <w:rPr>
          <w:rFonts w:asciiTheme="minorHAnsi" w:hAnsiTheme="minorHAnsi" w:cstheme="minorHAnsi"/>
          <w:sz w:val="16"/>
          <w:szCs w:val="16"/>
        </w:rPr>
        <w:t>guarantee</w:t>
      </w:r>
      <w:proofErr w:type="spellEnd"/>
      <w:r w:rsidRPr="003D6B57">
        <w:rPr>
          <w:rFonts w:asciiTheme="minorHAnsi" w:hAnsiTheme="minorHAnsi" w:cstheme="minorHAnsi"/>
          <w:sz w:val="16"/>
          <w:szCs w:val="16"/>
        </w:rPr>
        <w:t xml:space="preserve">“) založené podle práva Spojeného království Velké Británie a Severního Irska („DTTL“), její členské firmy a jejich příslušné dceřiné a přidružené společnosti (včetně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jejich předchůdci, nástupci a postupníci a všichni partneři, vedoucí, členové, vlastníci, ředitelé, zaměstnanci, subdodavatelé a zástupci těchto společností. Není-li v této Smlouvě uvedeno jinak, DTTL ani žádná z jejích členských firem navzájem nenesou odpovědnost za jednání či opomenutí ostatních členských firem. Každá členská firma DTTL je oddělenou a nezávislou právnickou osobou působící pod názvem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&amp; </w:t>
      </w:r>
      <w:proofErr w:type="spellStart"/>
      <w:r w:rsidRPr="003D6B57">
        <w:rPr>
          <w:rFonts w:asciiTheme="minorHAnsi" w:hAnsiTheme="minorHAnsi" w:cstheme="minorHAnsi"/>
          <w:sz w:val="16"/>
          <w:szCs w:val="16"/>
        </w:rPr>
        <w:t>Touche</w:t>
      </w:r>
      <w:proofErr w:type="spellEnd"/>
      <w:r w:rsidRPr="003D6B57">
        <w:rPr>
          <w:rFonts w:asciiTheme="minorHAnsi" w:hAnsiTheme="minorHAnsi" w:cstheme="minorHAnsi"/>
          <w:sz w:val="16"/>
          <w:szCs w:val="16"/>
        </w:rPr>
        <w: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Touche</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Tohmatsu</w:t>
      </w:r>
      <w:proofErr w:type="spellEnd"/>
      <w:r w:rsidRPr="003D6B57">
        <w:rPr>
          <w:rFonts w:asciiTheme="minorHAnsi" w:hAnsiTheme="minorHAnsi" w:cstheme="minorHAnsi"/>
          <w:sz w:val="16"/>
          <w:szCs w:val="16"/>
        </w:rPr>
        <w:t>“ či jiným obdobným názvem; služby jsou poskytovány členskými firmami a jejich dceřinými nebo přidruženými podniky a nikoli DTTL.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Central</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Europe</w:t>
      </w:r>
      <w:proofErr w:type="spellEnd"/>
      <w:r w:rsidRPr="003D6B57">
        <w:rPr>
          <w:rFonts w:asciiTheme="minorHAnsi" w:hAnsiTheme="minorHAnsi" w:cstheme="minorHAnsi"/>
          <w:sz w:val="16"/>
          <w:szCs w:val="16"/>
        </w:rPr>
        <w:t xml:space="preserve">“ je regionálním sdružením subjektů zastřešených společností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Central</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Europe</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Holdings</w:t>
      </w:r>
      <w:proofErr w:type="spellEnd"/>
      <w:r w:rsidRPr="003D6B57">
        <w:rPr>
          <w:rFonts w:asciiTheme="minorHAnsi" w:hAnsiTheme="minorHAnsi" w:cstheme="minorHAnsi"/>
          <w:sz w:val="16"/>
          <w:szCs w:val="16"/>
        </w:rPr>
        <w:t xml:space="preserve"> Limited, členskou firmou DTTL ve střední Evropě. Služby jsou poskytovány dceřinými a přidruženými podniky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Central</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Europe</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Holdings</w:t>
      </w:r>
      <w:proofErr w:type="spellEnd"/>
      <w:r w:rsidRPr="003D6B57">
        <w:rPr>
          <w:rFonts w:asciiTheme="minorHAnsi" w:hAnsiTheme="minorHAnsi" w:cstheme="minorHAnsi"/>
          <w:sz w:val="16"/>
          <w:szCs w:val="16"/>
        </w:rPr>
        <w:t xml:space="preserve"> Limited, které jsou samostatnými a nezávislými právními subjekty. </w:t>
      </w:r>
    </w:p>
    <w:p w14:paraId="750A371B" w14:textId="77777777" w:rsidR="001D56FF" w:rsidRPr="003D6B57" w:rsidRDefault="001D56FF" w:rsidP="00015A9A">
      <w:pPr>
        <w:keepNext/>
        <w:keepLines w:val="0"/>
        <w:numPr>
          <w:ilvl w:val="0"/>
          <w:numId w:val="29"/>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Odpovědnosti Klienta a </w:t>
      </w:r>
      <w:proofErr w:type="spellStart"/>
      <w:r w:rsidRPr="003D6B57">
        <w:rPr>
          <w:rFonts w:asciiTheme="minorHAnsi" w:hAnsiTheme="minorHAnsi" w:cstheme="minorHAnsi"/>
          <w:b/>
          <w:color w:val="92D400"/>
          <w:kern w:val="28"/>
          <w:sz w:val="16"/>
          <w:szCs w:val="16"/>
        </w:rPr>
        <w:t>Deloitte</w:t>
      </w:r>
      <w:proofErr w:type="spellEnd"/>
      <w:r w:rsidRPr="003D6B57">
        <w:rPr>
          <w:rFonts w:asciiTheme="minorHAnsi" w:hAnsiTheme="minorHAnsi" w:cstheme="minorHAnsi"/>
          <w:b/>
          <w:color w:val="92D400"/>
          <w:kern w:val="28"/>
          <w:sz w:val="16"/>
          <w:szCs w:val="16"/>
        </w:rPr>
        <w:t xml:space="preserve"> </w:t>
      </w:r>
    </w:p>
    <w:p w14:paraId="23F0EF56" w14:textId="77777777" w:rsidR="001D56FF" w:rsidRPr="00821437" w:rsidRDefault="001D56FF" w:rsidP="00015A9A">
      <w:pPr>
        <w:pStyle w:val="BodyText1"/>
        <w:numPr>
          <w:ilvl w:val="0"/>
          <w:numId w:val="45"/>
        </w:numPr>
        <w:ind w:left="0" w:hanging="357"/>
        <w:rPr>
          <w:b/>
          <w:color w:val="00A1DE" w:themeColor="accent3"/>
          <w:sz w:val="16"/>
          <w:szCs w:val="16"/>
        </w:rPr>
      </w:pPr>
      <w:r w:rsidRPr="00821437">
        <w:rPr>
          <w:b/>
          <w:color w:val="00A1DE" w:themeColor="accent3"/>
          <w:sz w:val="16"/>
          <w:szCs w:val="16"/>
        </w:rPr>
        <w:t>Odpovědnosti Klienta</w:t>
      </w:r>
    </w:p>
    <w:p w14:paraId="6D1A78B3" w14:textId="77777777" w:rsidR="001D56FF" w:rsidRPr="003D6B57" w:rsidRDefault="001D56FF" w:rsidP="002B6BD6">
      <w:pPr>
        <w:keepLines w:val="0"/>
        <w:numPr>
          <w:ilvl w:val="0"/>
          <w:numId w:val="27"/>
        </w:numPr>
        <w:tabs>
          <w:tab w:val="clear" w:pos="851"/>
          <w:tab w:val="left" w:pos="567"/>
        </w:tabs>
        <w:spacing w:after="120"/>
        <w:ind w:left="0" w:right="7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Klient je odpovědný za stanovení rozsahu Služeb. Klient poskytne součinnost společnosti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a jejím Subdodavatelům v souvislosti s poskytováním Služeb, včetně mj. poskytnutí společnosti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a jejím Subdodavatelům přiměřeného zařízení a včasného přístupu k údajům, systémům, informacím, prostorám a personálu skupiny Klienta nebo jiných osob, jejichž součinnost je nezbytná a jež mají příslušné dovednosti a zkušenosti pro poskytování Služeb. Klient bude odpovědný za řízení takového personálu a jeho výkonnost, včetně časových harmonogramů a kvality jejich vstupů a práce. Pokud Klient vyžaduje, aby měla společnost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přístup na webové stránky nebo na fórum pro sdílení elektronických dat ve vztahu ke Službám, jež mají být poskytnuty, projedná a odsouhlasí se společností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konkrétní oblasti a/nebo informace, u nichž Klient vyžaduje, aby se s nimi společnost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obeznámila. Klient je odpovědný za </w:t>
      </w:r>
      <w:r>
        <w:rPr>
          <w:rFonts w:asciiTheme="minorHAnsi" w:hAnsiTheme="minorHAnsi" w:cstheme="minorHAnsi"/>
          <w:color w:val="000000"/>
          <w:sz w:val="16"/>
          <w:szCs w:val="16"/>
        </w:rPr>
        <w:t>činnost</w:t>
      </w:r>
      <w:r w:rsidRPr="003D6B57">
        <w:rPr>
          <w:rFonts w:asciiTheme="minorHAnsi" w:hAnsiTheme="minorHAnsi" w:cstheme="minorHAnsi"/>
          <w:color w:val="000000"/>
          <w:sz w:val="16"/>
          <w:szCs w:val="16"/>
        </w:rPr>
        <w:t xml:space="preserve"> svého personálu a zástupců, za včasnost, přesnost a úplnost všech údajů a informací (včetně všech finančních informací a výkazů) poskytnutých společnosti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a jejím Subdodavatelům skupinou Klienta nebo jejím jménem a za implementaci všech výstupů, stanovisek, zpráv nebo jiných výsledků práce v jakékoli formě („Výstup“)</w:t>
      </w:r>
      <w:r>
        <w:rPr>
          <w:rFonts w:asciiTheme="minorHAnsi" w:hAnsiTheme="minorHAnsi" w:cstheme="minorHAnsi"/>
          <w:color w:val="000000"/>
          <w:sz w:val="16"/>
          <w:szCs w:val="16"/>
        </w:rPr>
        <w:t xml:space="preserve"> </w:t>
      </w:r>
      <w:r w:rsidRPr="003D6B57">
        <w:rPr>
          <w:rFonts w:asciiTheme="minorHAnsi" w:hAnsiTheme="minorHAnsi" w:cstheme="minorHAnsi"/>
          <w:color w:val="000000"/>
          <w:sz w:val="16"/>
          <w:szCs w:val="16"/>
        </w:rPr>
        <w:t xml:space="preserve">poskytnutých společností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nebo jejím jménem a/nebo jejími Subdodavateli či jejich jménem jako součást Služeb. Pokud se Klient dozví, že je jakákoli informace nepravdivá nebo zavádějící, bude o takové skutečnosti bezodkladně informovat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Společnost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a její Subdodavatelé mohou používat informace a údaje dodané Klientem nebo jinými osobami </w:t>
      </w:r>
      <w:r w:rsidRPr="003D6B57">
        <w:rPr>
          <w:rFonts w:asciiTheme="minorHAnsi" w:hAnsiTheme="minorHAnsi" w:cstheme="minorHAnsi"/>
          <w:color w:val="000000"/>
          <w:sz w:val="16"/>
          <w:szCs w:val="16"/>
        </w:rPr>
        <w:lastRenderedPageBreak/>
        <w:t xml:space="preserve">identifikovanými Klientem a spoléhat se na ně bez ověření. Poskytování Služeb závisí na včasném plnění odpovědností ze strany Klienta podle této Smlouvy a včasných rozhodnutích a schváleních Klienta v souvislosti se Službami. Společnost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a její Subdodavatelé mají právo spoléhat se na všechna rozhodnutí a schválení Klienta. Klient souhlasí, že veškeré údaje, informace a dokumentace nezbytné pro poskytování Služeb musí být poskytnuty přímo personálu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poskytujícímu Služby, a to i v případě, že takové údaje, informace a dokumentace již byly poskytnuty jinému personálu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v průběhu jiné zakázky. </w:t>
      </w:r>
    </w:p>
    <w:p w14:paraId="2B956FA7" w14:textId="77777777" w:rsidR="001D56FF" w:rsidRPr="003D6B57" w:rsidRDefault="001D56FF" w:rsidP="002B6BD6">
      <w:pPr>
        <w:keepLines w:val="0"/>
        <w:numPr>
          <w:ilvl w:val="0"/>
          <w:numId w:val="27"/>
        </w:numPr>
        <w:tabs>
          <w:tab w:val="clear" w:pos="851"/>
          <w:tab w:val="left" w:pos="567"/>
        </w:tabs>
        <w:spacing w:after="120"/>
        <w:ind w:left="0" w:right="7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Klient bude výhradně odpovědný mimo jiné za: (A) provádění všech manažerských rozhodnutí a provádění všech manažerských funkcí, (B) jmenování jedné nebo více osob, které mají vhodné dovednosti, znalosti a/nebo zkušenosti, nejlépe z řad vyššího vedení, pro dohled nad Službami, (C) zhodnocení přiměřenosti a výsledků Služeb, (D) přijetí odpovědnosti za implementaci výsledků Služeb a jiný další průběh činností prováděných na základě výsledků Služeb, a (E) vytvoření a udržování interních kontrol, včetně mj. sledování průběžných činností. </w:t>
      </w:r>
    </w:p>
    <w:p w14:paraId="1EE920A1" w14:textId="77777777" w:rsidR="001D56FF" w:rsidRPr="003D6B57" w:rsidRDefault="001D56FF" w:rsidP="002B6BD6">
      <w:pPr>
        <w:keepLines w:val="0"/>
        <w:numPr>
          <w:ilvl w:val="0"/>
          <w:numId w:val="27"/>
        </w:numPr>
        <w:tabs>
          <w:tab w:val="clear" w:pos="851"/>
          <w:tab w:val="left" w:pos="567"/>
        </w:tabs>
        <w:spacing w:after="120"/>
        <w:ind w:left="0" w:right="7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Pokud Klient neposkytne společnosti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přesné a úplné informace, asistenci nebo materiály specifikované v tomto článku výše a/nebo pokud Klient neumožní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přístup k personálu podle podmínek uvedených v této Smlouvě,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neponese odpovědnost za žádné prodlení nebo vadu ve Službách.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si dále vyhrazuje právo prodloužit všechny termíny o dobu odpovídající každému jednotlivému prodlení způsobenému Klientem. </w:t>
      </w:r>
    </w:p>
    <w:p w14:paraId="7095747C" w14:textId="77777777" w:rsidR="001D56FF" w:rsidRPr="003D6B57" w:rsidRDefault="001D56FF" w:rsidP="002B6BD6">
      <w:pPr>
        <w:keepLines w:val="0"/>
        <w:numPr>
          <w:ilvl w:val="0"/>
          <w:numId w:val="27"/>
        </w:numPr>
        <w:tabs>
          <w:tab w:val="clear" w:pos="851"/>
          <w:tab w:val="left" w:pos="567"/>
        </w:tabs>
        <w:spacing w:after="120"/>
        <w:ind w:left="0" w:right="7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Vzniknou-li společnosti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z výše uvedených důvodů další náklady v souvislosti s neplněním závazků ze strany Klienta, má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právo vůči Klientovi na jejich plnou náhradu s tím, že tímto nejsou dotčena ostatní práva dohodnutá v této Smlouvě, včetně mj. práva na náhradu škody nebo práva na smluvní pokutu, pokud byla dohodnuta. </w:t>
      </w:r>
    </w:p>
    <w:p w14:paraId="30A2BB80" w14:textId="77777777" w:rsidR="001D56FF" w:rsidRDefault="001D56FF" w:rsidP="002B6BD6">
      <w:pPr>
        <w:keepLines w:val="0"/>
        <w:numPr>
          <w:ilvl w:val="0"/>
          <w:numId w:val="27"/>
        </w:numPr>
        <w:tabs>
          <w:tab w:val="clear" w:pos="851"/>
          <w:tab w:val="left" w:pos="567"/>
        </w:tabs>
        <w:spacing w:after="120"/>
        <w:ind w:left="0" w:right="7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Klient přijme Výstup a/nebo jiné dodávky Služeb v souladu s touto Smlouvou, pokud (i) splňují požadavky této Smlouvy nebo (</w:t>
      </w:r>
      <w:proofErr w:type="spellStart"/>
      <w:r w:rsidRPr="003D6B57">
        <w:rPr>
          <w:rFonts w:asciiTheme="minorHAnsi" w:hAnsiTheme="minorHAnsi" w:cstheme="minorHAnsi"/>
          <w:color w:val="000000"/>
          <w:sz w:val="16"/>
          <w:szCs w:val="16"/>
        </w:rPr>
        <w:t>ii</w:t>
      </w:r>
      <w:proofErr w:type="spellEnd"/>
      <w:r w:rsidRPr="003D6B57">
        <w:rPr>
          <w:rFonts w:asciiTheme="minorHAnsi" w:hAnsiTheme="minorHAnsi" w:cstheme="minorHAnsi"/>
          <w:color w:val="000000"/>
          <w:sz w:val="16"/>
          <w:szCs w:val="16"/>
        </w:rPr>
        <w:t xml:space="preserve">) projdou akceptačním testem, jak bylo sjednáno ve Smluvním dopise. Klient neprodleně informuje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(nejpozději 5 dní od doručení Výstupu a/nebo jiné dodávky Služeb), pokud Výstup a/nebo jiné dodávky Služeb nesplňují tyto požadavky („nesoulad“) a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dostane dostatek času (ale ne méně než 5 pracovních dní) na nápravu takového nesouladu v závislosti na jeho míře a složitosti. Pokud se neuplatní výše uvedené, Klient souhlasí, že dodávky Služeb (včetně Výstupu) jsou považovány za přijaté Klientem během 5 dní po dodání v konečné podobě, jak je specifikováno ve Smluvním dopise, a pokud je to v této Smlouvě dohodnuto, včetně komentáře Klienta k návrhu dodávek nebo návrhu Výstupu, nebo jakmile je Klient poprvé v podnikání použije, a to podle toho, která </w:t>
      </w:r>
      <w:r>
        <w:rPr>
          <w:rFonts w:asciiTheme="minorHAnsi" w:hAnsiTheme="minorHAnsi" w:cstheme="minorHAnsi"/>
          <w:color w:val="000000"/>
          <w:sz w:val="16"/>
          <w:szCs w:val="16"/>
        </w:rPr>
        <w:t>skutečnost</w:t>
      </w:r>
      <w:r w:rsidRPr="003D6B57">
        <w:rPr>
          <w:rFonts w:asciiTheme="minorHAnsi" w:hAnsiTheme="minorHAnsi" w:cstheme="minorHAnsi"/>
          <w:color w:val="000000"/>
          <w:sz w:val="16"/>
          <w:szCs w:val="16"/>
        </w:rPr>
        <w:t xml:space="preserve"> nastane jako první. Pokud se nepředpokládá dodání žádného výsledku práce (Výstupu) společností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Služby jsou považovány za poskytnuté, pokud Klient vůči nim nevznese žádné námitky nebo pokud nepožádá o provedení dalších prací v důsledku zjištěných vad během 5 dní po poskytnutí poslední části takových Služeb, jak jsou definovány ve Smluvním dopise. </w:t>
      </w:r>
    </w:p>
    <w:p w14:paraId="6DFFDA1D" w14:textId="77777777" w:rsidR="001D56FF" w:rsidRPr="00821437" w:rsidRDefault="001D56FF" w:rsidP="002B6BD6">
      <w:pPr>
        <w:pStyle w:val="BodyText1"/>
        <w:numPr>
          <w:ilvl w:val="0"/>
          <w:numId w:val="45"/>
        </w:numPr>
        <w:ind w:left="0" w:right="70" w:hanging="357"/>
        <w:rPr>
          <w:b/>
          <w:color w:val="00A1DE" w:themeColor="accent3"/>
          <w:sz w:val="16"/>
          <w:szCs w:val="16"/>
        </w:rPr>
      </w:pPr>
      <w:r w:rsidRPr="00821437">
        <w:rPr>
          <w:b/>
          <w:color w:val="00A1DE" w:themeColor="accent3"/>
          <w:sz w:val="16"/>
          <w:szCs w:val="16"/>
        </w:rPr>
        <w:t xml:space="preserve">Odpovědnosti </w:t>
      </w:r>
      <w:proofErr w:type="spellStart"/>
      <w:r w:rsidRPr="00821437">
        <w:rPr>
          <w:b/>
          <w:color w:val="00A1DE" w:themeColor="accent3"/>
          <w:sz w:val="16"/>
          <w:szCs w:val="16"/>
        </w:rPr>
        <w:t>Deloitte</w:t>
      </w:r>
      <w:proofErr w:type="spellEnd"/>
    </w:p>
    <w:p w14:paraId="0B5F88B8" w14:textId="77777777" w:rsidR="001D56FF" w:rsidRPr="003D6B57" w:rsidRDefault="001D56FF" w:rsidP="002B6BD6">
      <w:pPr>
        <w:keepLines w:val="0"/>
        <w:numPr>
          <w:ilvl w:val="0"/>
          <w:numId w:val="30"/>
        </w:numPr>
        <w:tabs>
          <w:tab w:val="clear" w:pos="851"/>
          <w:tab w:val="left" w:pos="567"/>
        </w:tabs>
        <w:spacing w:after="120"/>
        <w:ind w:left="0" w:right="70" w:hanging="357"/>
        <w:rPr>
          <w:rFonts w:asciiTheme="minorHAnsi" w:hAnsiTheme="minorHAnsi" w:cstheme="minorHAnsi"/>
          <w:color w:val="000000"/>
          <w:sz w:val="16"/>
          <w:szCs w:val="16"/>
        </w:rPr>
      </w:pP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ponese odpovědnost pouze za rady a doporučení.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nenese odpovědnost za finanční účetnictví a právní rady. Poskytované Služby nejsou závazné pro žádné státní nebo regulační orgány či soudy a nepředstavují tvrzení ani záruku, že státní či regulační orgány nebo soudy budou s jakýmkoli Výstupem souhlasit. Veškeré Služby poskytnuté společností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nebo jejím jménem budou vycházet ze zákonů, nařízení, </w:t>
      </w:r>
      <w:r w:rsidRPr="003D6B57">
        <w:rPr>
          <w:rFonts w:asciiTheme="minorHAnsi" w:hAnsiTheme="minorHAnsi" w:cstheme="minorHAnsi"/>
          <w:color w:val="000000"/>
          <w:sz w:val="16"/>
          <w:szCs w:val="16"/>
        </w:rPr>
        <w:lastRenderedPageBreak/>
        <w:t xml:space="preserve">případů, rozhodnutí a dalších zákonných práv účinných v době, kdy jsou konkrétní služby poskytovány. Následné změny výše uvedeného (o nichž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nemusí Klienta informovat) mohou způsobit, že Služby poskytnuté společností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nebo jejím jménem pozbydou platnosti. </w:t>
      </w:r>
    </w:p>
    <w:p w14:paraId="6B0CA9D2" w14:textId="77777777" w:rsidR="001D56FF" w:rsidRPr="003D6B57" w:rsidRDefault="001D56FF" w:rsidP="00015A9A">
      <w:pPr>
        <w:keepLines w:val="0"/>
        <w:numPr>
          <w:ilvl w:val="0"/>
          <w:numId w:val="30"/>
        </w:numPr>
        <w:tabs>
          <w:tab w:val="clear" w:pos="851"/>
          <w:tab w:val="left" w:pos="567"/>
        </w:tabs>
        <w:spacing w:after="120"/>
        <w:ind w:left="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Při formulování jakýchkoli Výstupů jako součást Služeb může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projednat myšlenky s Klientem ústně nebo Klientovi ukázat návrhy Výstupů. S ohledem na skutečnost, že se očekává finalizace obsahu návrhů nebo ústních Výstupů a písemné potvrzení Klientem (včetně potvrzení prostřednictvím emailu), takový potvrzený Výstup nahradí předcházející návrhy nebo ústní Výstupy.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neponese odpovědnost, pokud se Klient nebo jiné osoby rozhodnou spoléhat se na návrhy nebo ústní Výstupy či jednat nebo nejednat na jejich základě. </w:t>
      </w:r>
    </w:p>
    <w:p w14:paraId="5FDBD938" w14:textId="77777777" w:rsidR="001D56FF" w:rsidRPr="003D6B57" w:rsidRDefault="001D56FF" w:rsidP="00015A9A">
      <w:pPr>
        <w:keepLines w:val="0"/>
        <w:numPr>
          <w:ilvl w:val="0"/>
          <w:numId w:val="30"/>
        </w:numPr>
        <w:tabs>
          <w:tab w:val="clear" w:pos="851"/>
          <w:tab w:val="left" w:pos="567"/>
        </w:tabs>
        <w:spacing w:after="120"/>
        <w:ind w:left="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V případě inspekce prováděné státními nebo regulačními orgány, ať v důsledku poskytnutých Služeb či nikoli, Klient souhlasí, že asistence </w:t>
      </w: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vztahující se k takové inspekci netvoří součást Služeb, nestanoví-li Smluvní dopis jinak. </w:t>
      </w:r>
    </w:p>
    <w:p w14:paraId="102923F8" w14:textId="77777777" w:rsidR="001D56FF" w:rsidRDefault="001D56FF" w:rsidP="00015A9A">
      <w:pPr>
        <w:keepLines w:val="0"/>
        <w:numPr>
          <w:ilvl w:val="0"/>
          <w:numId w:val="30"/>
        </w:numPr>
        <w:tabs>
          <w:tab w:val="clear" w:pos="851"/>
          <w:tab w:val="left" w:pos="567"/>
        </w:tabs>
        <w:spacing w:after="120"/>
        <w:ind w:left="0" w:hanging="357"/>
        <w:rPr>
          <w:rFonts w:asciiTheme="minorHAnsi" w:hAnsiTheme="minorHAnsi" w:cstheme="minorHAnsi"/>
          <w:color w:val="000000"/>
          <w:sz w:val="16"/>
          <w:szCs w:val="16"/>
        </w:rPr>
      </w:pPr>
      <w:proofErr w:type="spellStart"/>
      <w:r w:rsidRPr="003D6B57">
        <w:rPr>
          <w:rFonts w:asciiTheme="minorHAnsi" w:hAnsiTheme="minorHAnsi" w:cstheme="minorHAnsi"/>
          <w:color w:val="000000"/>
          <w:sz w:val="16"/>
          <w:szCs w:val="16"/>
        </w:rPr>
        <w:t>Deloitte</w:t>
      </w:r>
      <w:proofErr w:type="spellEnd"/>
      <w:r w:rsidRPr="003D6B57">
        <w:rPr>
          <w:rFonts w:asciiTheme="minorHAnsi" w:hAnsiTheme="minorHAnsi" w:cstheme="minorHAnsi"/>
          <w:color w:val="000000"/>
          <w:sz w:val="16"/>
          <w:szCs w:val="16"/>
        </w:rPr>
        <w:t xml:space="preserve"> neponese žádnou odpovědnost za sledování událostí nastalých po datu Služeb ani za aktualizaci Výstupů, pokud se smluvní strany výslovně písemně nedohodnou jinak. </w:t>
      </w:r>
    </w:p>
    <w:p w14:paraId="1555A6C8" w14:textId="77777777" w:rsidR="001D56FF" w:rsidRPr="003D6B57" w:rsidRDefault="001D56FF" w:rsidP="00015A9A">
      <w:pPr>
        <w:tabs>
          <w:tab w:val="left" w:pos="567"/>
        </w:tabs>
        <w:spacing w:after="120"/>
        <w:rPr>
          <w:rFonts w:asciiTheme="minorHAnsi" w:hAnsiTheme="minorHAnsi" w:cstheme="minorHAnsi"/>
          <w:color w:val="000000"/>
          <w:sz w:val="16"/>
          <w:szCs w:val="16"/>
        </w:rPr>
      </w:pPr>
    </w:p>
    <w:p w14:paraId="11EBF74A" w14:textId="77777777" w:rsidR="001D56FF" w:rsidRPr="003D6B57" w:rsidRDefault="001D56FF" w:rsidP="00015A9A">
      <w:pPr>
        <w:keepNext/>
        <w:keepLines w:val="0"/>
        <w:numPr>
          <w:ilvl w:val="0"/>
          <w:numId w:val="29"/>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Cena za Služby a úhrada faktur   </w:t>
      </w:r>
    </w:p>
    <w:p w14:paraId="247A80F1" w14:textId="77777777" w:rsidR="001D56FF" w:rsidRPr="003D6B57" w:rsidRDefault="001D56FF" w:rsidP="00015A9A">
      <w:pPr>
        <w:keepLines w:val="0"/>
        <w:numPr>
          <w:ilvl w:val="0"/>
          <w:numId w:val="31"/>
        </w:numPr>
        <w:tabs>
          <w:tab w:val="clear" w:pos="851"/>
        </w:tabs>
        <w:spacing w:after="120"/>
        <w:ind w:left="0" w:hanging="357"/>
        <w:rPr>
          <w:rFonts w:asciiTheme="minorHAnsi" w:hAnsiTheme="minorHAnsi" w:cstheme="minorHAnsi"/>
          <w:sz w:val="16"/>
          <w:szCs w:val="16"/>
        </w:rPr>
      </w:pP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má právo na odměnu sjednanou na základě Smluvního dopisu („Cena za Služby“) a tato odměna nebude záviset na výsledku Služeb, pokud Smluvní dopis nestanoví </w:t>
      </w:r>
      <w:proofErr w:type="spellStart"/>
      <w:r w:rsidRPr="003D6B57">
        <w:rPr>
          <w:rFonts w:asciiTheme="minorHAnsi" w:hAnsiTheme="minorHAnsi" w:cstheme="minorHAnsi"/>
          <w:sz w:val="16"/>
          <w:szCs w:val="16"/>
        </w:rPr>
        <w:t>úspěšnostní</w:t>
      </w:r>
      <w:proofErr w:type="spellEnd"/>
      <w:r w:rsidRPr="003D6B57">
        <w:rPr>
          <w:rFonts w:asciiTheme="minorHAnsi" w:hAnsiTheme="minorHAnsi" w:cstheme="minorHAnsi"/>
          <w:sz w:val="16"/>
          <w:szCs w:val="16"/>
        </w:rPr>
        <w:t xml:space="preserve"> odměnu na základě konkrétního výsledku. Cena za Služby neobsahuje daň z přidané hodnoty („DPH“). DPH ve výši předepsané zákonem bude přičtena ke všem fakturám vydaným na základě Smlouvy. </w:t>
      </w:r>
    </w:p>
    <w:p w14:paraId="0AB153BA" w14:textId="77777777" w:rsidR="001D56FF" w:rsidRPr="003D6B57" w:rsidRDefault="001D56FF" w:rsidP="00015A9A">
      <w:pPr>
        <w:keepLines w:val="0"/>
        <w:numPr>
          <w:ilvl w:val="0"/>
          <w:numId w:val="28"/>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Cena za Služby bude účtována na základě doby strávené poskytováním Služeb a hodinové sazby osoby poskytující Služby (včetně Služeb poskytovaných Subdodavatelem), míry úsilí a použité technologie a know-how. Hodinové sazby se vztahují také na Služby poskytované ze strany Subdodavatelů, ale nikoli na Služby poskytované jinými Společnostmi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Klient bere na vědomí, že cena za služby poskytované Společnostmi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bude účtována na základě jejich aktuálních sazeb.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si vyhrazuje právo upravit standardní hodinové sazby na základě ekonomických okolností, jako jsou mj. tržní trendy, míra inflace nebo kolísání měny.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bude Klienta informovat, pokud se standardní hodinové sazby stanovené v eurech zvýší. </w:t>
      </w:r>
    </w:p>
    <w:p w14:paraId="4FE5C68F" w14:textId="77777777" w:rsidR="001D56FF" w:rsidRPr="003D6B57" w:rsidRDefault="001D56FF" w:rsidP="00015A9A">
      <w:pPr>
        <w:keepLines w:val="0"/>
        <w:numPr>
          <w:ilvl w:val="0"/>
          <w:numId w:val="28"/>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Cena za Služby nezahrnuje výdaje vzniklé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 souvislosti s poskytováním Služeb. Přiměřené výdaje vzniklé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včetně cestovních výdajů a diet, výdaje vzniklé poskytováním informací vyžadovaných zákonem, soudním rozhodnutím/nařízením nebo nařízením regulačních úřadů nebo výdaje vzniklé vytvářením dokumentu pro předložení třetím stranám na žádost Klienta a na základě jiných událostí vedoucích ke vzniku nákladů po poskytnutí </w:t>
      </w:r>
      <w:r>
        <w:rPr>
          <w:rFonts w:asciiTheme="minorHAnsi" w:hAnsiTheme="minorHAnsi" w:cstheme="minorHAnsi"/>
          <w:sz w:val="16"/>
          <w:szCs w:val="16"/>
        </w:rPr>
        <w:t>S</w:t>
      </w:r>
      <w:r w:rsidRPr="003D6B57">
        <w:rPr>
          <w:rFonts w:asciiTheme="minorHAnsi" w:hAnsiTheme="minorHAnsi" w:cstheme="minorHAnsi"/>
          <w:sz w:val="16"/>
          <w:szCs w:val="16"/>
        </w:rPr>
        <w:t xml:space="preserve">lužeb, jakož i zboží a služby pořízené v souvislosti s poskytováním Služeb budou přičteny k Ceně za Služby. </w:t>
      </w:r>
    </w:p>
    <w:p w14:paraId="3CFF3A6F" w14:textId="77777777" w:rsidR="001D56FF" w:rsidRPr="003D6B57" w:rsidRDefault="001D56FF" w:rsidP="00015A9A">
      <w:pPr>
        <w:keepLines w:val="0"/>
        <w:numPr>
          <w:ilvl w:val="0"/>
          <w:numId w:val="28"/>
        </w:numPr>
        <w:tabs>
          <w:tab w:val="clear" w:pos="851"/>
        </w:tabs>
        <w:spacing w:after="120"/>
        <w:ind w:left="0" w:hanging="357"/>
        <w:rPr>
          <w:rFonts w:asciiTheme="minorHAnsi" w:hAnsiTheme="minorHAnsi" w:cstheme="minorHAnsi"/>
          <w:sz w:val="16"/>
          <w:szCs w:val="16"/>
        </w:rPr>
      </w:pPr>
      <w:r w:rsidRPr="00030987">
        <w:rPr>
          <w:rFonts w:asciiTheme="minorHAnsi" w:hAnsiTheme="minorHAnsi" w:cstheme="minorHAnsi"/>
          <w:sz w:val="16"/>
          <w:szCs w:val="16"/>
        </w:rPr>
        <w:t>Klient výslovně souhlasí s elektronickou formou fakturace za podmínek stanovených</w:t>
      </w:r>
      <w:r>
        <w:rPr>
          <w:rFonts w:asciiTheme="minorHAnsi" w:hAnsiTheme="minorHAnsi" w:cstheme="minorHAnsi"/>
          <w:sz w:val="16"/>
          <w:szCs w:val="16"/>
        </w:rPr>
        <w:t xml:space="preserve"> Smlouvou a</w:t>
      </w:r>
      <w:r w:rsidRPr="00030987">
        <w:rPr>
          <w:rFonts w:asciiTheme="minorHAnsi" w:hAnsiTheme="minorHAnsi" w:cstheme="minorHAnsi"/>
          <w:sz w:val="16"/>
          <w:szCs w:val="16"/>
        </w:rPr>
        <w:t xml:space="preserve"> platnými právními předpisy.</w:t>
      </w:r>
      <w:r>
        <w:rPr>
          <w:i/>
        </w:rPr>
        <w:t xml:space="preserve">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si vyhrazuje právo vystavovat fakturu za poskytnuté </w:t>
      </w:r>
      <w:r>
        <w:rPr>
          <w:rFonts w:asciiTheme="minorHAnsi" w:hAnsiTheme="minorHAnsi" w:cstheme="minorHAnsi"/>
          <w:sz w:val="16"/>
          <w:szCs w:val="16"/>
        </w:rPr>
        <w:t>S</w:t>
      </w:r>
      <w:r w:rsidRPr="003D6B57">
        <w:rPr>
          <w:rFonts w:asciiTheme="minorHAnsi" w:hAnsiTheme="minorHAnsi" w:cstheme="minorHAnsi"/>
          <w:sz w:val="16"/>
          <w:szCs w:val="16"/>
        </w:rPr>
        <w:t>lužby (i) po přijetí Výstupu a/nebo jiné dodávky Služeb (jak je uvedeno v ustanovení 2(a) v. výše), a/nebo (</w:t>
      </w:r>
      <w:proofErr w:type="spellStart"/>
      <w:r w:rsidRPr="003D6B57">
        <w:rPr>
          <w:rFonts w:asciiTheme="minorHAnsi" w:hAnsiTheme="minorHAnsi" w:cstheme="minorHAnsi"/>
          <w:sz w:val="16"/>
          <w:szCs w:val="16"/>
        </w:rPr>
        <w:t>ii</w:t>
      </w:r>
      <w:proofErr w:type="spellEnd"/>
      <w:r w:rsidRPr="003D6B57">
        <w:rPr>
          <w:rFonts w:asciiTheme="minorHAnsi" w:hAnsiTheme="minorHAnsi" w:cstheme="minorHAnsi"/>
          <w:sz w:val="16"/>
          <w:szCs w:val="16"/>
        </w:rPr>
        <w:t xml:space="preserve">) průběžně (včetně </w:t>
      </w:r>
      <w:r>
        <w:rPr>
          <w:rFonts w:asciiTheme="minorHAnsi" w:hAnsiTheme="minorHAnsi" w:cstheme="minorHAnsi"/>
          <w:sz w:val="16"/>
          <w:szCs w:val="16"/>
        </w:rPr>
        <w:t>průběžné</w:t>
      </w:r>
      <w:r w:rsidRPr="003D6B57">
        <w:rPr>
          <w:rFonts w:asciiTheme="minorHAnsi" w:hAnsiTheme="minorHAnsi" w:cstheme="minorHAnsi"/>
          <w:sz w:val="16"/>
          <w:szCs w:val="16"/>
        </w:rPr>
        <w:t xml:space="preserve"> fakturace) v souladu s množstvím poskytovaných Služeb nebo požadovat zálohu před poskytnutím Služeb.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si vyhrazuje právo žádat o zálohu na výdaje, které vzniknou jménem Klienta. </w:t>
      </w:r>
    </w:p>
    <w:p w14:paraId="2671900A" w14:textId="77777777" w:rsidR="001D56FF" w:rsidRPr="003D6B57" w:rsidRDefault="001D56FF" w:rsidP="00015A9A">
      <w:pPr>
        <w:keepLines w:val="0"/>
        <w:numPr>
          <w:ilvl w:val="0"/>
          <w:numId w:val="28"/>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lastRenderedPageBreak/>
        <w:t xml:space="preserve">Pro vyrovnání jakékoli splatné odměny má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právo započítat jakékoli své pohledávky za Klientem oproti jakýmkoli pohledávkám Klienta za společností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p>
    <w:p w14:paraId="6DAF8FB2" w14:textId="77777777" w:rsidR="001D56FF" w:rsidRPr="003D6B57" w:rsidRDefault="001D56FF" w:rsidP="002B6BD6">
      <w:pPr>
        <w:keepLines w:val="0"/>
        <w:numPr>
          <w:ilvl w:val="0"/>
          <w:numId w:val="28"/>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Pro účely DPH jsou Služby poskytovány průběžně, nedohodnou-li se strany jinak. Každé plnění je považováno za poskytnuté v den vydání příslušné faktury, nestanoví-li příslušné závazné zákony jinak. </w:t>
      </w:r>
    </w:p>
    <w:p w14:paraId="0328851F" w14:textId="77777777" w:rsidR="001D56FF" w:rsidRPr="003D6B57" w:rsidRDefault="001D56FF" w:rsidP="002B6BD6">
      <w:pPr>
        <w:keepLines w:val="0"/>
        <w:numPr>
          <w:ilvl w:val="0"/>
          <w:numId w:val="28"/>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Faktury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r>
        <w:rPr>
          <w:rFonts w:asciiTheme="minorHAnsi" w:hAnsiTheme="minorHAnsi" w:cstheme="minorHAnsi"/>
          <w:sz w:val="16"/>
          <w:szCs w:val="16"/>
        </w:rPr>
        <w:t xml:space="preserve">v jakékoliv formě </w:t>
      </w:r>
      <w:r w:rsidRPr="003D6B57">
        <w:rPr>
          <w:rFonts w:asciiTheme="minorHAnsi" w:hAnsiTheme="minorHAnsi" w:cstheme="minorHAnsi"/>
          <w:sz w:val="16"/>
          <w:szCs w:val="16"/>
        </w:rPr>
        <w:t xml:space="preserve">jsou splatné Klientem při předložení (včetně </w:t>
      </w:r>
      <w:r>
        <w:rPr>
          <w:rFonts w:asciiTheme="minorHAnsi" w:hAnsiTheme="minorHAnsi" w:cstheme="minorHAnsi"/>
          <w:sz w:val="16"/>
          <w:szCs w:val="16"/>
        </w:rPr>
        <w:t>zaslání e-mailem</w:t>
      </w:r>
      <w:r w:rsidRPr="003D6B57">
        <w:rPr>
          <w:rFonts w:asciiTheme="minorHAnsi" w:hAnsiTheme="minorHAnsi" w:cstheme="minorHAnsi"/>
          <w:sz w:val="16"/>
          <w:szCs w:val="16"/>
        </w:rPr>
        <w:t xml:space="preserve"> ve formátu .</w:t>
      </w:r>
      <w:proofErr w:type="spellStart"/>
      <w:r w:rsidRPr="003D6B57">
        <w:rPr>
          <w:rFonts w:asciiTheme="minorHAnsi" w:hAnsiTheme="minorHAnsi" w:cstheme="minorHAnsi"/>
          <w:sz w:val="16"/>
          <w:szCs w:val="16"/>
        </w:rPr>
        <w:t>pdf</w:t>
      </w:r>
      <w:proofErr w:type="spellEnd"/>
      <w:r w:rsidRPr="003D6B57">
        <w:rPr>
          <w:rFonts w:asciiTheme="minorHAnsi" w:hAnsiTheme="minorHAnsi" w:cstheme="minorHAnsi"/>
          <w:sz w:val="16"/>
          <w:szCs w:val="16"/>
        </w:rPr>
        <w:t xml:space="preserve">) nebo při přijetí, je-li to nezbytné podle závazných právních předpisů. Není-li úhrada faktury obdržena během 14 dní od data faktury,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si vyhrazuje právo účtovat úrok (i) v nejvyšší sazbě povolené a přípustné zákonem s minimální sazbou 1½% měsíčně nebo (</w:t>
      </w:r>
      <w:proofErr w:type="spellStart"/>
      <w:r w:rsidRPr="003D6B57">
        <w:rPr>
          <w:rFonts w:asciiTheme="minorHAnsi" w:hAnsiTheme="minorHAnsi" w:cstheme="minorHAnsi"/>
          <w:sz w:val="16"/>
          <w:szCs w:val="16"/>
        </w:rPr>
        <w:t>ii</w:t>
      </w:r>
      <w:proofErr w:type="spellEnd"/>
      <w:r w:rsidRPr="003D6B57">
        <w:rPr>
          <w:rFonts w:asciiTheme="minorHAnsi" w:hAnsiTheme="minorHAnsi" w:cstheme="minorHAnsi"/>
          <w:sz w:val="16"/>
          <w:szCs w:val="16"/>
        </w:rPr>
        <w:t xml:space="preserve">) v sazbě specifikované závaznými právními předpisy, která nemůže být upravena dohodou stran, v každém případě počítaná měsíčně </w:t>
      </w:r>
      <w:r>
        <w:rPr>
          <w:rFonts w:asciiTheme="minorHAnsi" w:hAnsiTheme="minorHAnsi" w:cstheme="minorHAnsi"/>
          <w:sz w:val="16"/>
          <w:szCs w:val="16"/>
        </w:rPr>
        <w:t>do</w:t>
      </w:r>
      <w:r w:rsidRPr="003D6B57">
        <w:rPr>
          <w:rFonts w:asciiTheme="minorHAnsi" w:hAnsiTheme="minorHAnsi" w:cstheme="minorHAnsi"/>
          <w:sz w:val="16"/>
          <w:szCs w:val="16"/>
        </w:rPr>
        <w:t> mí</w:t>
      </w:r>
      <w:r>
        <w:rPr>
          <w:rFonts w:asciiTheme="minorHAnsi" w:hAnsiTheme="minorHAnsi" w:cstheme="minorHAnsi"/>
          <w:sz w:val="16"/>
          <w:szCs w:val="16"/>
        </w:rPr>
        <w:t>ry</w:t>
      </w:r>
      <w:r w:rsidRPr="003D6B57">
        <w:rPr>
          <w:rFonts w:asciiTheme="minorHAnsi" w:hAnsiTheme="minorHAnsi" w:cstheme="minorHAnsi"/>
          <w:sz w:val="16"/>
          <w:szCs w:val="16"/>
        </w:rPr>
        <w:t xml:space="preserve"> povolené zákonem. V případě, že společnosti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vznikne jakékoli inkaso nebo zákonné náklady s ohledem na odměnu po splatnosti, tyto náklady budou Klientovi účtovány v dodatečné faktuře. Bez omezení ostatních svých práv nebo opravných prostředků má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právo zastavit nebo ukončit Služby zcela nebo částečně, není-li úhrada přijata během 14 dní od data faktury, a následně se v tomto smyslu uplatní ustanovení </w:t>
      </w:r>
      <w:r>
        <w:rPr>
          <w:rFonts w:asciiTheme="minorHAnsi" w:hAnsiTheme="minorHAnsi" w:cstheme="minorHAnsi"/>
          <w:sz w:val="16"/>
          <w:szCs w:val="16"/>
        </w:rPr>
        <w:t xml:space="preserve">čl. </w:t>
      </w:r>
      <w:r w:rsidRPr="003D6B57">
        <w:rPr>
          <w:rFonts w:asciiTheme="minorHAnsi" w:hAnsiTheme="minorHAnsi" w:cstheme="minorHAnsi"/>
          <w:sz w:val="16"/>
          <w:szCs w:val="16"/>
        </w:rPr>
        <w:t xml:space="preserve">2 a) </w:t>
      </w:r>
      <w:proofErr w:type="spellStart"/>
      <w:r w:rsidRPr="003D6B57">
        <w:rPr>
          <w:rFonts w:asciiTheme="minorHAnsi" w:hAnsiTheme="minorHAnsi" w:cstheme="minorHAnsi"/>
          <w:sz w:val="16"/>
          <w:szCs w:val="16"/>
        </w:rPr>
        <w:t>iv</w:t>
      </w:r>
      <w:proofErr w:type="spellEnd"/>
      <w:r w:rsidRPr="003D6B57">
        <w:rPr>
          <w:rFonts w:asciiTheme="minorHAnsi" w:hAnsiTheme="minorHAnsi" w:cstheme="minorHAnsi"/>
          <w:sz w:val="16"/>
          <w:szCs w:val="16"/>
        </w:rPr>
        <w:t>). Vznikne-li spor ohledně fakturované částky, Klient uhradí nerozporovanou částku. Klient nese odpovědnost za všechny daně, jako je DPH, daň z prodeje a užívání, daň z hrubých příjmů, srážková daň a jiné podobné daně uvalené na Služby nebo s nimi související a nepředstavující daň z příjmů nebo daň z </w:t>
      </w:r>
      <w:r>
        <w:rPr>
          <w:rFonts w:asciiTheme="minorHAnsi" w:hAnsiTheme="minorHAnsi" w:cstheme="minorHAnsi"/>
          <w:sz w:val="16"/>
          <w:szCs w:val="16"/>
        </w:rPr>
        <w:t>majetku</w:t>
      </w:r>
      <w:r w:rsidRPr="003D6B57">
        <w:rPr>
          <w:rFonts w:asciiTheme="minorHAnsi" w:hAnsiTheme="minorHAnsi" w:cstheme="minorHAnsi"/>
          <w:sz w:val="16"/>
          <w:szCs w:val="16"/>
        </w:rPr>
        <w:t xml:space="preserve"> společnosti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p>
    <w:p w14:paraId="4487A7A4" w14:textId="77777777" w:rsidR="001D56FF" w:rsidRPr="003D6B57" w:rsidRDefault="001D56FF" w:rsidP="002B6BD6">
      <w:pPr>
        <w:keepLines w:val="0"/>
        <w:numPr>
          <w:ilvl w:val="0"/>
          <w:numId w:val="28"/>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Jakýkoli odhad Ceny za Služby bude vycházet z posouzení prací společností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při zohlednění předpokladů stanovených ve Smluvním dopise. Jakýkoli odhad Ceny za Služby může být upraven např. v případě, že se Služby ukáží jako složitější nebo časově náročnější, než se očekávalo, přičemž v takové situaci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předem informuje Klienta o takové očekávané úpravě. </w:t>
      </w:r>
    </w:p>
    <w:p w14:paraId="23370CF5" w14:textId="77777777" w:rsidR="001D56FF" w:rsidRDefault="001D56FF" w:rsidP="002B6BD6">
      <w:pPr>
        <w:keepLines w:val="0"/>
        <w:numPr>
          <w:ilvl w:val="0"/>
          <w:numId w:val="28"/>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Klient (společně se členy skupiny Klienta podle ustanovení 1b) výše) je společně a nerozdílně odpovědný za úhradu fakturované částky a za realizaci ostatních závazků vyplývajících ze Smlouvy, zejména povinností zachování mlčenlivosti nebo šíření Výstupů. </w:t>
      </w:r>
    </w:p>
    <w:p w14:paraId="134FE6EA" w14:textId="77777777" w:rsidR="001D56FF" w:rsidRPr="00357D53" w:rsidRDefault="001D56FF" w:rsidP="002B6BD6">
      <w:pPr>
        <w:spacing w:after="120"/>
        <w:ind w:right="70" w:hanging="357"/>
        <w:rPr>
          <w:rFonts w:asciiTheme="minorHAnsi" w:hAnsiTheme="minorHAnsi" w:cstheme="minorHAnsi"/>
          <w:sz w:val="16"/>
          <w:szCs w:val="16"/>
        </w:rPr>
      </w:pPr>
    </w:p>
    <w:p w14:paraId="7B5A5B19" w14:textId="77777777" w:rsidR="001D56FF" w:rsidRPr="003D6B57" w:rsidRDefault="001D56FF" w:rsidP="002B6BD6">
      <w:pPr>
        <w:keepNext/>
        <w:keepLines w:val="0"/>
        <w:numPr>
          <w:ilvl w:val="0"/>
          <w:numId w:val="29"/>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Doba trvání Smlouvy </w:t>
      </w:r>
    </w:p>
    <w:p w14:paraId="5465C1D8" w14:textId="3302EDE4" w:rsidR="001D56FF" w:rsidRPr="009E1961" w:rsidRDefault="001D56FF" w:rsidP="009E1961">
      <w:pPr>
        <w:pStyle w:val="Odstavecseseznamem"/>
        <w:keepLines w:val="0"/>
        <w:numPr>
          <w:ilvl w:val="0"/>
          <w:numId w:val="49"/>
        </w:numPr>
        <w:tabs>
          <w:tab w:val="clear" w:pos="851"/>
        </w:tabs>
        <w:spacing w:after="120"/>
        <w:ind w:left="0" w:right="70" w:hanging="357"/>
        <w:rPr>
          <w:rFonts w:asciiTheme="minorHAnsi" w:hAnsiTheme="minorHAnsi" w:cstheme="minorHAnsi"/>
          <w:sz w:val="16"/>
          <w:szCs w:val="16"/>
        </w:rPr>
      </w:pPr>
      <w:r w:rsidRPr="009E1961">
        <w:rPr>
          <w:rFonts w:asciiTheme="minorHAnsi" w:hAnsiTheme="minorHAnsi" w:cstheme="minorHAnsi"/>
          <w:sz w:val="16"/>
          <w:szCs w:val="16"/>
        </w:rPr>
        <w:t xml:space="preserve">Není-li Smlouva v souladu s tímto zněním ukončena dříve, končí řádným poskytnutím Služeb. </w:t>
      </w:r>
    </w:p>
    <w:p w14:paraId="5ECA6DBC" w14:textId="77777777" w:rsidR="001D56FF" w:rsidRPr="003D6B57" w:rsidRDefault="001D56FF" w:rsidP="009E1961">
      <w:pPr>
        <w:keepLines w:val="0"/>
        <w:numPr>
          <w:ilvl w:val="0"/>
          <w:numId w:val="49"/>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Kterákoli se stran může Smlouvu kdykoli ukončit s udáním či bez udání důvodu písemnou výpovědí podanou druhé straně nejméně 30 dní před datem účinnosti ukončení Smlouvy</w:t>
      </w:r>
      <w:r>
        <w:rPr>
          <w:rFonts w:asciiTheme="minorHAnsi" w:hAnsiTheme="minorHAnsi" w:cstheme="minorHAnsi"/>
          <w:sz w:val="16"/>
          <w:szCs w:val="16"/>
        </w:rPr>
        <w:t>;</w:t>
      </w:r>
      <w:r w:rsidRPr="003D6B57">
        <w:rPr>
          <w:rFonts w:asciiTheme="minorHAnsi" w:hAnsiTheme="minorHAnsi" w:cstheme="minorHAnsi"/>
          <w:sz w:val="16"/>
          <w:szCs w:val="16"/>
        </w:rPr>
        <w:t xml:space="preserve"> </w:t>
      </w:r>
      <w:r w:rsidRPr="00344372">
        <w:rPr>
          <w:rFonts w:asciiTheme="minorHAnsi" w:hAnsiTheme="minorHAnsi" w:cstheme="minorHAnsi"/>
          <w:sz w:val="16"/>
          <w:szCs w:val="16"/>
        </w:rPr>
        <w:t>výpověď s uvedením důvodu spočívající v porušení Smlou</w:t>
      </w:r>
      <w:r w:rsidRPr="00E758A4">
        <w:rPr>
          <w:rFonts w:asciiTheme="minorHAnsi" w:hAnsiTheme="minorHAnsi" w:cstheme="minorHAnsi"/>
          <w:sz w:val="16"/>
          <w:szCs w:val="16"/>
        </w:rPr>
        <w:t>vy však ne</w:t>
      </w:r>
      <w:r>
        <w:rPr>
          <w:rFonts w:asciiTheme="minorHAnsi" w:hAnsiTheme="minorHAnsi" w:cstheme="minorHAnsi"/>
          <w:sz w:val="16"/>
          <w:szCs w:val="16"/>
        </w:rPr>
        <w:t xml:space="preserve">nabyde účinnosti </w:t>
      </w:r>
      <w:r w:rsidRPr="00344372">
        <w:rPr>
          <w:rFonts w:asciiTheme="minorHAnsi" w:hAnsiTheme="minorHAnsi" w:cstheme="minorHAnsi"/>
          <w:sz w:val="16"/>
          <w:szCs w:val="16"/>
        </w:rPr>
        <w:t>v případě, kdy strana porušující podmínky této Smlouvy toto porušení ve výpovědní době odstraní, l</w:t>
      </w:r>
      <w:r w:rsidRPr="00E758A4">
        <w:rPr>
          <w:rFonts w:asciiTheme="minorHAnsi" w:hAnsiTheme="minorHAnsi" w:cstheme="minorHAnsi"/>
          <w:sz w:val="16"/>
          <w:szCs w:val="16"/>
        </w:rPr>
        <w:t xml:space="preserve">ze-li takovéto porušení </w:t>
      </w:r>
      <w:r w:rsidRPr="00344372">
        <w:rPr>
          <w:rFonts w:asciiTheme="minorHAnsi" w:hAnsiTheme="minorHAnsi" w:cstheme="minorHAnsi"/>
          <w:sz w:val="16"/>
          <w:szCs w:val="16"/>
        </w:rPr>
        <w:t>napravit</w:t>
      </w:r>
      <w:r w:rsidRPr="003D6B57">
        <w:rPr>
          <w:rFonts w:asciiTheme="minorHAnsi" w:hAnsiTheme="minorHAnsi" w:cstheme="minorHAnsi"/>
          <w:sz w:val="16"/>
          <w:szCs w:val="16"/>
        </w:rPr>
        <w:t xml:space="preserve">. </w:t>
      </w:r>
    </w:p>
    <w:p w14:paraId="16E09F37" w14:textId="77777777" w:rsidR="001D56FF" w:rsidRPr="003D6B57" w:rsidRDefault="001D56FF" w:rsidP="009E1961">
      <w:pPr>
        <w:keepLines w:val="0"/>
        <w:numPr>
          <w:ilvl w:val="0"/>
          <w:numId w:val="49"/>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Pokud to stávající zákony nezakazují,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nebo Klient mohou tuto Smlouvu ukončit s okamžitou </w:t>
      </w:r>
      <w:r>
        <w:rPr>
          <w:rFonts w:asciiTheme="minorHAnsi" w:hAnsiTheme="minorHAnsi" w:cstheme="minorHAnsi"/>
          <w:sz w:val="16"/>
          <w:szCs w:val="16"/>
        </w:rPr>
        <w:t>účinností</w:t>
      </w:r>
      <w:r w:rsidRPr="003D6B57">
        <w:rPr>
          <w:rFonts w:asciiTheme="minorHAnsi" w:hAnsiTheme="minorHAnsi" w:cstheme="minorHAnsi"/>
          <w:sz w:val="16"/>
          <w:szCs w:val="16"/>
        </w:rPr>
        <w:t xml:space="preserve"> písemnou výpovědí v případě, že (i) druhá strana podala </w:t>
      </w:r>
      <w:r>
        <w:rPr>
          <w:rFonts w:asciiTheme="minorHAnsi" w:hAnsiTheme="minorHAnsi" w:cstheme="minorHAnsi"/>
          <w:sz w:val="16"/>
          <w:szCs w:val="16"/>
        </w:rPr>
        <w:t>návrh na vyhlášení moratoria</w:t>
      </w:r>
      <w:r w:rsidRPr="003D6B57">
        <w:rPr>
          <w:rFonts w:asciiTheme="minorHAnsi" w:hAnsiTheme="minorHAnsi" w:cstheme="minorHAnsi"/>
          <w:sz w:val="16"/>
          <w:szCs w:val="16"/>
        </w:rPr>
        <w:t xml:space="preserve"> nebo</w:t>
      </w:r>
      <w:r>
        <w:rPr>
          <w:rFonts w:asciiTheme="minorHAnsi" w:hAnsiTheme="minorHAnsi" w:cstheme="minorHAnsi"/>
          <w:sz w:val="16"/>
          <w:szCs w:val="16"/>
        </w:rPr>
        <w:t xml:space="preserve"> vlastní insolvenční návrh</w:t>
      </w:r>
      <w:r w:rsidRPr="003D6B57">
        <w:rPr>
          <w:rFonts w:asciiTheme="minorHAnsi" w:hAnsiTheme="minorHAnsi" w:cstheme="minorHAnsi"/>
          <w:sz w:val="16"/>
          <w:szCs w:val="16"/>
        </w:rPr>
        <w:t>, (</w:t>
      </w:r>
      <w:proofErr w:type="spellStart"/>
      <w:r w:rsidRPr="003D6B57">
        <w:rPr>
          <w:rFonts w:asciiTheme="minorHAnsi" w:hAnsiTheme="minorHAnsi" w:cstheme="minorHAnsi"/>
          <w:sz w:val="16"/>
          <w:szCs w:val="16"/>
        </w:rPr>
        <w:t>ii</w:t>
      </w:r>
      <w:proofErr w:type="spellEnd"/>
      <w:r w:rsidRPr="003D6B57">
        <w:rPr>
          <w:rFonts w:asciiTheme="minorHAnsi" w:hAnsiTheme="minorHAnsi" w:cstheme="minorHAnsi"/>
          <w:sz w:val="16"/>
          <w:szCs w:val="16"/>
        </w:rPr>
        <w:t>) byl na druhou stranu prohlášen konkurs nebo byla druhá strana prohlášena za nesolventní</w:t>
      </w:r>
      <w:r>
        <w:rPr>
          <w:rFonts w:asciiTheme="minorHAnsi" w:hAnsiTheme="minorHAnsi" w:cstheme="minorHAnsi"/>
          <w:sz w:val="16"/>
          <w:szCs w:val="16"/>
        </w:rPr>
        <w:t xml:space="preserve"> (předluženou)</w:t>
      </w:r>
      <w:r w:rsidRPr="003D6B57">
        <w:rPr>
          <w:rFonts w:asciiTheme="minorHAnsi" w:hAnsiTheme="minorHAnsi" w:cstheme="minorHAnsi"/>
          <w:sz w:val="16"/>
          <w:szCs w:val="16"/>
        </w:rPr>
        <w:t xml:space="preserve"> příslušným úřadem</w:t>
      </w:r>
      <w:r>
        <w:rPr>
          <w:rFonts w:asciiTheme="minorHAnsi" w:hAnsiTheme="minorHAnsi" w:cstheme="minorHAnsi"/>
          <w:sz w:val="16"/>
          <w:szCs w:val="16"/>
        </w:rPr>
        <w:t xml:space="preserve"> (soudem)</w:t>
      </w:r>
      <w:r w:rsidRPr="003D6B57">
        <w:rPr>
          <w:rFonts w:asciiTheme="minorHAnsi" w:hAnsiTheme="minorHAnsi" w:cstheme="minorHAnsi"/>
          <w:sz w:val="16"/>
          <w:szCs w:val="16"/>
        </w:rPr>
        <w:t xml:space="preserve"> z důvodu platební neschopnosti nebo </w:t>
      </w:r>
      <w:r>
        <w:rPr>
          <w:rFonts w:asciiTheme="minorHAnsi" w:hAnsiTheme="minorHAnsi" w:cstheme="minorHAnsi"/>
          <w:sz w:val="16"/>
          <w:szCs w:val="16"/>
        </w:rPr>
        <w:t>pře</w:t>
      </w:r>
      <w:r w:rsidRPr="003D6B57">
        <w:rPr>
          <w:rFonts w:asciiTheme="minorHAnsi" w:hAnsiTheme="minorHAnsi" w:cstheme="minorHAnsi"/>
          <w:sz w:val="16"/>
          <w:szCs w:val="16"/>
        </w:rPr>
        <w:t>dluženosti, nebo (</w:t>
      </w:r>
      <w:proofErr w:type="spellStart"/>
      <w:r w:rsidRPr="003D6B57">
        <w:rPr>
          <w:rFonts w:asciiTheme="minorHAnsi" w:hAnsiTheme="minorHAnsi" w:cstheme="minorHAnsi"/>
          <w:sz w:val="16"/>
          <w:szCs w:val="16"/>
        </w:rPr>
        <w:t>iii</w:t>
      </w:r>
      <w:proofErr w:type="spellEnd"/>
      <w:r w:rsidRPr="003D6B57">
        <w:rPr>
          <w:rFonts w:asciiTheme="minorHAnsi" w:hAnsiTheme="minorHAnsi" w:cstheme="minorHAnsi"/>
          <w:sz w:val="16"/>
          <w:szCs w:val="16"/>
        </w:rPr>
        <w:t>) byl zamítnut návrh na prohlášení insolvence proti ní z důvodu nedostatečného majetku, nebo (</w:t>
      </w:r>
      <w:proofErr w:type="spellStart"/>
      <w:r w:rsidRPr="003D6B57">
        <w:rPr>
          <w:rFonts w:asciiTheme="minorHAnsi" w:hAnsiTheme="minorHAnsi" w:cstheme="minorHAnsi"/>
          <w:sz w:val="16"/>
          <w:szCs w:val="16"/>
        </w:rPr>
        <w:t>iv</w:t>
      </w:r>
      <w:proofErr w:type="spellEnd"/>
      <w:r w:rsidRPr="003D6B57">
        <w:rPr>
          <w:rFonts w:asciiTheme="minorHAnsi" w:hAnsiTheme="minorHAnsi" w:cstheme="minorHAnsi"/>
          <w:sz w:val="16"/>
          <w:szCs w:val="16"/>
        </w:rPr>
        <w:t xml:space="preserve">) jsou její aktiva předmětem obstavení hmotného majetku nebo (v) je v likvidaci. </w:t>
      </w:r>
    </w:p>
    <w:p w14:paraId="4248B342" w14:textId="77777777" w:rsidR="001D56FF" w:rsidRPr="003D6B57" w:rsidRDefault="001D56FF" w:rsidP="009E1961">
      <w:pPr>
        <w:keepLines w:val="0"/>
        <w:numPr>
          <w:ilvl w:val="0"/>
          <w:numId w:val="49"/>
        </w:numPr>
        <w:tabs>
          <w:tab w:val="clear" w:pos="851"/>
        </w:tabs>
        <w:spacing w:after="120"/>
        <w:ind w:left="0" w:right="70" w:hanging="357"/>
        <w:rPr>
          <w:rFonts w:asciiTheme="minorHAnsi" w:hAnsiTheme="minorHAnsi" w:cstheme="minorHAnsi"/>
          <w:sz w:val="16"/>
          <w:szCs w:val="16"/>
        </w:rPr>
      </w:pPr>
      <w:proofErr w:type="spellStart"/>
      <w:r w:rsidRPr="003D6B57">
        <w:rPr>
          <w:rFonts w:asciiTheme="minorHAnsi" w:hAnsiTheme="minorHAnsi" w:cstheme="minorHAnsi"/>
          <w:sz w:val="16"/>
          <w:szCs w:val="16"/>
        </w:rPr>
        <w:lastRenderedPageBreak/>
        <w:t>Deloitte</w:t>
      </w:r>
      <w:proofErr w:type="spellEnd"/>
      <w:r w:rsidRPr="003D6B57">
        <w:rPr>
          <w:rFonts w:asciiTheme="minorHAnsi" w:hAnsiTheme="minorHAnsi" w:cstheme="minorHAnsi"/>
          <w:sz w:val="16"/>
          <w:szCs w:val="16"/>
        </w:rPr>
        <w:t xml:space="preserve"> může tuto Smlouvu ukončit jako celek nebo částečně s okamžitým účinkem na základě písemné výpovědi podané Klientovi, pokud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zjistí, že (a) státní, regulační nebo profesní orgán nebo jiný orgán se zákonnou pravomocí zavedl nový, nebo upravil stávající, zákon, pravidlo, nařízení, výklad nebo rozhodnutí, v jehož důsledku by bylo plnění kterékoli části Smlouvy ze strany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protiprávní nebo jinak nezákonné nebo v rozporu s pravidly nezávislosti nebo profesními pravidly nebo (b) dojde ke změně okolností (včetně mj. změn vlastnictví Klienta nebo kteréhokoli z jeho Přidružených podniků představujících společnost, partnerský podnik nebo jiný právní subjekt (jiný než fyzickou osobu), který podle potřeby přímo nebo nepřímo kontroluje, je kontrolován nebo je pod společnou kontrolou Klienta („Přidružený podnik“), a z tohoto důvodu je plnění jakékoli části Smlouvy ze strany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protiprávní nebo jinak nezákonné nebo v rozporu s pravidly nezávislosti nebo profesními pravidly.   </w:t>
      </w:r>
    </w:p>
    <w:p w14:paraId="7A11C03E" w14:textId="77777777" w:rsidR="001D56FF" w:rsidRPr="003D6B57" w:rsidRDefault="001D56FF" w:rsidP="009E1961">
      <w:pPr>
        <w:keepLines w:val="0"/>
        <w:numPr>
          <w:ilvl w:val="0"/>
          <w:numId w:val="49"/>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Při ukončení smlouvy z jakéhokoli důvodu Klient poskytne společnosti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náhradu v souladu s podmínkami Smlouvy za poskytnuté Služby a výdaje nebo náklady (včetně veškerých specifických nákladů, jako jsou zřizovací náklady) vzniklé do data účinnosti ukončení Smlouvy. Pokud je Cena za Služby sjednána jako závislá na provedení Služeb nebo jakýchkoli jejich částí a ukončení nabyde účinnosti před dokončením Služeb a/nebo jejich příslušných částí, částka splatné Ceny za Služby při ukončení Smlouvy bude odpovídat času, který strávil personál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(jež zahrnuje v relevantním případě i příslušné Subdodavatele) poskytováním Služeb podle této Smlouvy, a vypočte se na základě standardních hodinových sazeb. Aniž by tím byla dotčena výše uvedená ustanovení,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má právo obdržet plnou náhradu všech nákladů vzniklých v souvislosti poskytováním Služeb na základě této Smlouvy před ukončením Smlouvy a veškerých pokut nebo nákladů vzniklých společnosti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z důvodu ukončení smluv, které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uzavřela v souvislosti s poskytováním Služeb na základě této Smlouvy, aniž by tím byla dotčena náhrada škod a smluvní pokuty stanovené ustanoveními tohoto dokumentu a účinnými právními předpisy. </w:t>
      </w:r>
    </w:p>
    <w:p w14:paraId="1608FF7D" w14:textId="77777777" w:rsidR="001D56FF" w:rsidRPr="003D6B57" w:rsidRDefault="001D56FF" w:rsidP="0098613E">
      <w:pPr>
        <w:keepNext/>
        <w:keepLines w:val="0"/>
        <w:numPr>
          <w:ilvl w:val="0"/>
          <w:numId w:val="29"/>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Vlastnictví majetku </w:t>
      </w:r>
      <w:proofErr w:type="spellStart"/>
      <w:r w:rsidRPr="003D6B57">
        <w:rPr>
          <w:rFonts w:asciiTheme="minorHAnsi" w:hAnsiTheme="minorHAnsi" w:cstheme="minorHAnsi"/>
          <w:b/>
          <w:color w:val="92D400"/>
          <w:kern w:val="28"/>
          <w:sz w:val="16"/>
          <w:szCs w:val="16"/>
        </w:rPr>
        <w:t>Deloitte</w:t>
      </w:r>
      <w:proofErr w:type="spellEnd"/>
      <w:r w:rsidRPr="003D6B57">
        <w:rPr>
          <w:rFonts w:asciiTheme="minorHAnsi" w:hAnsiTheme="minorHAnsi" w:cstheme="minorHAnsi"/>
          <w:b/>
          <w:color w:val="92D400"/>
          <w:kern w:val="28"/>
          <w:sz w:val="16"/>
          <w:szCs w:val="16"/>
        </w:rPr>
        <w:t xml:space="preserve"> </w:t>
      </w:r>
    </w:p>
    <w:p w14:paraId="723E26B7" w14:textId="1A5C4B48" w:rsidR="001D56FF" w:rsidRPr="009E1961" w:rsidRDefault="001D56FF" w:rsidP="009E1961">
      <w:pPr>
        <w:pStyle w:val="Odstavecseseznamem"/>
        <w:keepLines w:val="0"/>
        <w:numPr>
          <w:ilvl w:val="0"/>
          <w:numId w:val="50"/>
        </w:numPr>
        <w:tabs>
          <w:tab w:val="clear" w:pos="851"/>
        </w:tabs>
        <w:spacing w:after="120"/>
        <w:ind w:left="301" w:right="70" w:hanging="301"/>
        <w:rPr>
          <w:rFonts w:asciiTheme="minorHAnsi" w:hAnsiTheme="minorHAnsi" w:cstheme="minorHAnsi"/>
          <w:sz w:val="16"/>
          <w:szCs w:val="16"/>
        </w:rPr>
      </w:pPr>
      <w:r w:rsidRPr="009E1961">
        <w:rPr>
          <w:rFonts w:asciiTheme="minorHAnsi" w:hAnsiTheme="minorHAnsi" w:cstheme="minorHAnsi"/>
          <w:sz w:val="16"/>
          <w:szCs w:val="16"/>
        </w:rPr>
        <w:t xml:space="preserve">S výjimkou případů stanovených níže a případů, kdy platí samostatná licenční smlouva, pokud Společnosti skupiny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použijí nebo vytvoří jakýkoli majetek (hmotný i nehmotný) v souvislosti s touto Smlouvou, tento majetek, včetně pracovních verzí, zůstává majetkem příslušné Společnosti skupiny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Na základě úhrady všech odměn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splatných v souvislosti se Službami a touto Smlouvou Klient získá nevýhradní, nepřevoditelnou, plně uhrazenou licenci na používání Výstupu způsobem a pro účel stanovený ve Smlouvě nebo ve Výstupu a v souladu s ostatními ustanoveními Smlouvy. Jakékoli poplatky za užívání (licenční poplatky) spojené s Výstupem (pokud existují) jsou zahrnuty do ceny odsouhlasené ve Smluvním dopisu. Klient nebude používat Výstup v jiných zemích, než jsou země, kde má své sídlo Příjemce, jenž má výslovné povolení používat Výstup. Klient nebude (i) zveřejňovat a kopírovat Výstupy a související dokumentaci (k jiným než k interním účelům), (</w:t>
      </w:r>
      <w:proofErr w:type="spellStart"/>
      <w:r w:rsidRPr="009E1961">
        <w:rPr>
          <w:rFonts w:asciiTheme="minorHAnsi" w:hAnsiTheme="minorHAnsi" w:cstheme="minorHAnsi"/>
          <w:sz w:val="16"/>
          <w:szCs w:val="16"/>
        </w:rPr>
        <w:t>ii</w:t>
      </w:r>
      <w:proofErr w:type="spellEnd"/>
      <w:r w:rsidRPr="009E1961">
        <w:rPr>
          <w:rFonts w:asciiTheme="minorHAnsi" w:hAnsiTheme="minorHAnsi" w:cstheme="minorHAnsi"/>
          <w:sz w:val="16"/>
          <w:szCs w:val="16"/>
        </w:rPr>
        <w:t>) zveřejňovat, modifikovat nebo vytvářet vylepšené verze Výstupů, (</w:t>
      </w:r>
      <w:proofErr w:type="spellStart"/>
      <w:r w:rsidRPr="009E1961">
        <w:rPr>
          <w:rFonts w:asciiTheme="minorHAnsi" w:hAnsiTheme="minorHAnsi" w:cstheme="minorHAnsi"/>
          <w:sz w:val="16"/>
          <w:szCs w:val="16"/>
        </w:rPr>
        <w:t>iii</w:t>
      </w:r>
      <w:proofErr w:type="spellEnd"/>
      <w:r w:rsidRPr="009E1961">
        <w:rPr>
          <w:rFonts w:asciiTheme="minorHAnsi" w:hAnsiTheme="minorHAnsi" w:cstheme="minorHAnsi"/>
          <w:sz w:val="16"/>
          <w:szCs w:val="16"/>
        </w:rPr>
        <w:t>) měnit, slučovat, modifikovat, upravovat nebo překládat Výstupy, (</w:t>
      </w:r>
      <w:proofErr w:type="spellStart"/>
      <w:r w:rsidRPr="009E1961">
        <w:rPr>
          <w:rFonts w:asciiTheme="minorHAnsi" w:hAnsiTheme="minorHAnsi" w:cstheme="minorHAnsi"/>
          <w:sz w:val="16"/>
          <w:szCs w:val="16"/>
        </w:rPr>
        <w:t>iv</w:t>
      </w:r>
      <w:proofErr w:type="spellEnd"/>
      <w:r w:rsidRPr="009E1961">
        <w:rPr>
          <w:rFonts w:asciiTheme="minorHAnsi" w:hAnsiTheme="minorHAnsi" w:cstheme="minorHAnsi"/>
          <w:sz w:val="16"/>
          <w:szCs w:val="16"/>
        </w:rPr>
        <w:t xml:space="preserve">) provádět </w:t>
      </w:r>
      <w:proofErr w:type="spellStart"/>
      <w:r w:rsidRPr="009E1961">
        <w:rPr>
          <w:rFonts w:asciiTheme="minorHAnsi" w:hAnsiTheme="minorHAnsi" w:cstheme="minorHAnsi"/>
          <w:sz w:val="16"/>
          <w:szCs w:val="16"/>
        </w:rPr>
        <w:t>dekompilaci</w:t>
      </w:r>
      <w:proofErr w:type="spellEnd"/>
      <w:r w:rsidRPr="009E1961">
        <w:rPr>
          <w:rFonts w:asciiTheme="minorHAnsi" w:hAnsiTheme="minorHAnsi" w:cstheme="minorHAnsi"/>
          <w:sz w:val="16"/>
          <w:szCs w:val="16"/>
        </w:rPr>
        <w:t>, demontáž nebo reverzní inženýrství Výstupu jako celku nebo části, provádět převod ze zdrojového kódu Výstupů, (v) používat, kopírovat, reprodukovat, psát nebo vytvářet jakýkoli odvozený výtvor nebo jiný výtvor založený na celém Výstupu nebo jeho části, (</w:t>
      </w:r>
      <w:proofErr w:type="spellStart"/>
      <w:r w:rsidRPr="009E1961">
        <w:rPr>
          <w:rFonts w:asciiTheme="minorHAnsi" w:hAnsiTheme="minorHAnsi" w:cstheme="minorHAnsi"/>
          <w:sz w:val="16"/>
          <w:szCs w:val="16"/>
        </w:rPr>
        <w:t>vi</w:t>
      </w:r>
      <w:proofErr w:type="spellEnd"/>
      <w:r w:rsidRPr="009E1961">
        <w:rPr>
          <w:rFonts w:asciiTheme="minorHAnsi" w:hAnsiTheme="minorHAnsi" w:cstheme="minorHAnsi"/>
          <w:sz w:val="16"/>
          <w:szCs w:val="16"/>
        </w:rPr>
        <w:t>) měnit, zpracovávat a kombinovat Výstup s jinými výtvory a používat Výstup v kombinaci s jinými výtvory, (</w:t>
      </w:r>
      <w:proofErr w:type="spellStart"/>
      <w:r w:rsidRPr="009E1961">
        <w:rPr>
          <w:rFonts w:asciiTheme="minorHAnsi" w:hAnsiTheme="minorHAnsi" w:cstheme="minorHAnsi"/>
          <w:sz w:val="16"/>
          <w:szCs w:val="16"/>
        </w:rPr>
        <w:t>vii</w:t>
      </w:r>
      <w:proofErr w:type="spellEnd"/>
      <w:r w:rsidRPr="009E1961">
        <w:rPr>
          <w:rFonts w:asciiTheme="minorHAnsi" w:hAnsiTheme="minorHAnsi" w:cstheme="minorHAnsi"/>
          <w:sz w:val="16"/>
          <w:szCs w:val="16"/>
        </w:rPr>
        <w:t xml:space="preserve">) pronajímat a/nebo půjčovat Výstup a související </w:t>
      </w:r>
      <w:r w:rsidRPr="009E1961">
        <w:rPr>
          <w:rFonts w:asciiTheme="minorHAnsi" w:hAnsiTheme="minorHAnsi" w:cstheme="minorHAnsi"/>
          <w:sz w:val="16"/>
          <w:szCs w:val="16"/>
        </w:rPr>
        <w:lastRenderedPageBreak/>
        <w:t>dokumentaci nebo jejich kopie třetím stranám, a (</w:t>
      </w:r>
      <w:proofErr w:type="spellStart"/>
      <w:r w:rsidRPr="009E1961">
        <w:rPr>
          <w:rFonts w:asciiTheme="minorHAnsi" w:hAnsiTheme="minorHAnsi" w:cstheme="minorHAnsi"/>
          <w:sz w:val="16"/>
          <w:szCs w:val="16"/>
        </w:rPr>
        <w:t>viii</w:t>
      </w:r>
      <w:proofErr w:type="spellEnd"/>
      <w:r w:rsidRPr="009E1961">
        <w:rPr>
          <w:rFonts w:asciiTheme="minorHAnsi" w:hAnsiTheme="minorHAnsi" w:cstheme="minorHAnsi"/>
          <w:sz w:val="16"/>
          <w:szCs w:val="16"/>
        </w:rPr>
        <w:t xml:space="preserve">) poskytovat sublicenci třetím osobám s právy na použití Výstupu nad rámec stanovený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na základě vlastního uvážení. Cena za poskytnutí výše uvedené licence je zahrnuta v odměně odsouhlasené ve Smluvním dopise.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je nositelem veškerých práv  k Výstupům  (a to zejména autorských a ostatních práv k duševnímu vlastnictví)   jakož i veškerých práv užívat a zpřístupňovat své myšlenky, koncepty, know-how, metodologie, technologie, procesy, dovednosti, včetně jejich úprav, v rámci své podnikatelské činnosti a Klient neuplatní nebo nezpůsobí, aby bylo uplatněno, jakékoliv omezení, či zamezení výkonu takových práv vůči jakékoliv Společnosti skupiny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nebo jejímu personálu. Jakákoliv práva k duševnímu vlastnictví a majetková práva k materiálům, které byly poskytnuty Klientem v souvislosti s poskytováním Služeb, náleží Klientovi. </w:t>
      </w:r>
    </w:p>
    <w:p w14:paraId="55601F2F" w14:textId="77777777" w:rsidR="001D56FF" w:rsidRPr="003D6B57" w:rsidRDefault="001D56FF" w:rsidP="009E1961">
      <w:pPr>
        <w:keepLines w:val="0"/>
        <w:numPr>
          <w:ilvl w:val="0"/>
          <w:numId w:val="50"/>
        </w:numPr>
        <w:tabs>
          <w:tab w:val="clear" w:pos="851"/>
        </w:tabs>
        <w:spacing w:after="120"/>
        <w:ind w:leftChars="-157" w:left="-1" w:right="70" w:hangingChars="176" w:hanging="282"/>
        <w:rPr>
          <w:rFonts w:asciiTheme="minorHAnsi" w:hAnsiTheme="minorHAnsi" w:cstheme="minorHAnsi"/>
          <w:sz w:val="16"/>
          <w:szCs w:val="16"/>
        </w:rPr>
      </w:pPr>
      <w:r w:rsidRPr="009C3893">
        <w:rPr>
          <w:rFonts w:asciiTheme="minorHAnsi" w:hAnsiTheme="minorHAnsi" w:cstheme="minorHAnsi"/>
          <w:sz w:val="16"/>
          <w:szCs w:val="16"/>
        </w:rPr>
        <w:t xml:space="preserve">Bez ohledu na jiná ustanovení této Smlouvy, Klient bere na vědomí, že společnost </w:t>
      </w:r>
      <w:proofErr w:type="spellStart"/>
      <w:r w:rsidRPr="009C3893">
        <w:rPr>
          <w:rFonts w:asciiTheme="minorHAnsi" w:hAnsiTheme="minorHAnsi" w:cstheme="minorHAnsi"/>
          <w:sz w:val="16"/>
          <w:szCs w:val="16"/>
        </w:rPr>
        <w:t>Deloitte</w:t>
      </w:r>
      <w:proofErr w:type="spellEnd"/>
      <w:r w:rsidRPr="009C3893">
        <w:rPr>
          <w:rFonts w:asciiTheme="minorHAnsi" w:hAnsiTheme="minorHAnsi" w:cstheme="minorHAnsi"/>
          <w:sz w:val="16"/>
          <w:szCs w:val="16"/>
        </w:rPr>
        <w:t xml:space="preserve"> a její Subdodavatelé mohou v souvislosti s poskytováním Služeb vytvořit či získat obecnou zkušenost, dovednosti, znalosti a myšlenky, </w:t>
      </w:r>
      <w:r w:rsidRPr="003D6B57">
        <w:rPr>
          <w:rFonts w:asciiTheme="minorHAnsi" w:hAnsiTheme="minorHAnsi" w:cstheme="minorHAnsi"/>
          <w:sz w:val="16"/>
          <w:szCs w:val="16"/>
        </w:rPr>
        <w:t>, které zůstanou v paměti jejich personálu. Klient souhlasí</w:t>
      </w:r>
      <w:r>
        <w:rPr>
          <w:rFonts w:asciiTheme="minorHAnsi" w:hAnsiTheme="minorHAnsi" w:cstheme="minorHAnsi"/>
          <w:sz w:val="16"/>
          <w:szCs w:val="16"/>
        </w:rPr>
        <w:t xml:space="preserve"> s tím</w:t>
      </w:r>
      <w:r w:rsidRPr="003D6B57">
        <w:rPr>
          <w:rFonts w:asciiTheme="minorHAnsi" w:hAnsiTheme="minorHAnsi" w:cstheme="minorHAnsi"/>
          <w:sz w:val="16"/>
          <w:szCs w:val="16"/>
        </w:rPr>
        <w:t xml:space="preserve">, že 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mohou </w:t>
      </w:r>
      <w:r w:rsidRPr="009C3893">
        <w:rPr>
          <w:rFonts w:asciiTheme="minorHAnsi" w:hAnsiTheme="minorHAnsi" w:cstheme="minorHAnsi"/>
          <w:sz w:val="16"/>
          <w:szCs w:val="16"/>
        </w:rPr>
        <w:t>takovéto zkušenosti, dovednosti, znalosti a myšlenky bez omezení používat a zveřejňovat</w:t>
      </w:r>
      <w:r>
        <w:rPr>
          <w:rFonts w:asciiTheme="minorHAnsi" w:hAnsiTheme="minorHAnsi" w:cstheme="minorHAnsi"/>
          <w:sz w:val="16"/>
          <w:szCs w:val="16"/>
        </w:rPr>
        <w:t>.</w:t>
      </w:r>
    </w:p>
    <w:p w14:paraId="63992CB5" w14:textId="77777777" w:rsidR="001D56FF" w:rsidRPr="003D6B57" w:rsidRDefault="001D56FF" w:rsidP="009E1961">
      <w:pPr>
        <w:keepLines w:val="0"/>
        <w:numPr>
          <w:ilvl w:val="0"/>
          <w:numId w:val="50"/>
        </w:numPr>
        <w:tabs>
          <w:tab w:val="clear" w:pos="851"/>
        </w:tabs>
        <w:spacing w:after="120"/>
        <w:ind w:leftChars="-157" w:left="-1" w:right="70" w:hangingChars="176" w:hanging="282"/>
        <w:rPr>
          <w:rFonts w:asciiTheme="minorHAnsi" w:hAnsiTheme="minorHAnsi" w:cstheme="minorHAnsi"/>
          <w:sz w:val="16"/>
          <w:szCs w:val="16"/>
        </w:rPr>
      </w:pPr>
      <w:r w:rsidRPr="0054334B">
        <w:rPr>
          <w:rFonts w:asciiTheme="minorHAnsi" w:hAnsiTheme="minorHAnsi" w:cstheme="minorHAnsi"/>
          <w:sz w:val="16"/>
          <w:szCs w:val="16"/>
        </w:rPr>
        <w:t xml:space="preserve">Klient rovněž získá přístup a má právo používat ty Technologie </w:t>
      </w:r>
      <w:proofErr w:type="spellStart"/>
      <w:r w:rsidRPr="0054334B">
        <w:rPr>
          <w:rFonts w:asciiTheme="minorHAnsi" w:hAnsiTheme="minorHAnsi" w:cstheme="minorHAnsi"/>
          <w:sz w:val="16"/>
          <w:szCs w:val="16"/>
        </w:rPr>
        <w:t>Deloitte</w:t>
      </w:r>
      <w:proofErr w:type="spellEnd"/>
      <w:r w:rsidRPr="0054334B">
        <w:rPr>
          <w:rFonts w:asciiTheme="minorHAnsi" w:hAnsiTheme="minorHAnsi" w:cstheme="minorHAnsi"/>
          <w:sz w:val="16"/>
          <w:szCs w:val="16"/>
        </w:rPr>
        <w:t xml:space="preserve">, které jsou dodány </w:t>
      </w:r>
      <w:r>
        <w:rPr>
          <w:rFonts w:asciiTheme="minorHAnsi" w:hAnsiTheme="minorHAnsi" w:cstheme="minorHAnsi"/>
          <w:sz w:val="16"/>
          <w:szCs w:val="16"/>
        </w:rPr>
        <w:t>výhradně pro účely přijetí Služeb a pro žádné další účely</w:t>
      </w:r>
      <w:r w:rsidRPr="0054334B">
        <w:rPr>
          <w:rFonts w:asciiTheme="minorHAnsi" w:hAnsiTheme="minorHAnsi" w:cstheme="minorHAnsi"/>
          <w:sz w:val="16"/>
          <w:szCs w:val="16"/>
        </w:rPr>
        <w:t xml:space="preserve">, a v souladu s jakýmikoliv licencemi, které se na příslušné Technologie </w:t>
      </w:r>
      <w:proofErr w:type="spellStart"/>
      <w:r w:rsidRPr="0054334B">
        <w:rPr>
          <w:rFonts w:asciiTheme="minorHAnsi" w:hAnsiTheme="minorHAnsi" w:cstheme="minorHAnsi"/>
          <w:sz w:val="16"/>
          <w:szCs w:val="16"/>
        </w:rPr>
        <w:t>Deloitte</w:t>
      </w:r>
      <w:proofErr w:type="spellEnd"/>
      <w:r w:rsidRPr="0054334B">
        <w:rPr>
          <w:rFonts w:asciiTheme="minorHAnsi" w:hAnsiTheme="minorHAnsi" w:cstheme="minorHAnsi"/>
          <w:sz w:val="16"/>
          <w:szCs w:val="16"/>
        </w:rPr>
        <w:t xml:space="preserve"> vztahují a které jsou ze strany </w:t>
      </w:r>
      <w:proofErr w:type="spellStart"/>
      <w:r w:rsidRPr="0054334B">
        <w:rPr>
          <w:rFonts w:asciiTheme="minorHAnsi" w:hAnsiTheme="minorHAnsi" w:cstheme="minorHAnsi"/>
          <w:sz w:val="16"/>
          <w:szCs w:val="16"/>
        </w:rPr>
        <w:t>Deloitte</w:t>
      </w:r>
      <w:proofErr w:type="spellEnd"/>
      <w:r w:rsidRPr="0054334B">
        <w:rPr>
          <w:rFonts w:asciiTheme="minorHAnsi" w:hAnsiTheme="minorHAnsi" w:cstheme="minorHAnsi"/>
          <w:sz w:val="16"/>
          <w:szCs w:val="16"/>
        </w:rPr>
        <w:t xml:space="preserve"> Klientovi oznámeny a se kterými Klient vyjádřil souhlas prostřednictvím svého podpisu</w:t>
      </w:r>
      <w:r>
        <w:rPr>
          <w:rFonts w:asciiTheme="minorHAnsi" w:hAnsiTheme="minorHAnsi" w:cstheme="minorHAnsi"/>
          <w:sz w:val="16"/>
          <w:szCs w:val="16"/>
        </w:rPr>
        <w:t>.</w:t>
      </w:r>
      <w:r w:rsidRPr="003D6B57">
        <w:rPr>
          <w:rFonts w:asciiTheme="minorHAnsi" w:hAnsiTheme="minorHAnsi" w:cstheme="minorHAnsi"/>
          <w:sz w:val="16"/>
          <w:szCs w:val="16"/>
        </w:rPr>
        <w:t xml:space="preserve"> Ve vztahu mezi Klientem a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bude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vlastnit veškerá práva na duševní vlastnictví a další vlastnická práva jakéhokoli druhu na Technologie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které jsou používány nebo vytvářeny v souladu s touto Smlouvou, a toto vlastnictví si ponechá. </w:t>
      </w:r>
    </w:p>
    <w:p w14:paraId="06550568" w14:textId="77777777" w:rsidR="001D56FF" w:rsidRPr="003D6B57" w:rsidRDefault="001D56FF" w:rsidP="009E1961">
      <w:pPr>
        <w:keepLines w:val="0"/>
        <w:numPr>
          <w:ilvl w:val="0"/>
          <w:numId w:val="50"/>
        </w:numPr>
        <w:tabs>
          <w:tab w:val="clear" w:pos="851"/>
        </w:tabs>
        <w:spacing w:after="120"/>
        <w:ind w:leftChars="-157" w:left="-1" w:right="70" w:hangingChars="176" w:hanging="282"/>
        <w:rPr>
          <w:rFonts w:asciiTheme="minorHAnsi" w:hAnsiTheme="minorHAnsi" w:cstheme="minorHAnsi"/>
          <w:sz w:val="16"/>
          <w:szCs w:val="16"/>
        </w:rPr>
      </w:pPr>
      <w:r w:rsidRPr="003D6B57">
        <w:rPr>
          <w:rFonts w:asciiTheme="minorHAnsi" w:hAnsiTheme="minorHAnsi" w:cstheme="minorHAnsi"/>
          <w:sz w:val="16"/>
          <w:szCs w:val="16"/>
        </w:rPr>
        <w:t xml:space="preserve">„Technologie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r w:rsidRPr="00322094">
        <w:rPr>
          <w:rFonts w:asciiTheme="minorHAnsi" w:hAnsiTheme="minorHAnsi" w:cstheme="minorHAnsi"/>
          <w:sz w:val="16"/>
          <w:szCs w:val="16"/>
        </w:rPr>
        <w:t xml:space="preserve">je míněno jakékoliv know-how a software, systémové rozhraní, vzory, metodologie, myšlenky, koncepty, technologie, nástroje, procesy a postupy, a to včetně technologií založených na webovém rozhraní a algoritmů vlastněných, licencovaných či vyvinutých jakoukoliv Společností skupiny </w:t>
      </w:r>
      <w:proofErr w:type="spellStart"/>
      <w:r w:rsidRPr="00322094">
        <w:rPr>
          <w:rFonts w:asciiTheme="minorHAnsi" w:hAnsiTheme="minorHAnsi" w:cstheme="minorHAnsi"/>
          <w:sz w:val="16"/>
          <w:szCs w:val="16"/>
        </w:rPr>
        <w:t>Deloitte</w:t>
      </w:r>
      <w:proofErr w:type="spellEnd"/>
      <w:r w:rsidRPr="00322094">
        <w:rPr>
          <w:rFonts w:asciiTheme="minorHAnsi" w:hAnsiTheme="minorHAnsi" w:cstheme="minorHAnsi"/>
          <w:sz w:val="16"/>
          <w:szCs w:val="16"/>
        </w:rPr>
        <w:t xml:space="preserve"> a použitých </w:t>
      </w:r>
      <w:proofErr w:type="spellStart"/>
      <w:r w:rsidRPr="00322094">
        <w:rPr>
          <w:rFonts w:asciiTheme="minorHAnsi" w:hAnsiTheme="minorHAnsi" w:cstheme="minorHAnsi"/>
          <w:sz w:val="16"/>
          <w:szCs w:val="16"/>
        </w:rPr>
        <w:t>Deloitte</w:t>
      </w:r>
      <w:proofErr w:type="spellEnd"/>
      <w:r w:rsidRPr="00322094">
        <w:rPr>
          <w:rFonts w:asciiTheme="minorHAnsi" w:hAnsiTheme="minorHAnsi" w:cstheme="minorHAnsi"/>
          <w:sz w:val="16"/>
          <w:szCs w:val="16"/>
        </w:rPr>
        <w:t xml:space="preserve"> při poskytování Služeb či při plnění jeho dalších povinností</w:t>
      </w:r>
      <w:r w:rsidRPr="003D6B57">
        <w:rPr>
          <w:rFonts w:asciiTheme="minorHAnsi" w:hAnsiTheme="minorHAnsi" w:cstheme="minorHAnsi"/>
          <w:sz w:val="16"/>
          <w:szCs w:val="16"/>
        </w:rPr>
        <w:t xml:space="preserve">. </w:t>
      </w:r>
    </w:p>
    <w:p w14:paraId="06BD1E9B" w14:textId="77777777" w:rsidR="001D56FF" w:rsidRDefault="001D56FF" w:rsidP="009E1961">
      <w:pPr>
        <w:keepLines w:val="0"/>
        <w:numPr>
          <w:ilvl w:val="0"/>
          <w:numId w:val="50"/>
        </w:numPr>
        <w:tabs>
          <w:tab w:val="clear" w:pos="851"/>
        </w:tabs>
        <w:spacing w:after="120"/>
        <w:ind w:leftChars="-157" w:left="-1" w:right="70" w:hangingChars="176" w:hanging="282"/>
        <w:rPr>
          <w:rFonts w:asciiTheme="minorHAnsi" w:hAnsiTheme="minorHAnsi" w:cstheme="minorHAnsi"/>
          <w:sz w:val="16"/>
          <w:szCs w:val="16"/>
        </w:rPr>
      </w:pPr>
      <w:r w:rsidRPr="003D6B57">
        <w:rPr>
          <w:rFonts w:asciiTheme="minorHAnsi" w:hAnsiTheme="minorHAnsi" w:cstheme="minorHAnsi"/>
          <w:sz w:val="16"/>
          <w:szCs w:val="16"/>
        </w:rPr>
        <w:t xml:space="preserve">Společnost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nesouhlasí s jakýmikoli podmínkami, které mohou být vykládány jako jakýmkoli způsobem vylučující nebo omezující její právo vytvářet pro sebe nebo pro ostatní materiály, které jsou konkurenční nebo podobné těm, jež jsou výsledkem Služeb, bez ohledu na jejich podobnost s Výstupem, v souladu s podmínkami zachování mlčenlivosti uvedenými v ustanovení </w:t>
      </w:r>
      <w:r>
        <w:rPr>
          <w:rFonts w:asciiTheme="minorHAnsi" w:hAnsiTheme="minorHAnsi" w:cstheme="minorHAnsi"/>
          <w:sz w:val="16"/>
          <w:szCs w:val="16"/>
        </w:rPr>
        <w:t xml:space="preserve"> čl. 10</w:t>
      </w:r>
      <w:r w:rsidRPr="003D6B57">
        <w:rPr>
          <w:rFonts w:asciiTheme="minorHAnsi" w:hAnsiTheme="minorHAnsi" w:cstheme="minorHAnsi"/>
          <w:sz w:val="16"/>
          <w:szCs w:val="16"/>
        </w:rPr>
        <w:t xml:space="preserve"> níže. </w:t>
      </w:r>
    </w:p>
    <w:p w14:paraId="204BE026" w14:textId="77777777" w:rsidR="001D56FF" w:rsidRPr="003D6B57" w:rsidRDefault="001D56FF" w:rsidP="009E1961">
      <w:pPr>
        <w:spacing w:after="120"/>
        <w:ind w:leftChars="-157" w:left="-1" w:right="70" w:hangingChars="176" w:hanging="282"/>
        <w:rPr>
          <w:rFonts w:asciiTheme="minorHAnsi" w:hAnsiTheme="minorHAnsi" w:cstheme="minorHAnsi"/>
          <w:sz w:val="16"/>
          <w:szCs w:val="16"/>
        </w:rPr>
      </w:pPr>
    </w:p>
    <w:p w14:paraId="19E2E25B" w14:textId="77777777" w:rsidR="001D56FF" w:rsidRPr="003D6B57" w:rsidRDefault="001D56FF" w:rsidP="009E1961">
      <w:pPr>
        <w:keepLines w:val="0"/>
        <w:numPr>
          <w:ilvl w:val="0"/>
          <w:numId w:val="29"/>
        </w:numPr>
        <w:tabs>
          <w:tab w:val="clear" w:pos="851"/>
        </w:tabs>
        <w:spacing w:after="120"/>
        <w:ind w:leftChars="-157" w:left="0" w:right="70" w:hangingChars="176" w:hanging="283"/>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Odpovědnost za škody </w:t>
      </w:r>
    </w:p>
    <w:p w14:paraId="30127AA7" w14:textId="71BEA533" w:rsidR="001D56FF" w:rsidRPr="009E1961" w:rsidRDefault="001D56FF" w:rsidP="009E1961">
      <w:pPr>
        <w:pStyle w:val="Odstavecseseznamem"/>
        <w:keepLines w:val="0"/>
        <w:numPr>
          <w:ilvl w:val="0"/>
          <w:numId w:val="51"/>
        </w:numPr>
        <w:tabs>
          <w:tab w:val="clear" w:pos="851"/>
        </w:tabs>
        <w:spacing w:after="120"/>
        <w:ind w:leftChars="-157" w:left="-1" w:right="70" w:hangingChars="176" w:hanging="282"/>
        <w:rPr>
          <w:rFonts w:asciiTheme="minorHAnsi" w:hAnsiTheme="minorHAnsi" w:cstheme="minorHAnsi"/>
          <w:sz w:val="16"/>
          <w:szCs w:val="16"/>
        </w:rPr>
      </w:pPr>
      <w:r w:rsidRPr="009E1961">
        <w:rPr>
          <w:rFonts w:asciiTheme="minorHAnsi" w:hAnsiTheme="minorHAnsi" w:cstheme="minorHAnsi"/>
          <w:sz w:val="16"/>
          <w:szCs w:val="16"/>
        </w:rPr>
        <w:t xml:space="preserve">Společnost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nebude odpovědná vůči skupině Klienta za jakékoli nároky, závazky, ztráty, škody, náklady nebo výdaje vyplývající ze Smlouvy nebo v souvislosti s ní bez ohledu na právní základ („Nároky“) v souhrnné částce převyšující (i) padesát tisíc eur nebo, je-li vyšší, (</w:t>
      </w:r>
      <w:proofErr w:type="spellStart"/>
      <w:r w:rsidRPr="009E1961">
        <w:rPr>
          <w:rFonts w:asciiTheme="minorHAnsi" w:hAnsiTheme="minorHAnsi" w:cstheme="minorHAnsi"/>
          <w:sz w:val="16"/>
          <w:szCs w:val="16"/>
        </w:rPr>
        <w:t>ii</w:t>
      </w:r>
      <w:proofErr w:type="spellEnd"/>
      <w:r w:rsidRPr="009E1961">
        <w:rPr>
          <w:rFonts w:asciiTheme="minorHAnsi" w:hAnsiTheme="minorHAnsi" w:cstheme="minorHAnsi"/>
          <w:sz w:val="16"/>
          <w:szCs w:val="16"/>
        </w:rPr>
        <w:t xml:space="preserve">) cenu hrazenou podle této Smlouvy Klientem společnosti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za tu část Služeb, v souvislosti s kterými došlo ke vzniku Nároku, maximálně však do výše dvě stě padesát tisíc eur, ani nebude povinna nahradit jakoukoliv škodu Klienta nebo Skupiny Klienta, která převyšuje shora uvedené limity, vyjma případů, kdy dle pravomocného soudního rozhodnutí Nárok původně vyplynul z</w:t>
      </w:r>
      <w:r w:rsidRPr="009E1961">
        <w:rPr>
          <w:rFonts w:asciiTheme="minorHAnsi" w:hAnsiTheme="minorHAnsi" w:cstheme="minorHAnsi"/>
          <w:b/>
          <w:sz w:val="16"/>
          <w:szCs w:val="16"/>
        </w:rPr>
        <w:t> </w:t>
      </w:r>
      <w:r w:rsidRPr="009E1961" w:rsidDel="00322094">
        <w:rPr>
          <w:rFonts w:asciiTheme="minorHAnsi" w:hAnsiTheme="minorHAnsi" w:cstheme="minorHAnsi"/>
          <w:sz w:val="16"/>
          <w:szCs w:val="16"/>
        </w:rPr>
        <w:t xml:space="preserve"> </w:t>
      </w:r>
      <w:r w:rsidRPr="009E1961">
        <w:rPr>
          <w:rFonts w:asciiTheme="minorHAnsi" w:hAnsiTheme="minorHAnsi" w:cstheme="minorHAnsi"/>
          <w:sz w:val="16"/>
          <w:szCs w:val="16"/>
        </w:rPr>
        <w:t xml:space="preserve">úmyslného pochybení nebo hrubé nedbalosti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nebo jakéhokoli Subdodavatele.</w:t>
      </w:r>
    </w:p>
    <w:p w14:paraId="4FF817FB" w14:textId="5874553B" w:rsidR="001D56FF" w:rsidRPr="003D6B57" w:rsidRDefault="001D56FF" w:rsidP="009E1961">
      <w:pPr>
        <w:keepLines w:val="0"/>
        <w:numPr>
          <w:ilvl w:val="0"/>
          <w:numId w:val="51"/>
        </w:numPr>
        <w:tabs>
          <w:tab w:val="clear" w:pos="851"/>
        </w:tabs>
        <w:spacing w:after="120"/>
        <w:ind w:leftChars="-157" w:left="-1" w:right="70" w:hangingChars="176" w:hanging="282"/>
        <w:rPr>
          <w:rFonts w:asciiTheme="minorHAnsi" w:hAnsiTheme="minorHAnsi" w:cstheme="minorHAnsi"/>
          <w:sz w:val="16"/>
          <w:szCs w:val="16"/>
        </w:rPr>
      </w:pPr>
      <w:r>
        <w:rPr>
          <w:rFonts w:asciiTheme="minorHAnsi" w:hAnsiTheme="minorHAnsi" w:cstheme="minorHAnsi"/>
          <w:sz w:val="16"/>
          <w:szCs w:val="16"/>
        </w:rPr>
        <w:lastRenderedPageBreak/>
        <w:t>V rozsahu do</w:t>
      </w:r>
      <w:r w:rsidRPr="003D6B57">
        <w:rPr>
          <w:rFonts w:asciiTheme="minorHAnsi" w:hAnsiTheme="minorHAnsi" w:cstheme="minorHAnsi"/>
          <w:sz w:val="16"/>
          <w:szCs w:val="16"/>
        </w:rPr>
        <w:t>volené</w:t>
      </w:r>
      <w:r>
        <w:rPr>
          <w:rFonts w:asciiTheme="minorHAnsi" w:hAnsiTheme="minorHAnsi" w:cstheme="minorHAnsi"/>
          <w:sz w:val="16"/>
          <w:szCs w:val="16"/>
        </w:rPr>
        <w:t>m</w:t>
      </w:r>
      <w:r w:rsidRPr="003D6B57">
        <w:rPr>
          <w:rFonts w:asciiTheme="minorHAnsi" w:hAnsiTheme="minorHAnsi" w:cstheme="minorHAnsi"/>
          <w:sz w:val="16"/>
          <w:szCs w:val="16"/>
        </w:rPr>
        <w:t xml:space="preserve"> zákonem nebude žádná Společnost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(včetně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a jejích Subdodavatelů) odpovědná za jakoukoli </w:t>
      </w:r>
      <w:r w:rsidRPr="00993D35">
        <w:rPr>
          <w:rFonts w:asciiTheme="minorHAnsi" w:hAnsiTheme="minorHAnsi" w:cstheme="minorHAnsi"/>
          <w:sz w:val="16"/>
          <w:szCs w:val="16"/>
        </w:rPr>
        <w:t>a žádnou ztrátu užívání, smluv, údajů, goodwillu, výnosů nebo zisků (ať jsou považovány za přímé Nároky či nikoli) nebo jakoukoli následnou, zvláštní, nepřímou, náhodnou, represivní nebo exemplární ztrátu, škodu nebo náklad vyplývající ze Smlouvy nebo s ní související</w:t>
      </w:r>
      <w:r w:rsidRPr="003D6B57">
        <w:rPr>
          <w:rFonts w:asciiTheme="minorHAnsi" w:hAnsiTheme="minorHAnsi" w:cstheme="minorHAnsi"/>
          <w:sz w:val="16"/>
          <w:szCs w:val="16"/>
        </w:rPr>
        <w:t xml:space="preserve">. </w:t>
      </w:r>
    </w:p>
    <w:p w14:paraId="7BBCE4AD" w14:textId="77777777" w:rsidR="001D56FF" w:rsidRPr="003D6B57" w:rsidRDefault="001D56FF" w:rsidP="009E1961">
      <w:pPr>
        <w:keepLines w:val="0"/>
        <w:numPr>
          <w:ilvl w:val="0"/>
          <w:numId w:val="51"/>
        </w:numPr>
        <w:tabs>
          <w:tab w:val="clear" w:pos="851"/>
        </w:tabs>
        <w:spacing w:after="120"/>
        <w:ind w:leftChars="-157" w:left="-1" w:right="70" w:hangingChars="176" w:hanging="282"/>
        <w:rPr>
          <w:rFonts w:asciiTheme="minorHAnsi" w:hAnsiTheme="minorHAnsi" w:cstheme="minorHAnsi"/>
          <w:sz w:val="16"/>
          <w:szCs w:val="16"/>
        </w:rPr>
      </w:pPr>
      <w:r>
        <w:rPr>
          <w:rFonts w:asciiTheme="minorHAnsi" w:hAnsiTheme="minorHAnsi" w:cstheme="minorHAnsi"/>
          <w:sz w:val="16"/>
          <w:szCs w:val="16"/>
        </w:rPr>
        <w:t>V případě</w:t>
      </w:r>
      <w:r w:rsidRPr="003D6B57">
        <w:rPr>
          <w:rFonts w:asciiTheme="minorHAnsi" w:hAnsiTheme="minorHAnsi" w:cstheme="minorHAnsi"/>
          <w:sz w:val="16"/>
          <w:szCs w:val="16"/>
        </w:rPr>
        <w:t xml:space="preserve">, </w:t>
      </w:r>
      <w:r>
        <w:rPr>
          <w:rFonts w:asciiTheme="minorHAnsi" w:hAnsiTheme="minorHAnsi" w:cstheme="minorHAnsi"/>
          <w:sz w:val="16"/>
          <w:szCs w:val="16"/>
        </w:rPr>
        <w:t>že</w:t>
      </w:r>
      <w:r w:rsidRPr="003D6B57">
        <w:rPr>
          <w:rFonts w:asciiTheme="minorHAnsi" w:hAnsiTheme="minorHAnsi" w:cstheme="minorHAnsi"/>
          <w:sz w:val="16"/>
          <w:szCs w:val="16"/>
        </w:rPr>
        <w:t xml:space="preserve"> budou všechna nebo část ustanovení tohoto článku 6 pravomocným rozhodnutím soudu stanovena jako nevymahatelná, úhrnná odpovědnost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a jakékoli 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za jakýkoli Nárok nepřekročí částku, </w:t>
      </w:r>
      <w:r w:rsidRPr="006750A0">
        <w:rPr>
          <w:rFonts w:asciiTheme="minorHAnsi" w:hAnsiTheme="minorHAnsi" w:cstheme="minorHAnsi"/>
          <w:sz w:val="16"/>
          <w:szCs w:val="16"/>
        </w:rPr>
        <w:t>která odpovídá míře jejich zavinění v poměru k veškerým dalším příčinám vzniku takového Nároku.</w:t>
      </w:r>
    </w:p>
    <w:p w14:paraId="189DC1A7" w14:textId="255520E0" w:rsidR="001D56FF" w:rsidRPr="003D6B57" w:rsidRDefault="001D56FF" w:rsidP="009E1961">
      <w:pPr>
        <w:keepLines w:val="0"/>
        <w:numPr>
          <w:ilvl w:val="0"/>
          <w:numId w:val="51"/>
        </w:numPr>
        <w:tabs>
          <w:tab w:val="clear" w:pos="851"/>
        </w:tabs>
        <w:spacing w:after="120"/>
        <w:ind w:leftChars="-157" w:left="-1" w:hangingChars="176" w:hanging="282"/>
        <w:rPr>
          <w:rFonts w:asciiTheme="minorHAnsi" w:hAnsiTheme="minorHAnsi" w:cstheme="minorHAnsi"/>
          <w:sz w:val="16"/>
          <w:szCs w:val="16"/>
        </w:rPr>
      </w:pPr>
      <w:r w:rsidRPr="003D6B57">
        <w:rPr>
          <w:rFonts w:asciiTheme="minorHAnsi" w:hAnsiTheme="minorHAnsi" w:cstheme="minorHAnsi"/>
          <w:sz w:val="16"/>
          <w:szCs w:val="16"/>
        </w:rPr>
        <w:t xml:space="preserve">Odpovědnost společnosti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za Služby se vztahuje pouze k členům skupiny Klienta a Oprávněným osobám určeným ve Smlouvě nebo Výstupu jako osoby oprávněné spoléhat se na Služby, a nikoli ve vztahu k jiným členům skupiny Klienta nebo jiným třetím stranám. Pokud je ve Smluvním dopise určen více než jeden člen skupiny Klienta, odpovědnost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je pouze vůči členům skupiny Klienta, k jejichž prospěchu byly Služby poskytnuty, a vůči Oprávněným osobám, pokud existují, ale za všech okolností se bude na úhrnnou částku odpovědnosti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vůči všem Příjemcům vztahovat omezení odpovědnosti stanovené v článku 6 a) výše a bude tedy muset být mezi Příjemce rozdělena. Je sjednáno, že takové rozdělení bude zcela záležitostí Příjemců, kteří nebudou mít povinnost o rozdělení informovat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a to vždy za předpokladu, že pokud (z jakéhokoli důvodu) není takové rozdělení sjednáno, žádný Příjemce nebude zpochybňovat platnost, vymahatelnost nebo fungování omezení odpovědnosti na tom základě, že žádné rozdělení sjednáno nebylo. Pro odstranění pochybností souhrnná částka takového rozdělení nepřekročí limit platný podle odstavce</w:t>
      </w:r>
      <w:r w:rsidR="006F52E2">
        <w:rPr>
          <w:rFonts w:asciiTheme="minorHAnsi" w:hAnsiTheme="minorHAnsi" w:cstheme="minorHAnsi"/>
          <w:sz w:val="16"/>
          <w:szCs w:val="16"/>
        </w:rPr>
        <w:t xml:space="preserve"> a)</w:t>
      </w:r>
      <w:r w:rsidRPr="003D6B57">
        <w:rPr>
          <w:rFonts w:asciiTheme="minorHAnsi" w:hAnsiTheme="minorHAnsi" w:cstheme="minorHAnsi"/>
          <w:sz w:val="16"/>
          <w:szCs w:val="16"/>
        </w:rPr>
        <w:t xml:space="preserve"> výše.  </w:t>
      </w:r>
    </w:p>
    <w:p w14:paraId="771AE06F" w14:textId="77777777" w:rsidR="001D56FF" w:rsidRPr="003D6B57" w:rsidRDefault="001D56FF" w:rsidP="009E1961">
      <w:pPr>
        <w:keepLines w:val="0"/>
        <w:numPr>
          <w:ilvl w:val="0"/>
          <w:numId w:val="51"/>
        </w:numPr>
        <w:tabs>
          <w:tab w:val="clear" w:pos="851"/>
        </w:tabs>
        <w:spacing w:after="120"/>
        <w:ind w:left="0" w:hanging="357"/>
        <w:rPr>
          <w:rFonts w:asciiTheme="minorHAnsi" w:hAnsiTheme="minorHAnsi" w:cstheme="minorHAnsi"/>
          <w:sz w:val="16"/>
          <w:szCs w:val="16"/>
        </w:rPr>
      </w:pPr>
      <w:r w:rsidRPr="00030987">
        <w:rPr>
          <w:rFonts w:asciiTheme="minorHAnsi" w:hAnsiTheme="minorHAnsi" w:cstheme="minorHAnsi"/>
          <w:sz w:val="16"/>
          <w:szCs w:val="16"/>
        </w:rPr>
        <w:t xml:space="preserve">Omezení odpovědnosti a výše náhrady škody uvedené v odstavci </w:t>
      </w:r>
      <w:r w:rsidRPr="006750A0">
        <w:rPr>
          <w:rFonts w:asciiTheme="minorHAnsi" w:hAnsiTheme="minorHAnsi" w:cstheme="minorHAnsi"/>
          <w:sz w:val="16"/>
          <w:szCs w:val="16"/>
        </w:rPr>
        <w:t xml:space="preserve">6(a) platí souhrnně pro všechny Nároky, které příležitostně vznikají v souvislosti s touto Smlouvou nebo Službami, ať již jsou takové Nároky vzneseny ve stejnou nebo různou dobu nebo jedním či více členy Skupiny Klienta a /nebo jinými osobami. Limit v odstavci 6(a) platí také pro všechny Nároky vůči jakýmkoli jiným </w:t>
      </w:r>
      <w:r>
        <w:rPr>
          <w:rFonts w:asciiTheme="minorHAnsi" w:hAnsiTheme="minorHAnsi" w:cstheme="minorHAnsi"/>
          <w:sz w:val="16"/>
          <w:szCs w:val="16"/>
        </w:rPr>
        <w:t>Společnostem skupiny</w:t>
      </w:r>
      <w:r w:rsidRPr="006750A0">
        <w:rPr>
          <w:rFonts w:asciiTheme="minorHAnsi" w:hAnsiTheme="minorHAnsi" w:cstheme="minorHAnsi"/>
          <w:sz w:val="16"/>
          <w:szCs w:val="16"/>
        </w:rPr>
        <w:t xml:space="preserve"> </w:t>
      </w:r>
      <w:proofErr w:type="spellStart"/>
      <w:r w:rsidRPr="006750A0">
        <w:rPr>
          <w:rFonts w:asciiTheme="minorHAnsi" w:hAnsiTheme="minorHAnsi" w:cstheme="minorHAnsi"/>
          <w:sz w:val="16"/>
          <w:szCs w:val="16"/>
        </w:rPr>
        <w:t>Deloitte</w:t>
      </w:r>
      <w:proofErr w:type="spellEnd"/>
      <w:r w:rsidRPr="006750A0">
        <w:rPr>
          <w:rFonts w:asciiTheme="minorHAnsi" w:hAnsiTheme="minorHAnsi" w:cstheme="minorHAnsi"/>
          <w:sz w:val="16"/>
          <w:szCs w:val="16"/>
        </w:rPr>
        <w:t>, včetně Subdodavatelů, pokud a pouze do té míry, že je právně stanoveno, že kdokoli z nich má odpovědnost podle této Smlouvy nebo Služeb či v souladu s nimi.</w:t>
      </w:r>
      <w:r w:rsidRPr="003D6B57">
        <w:rPr>
          <w:rFonts w:asciiTheme="minorHAnsi" w:hAnsiTheme="minorHAnsi" w:cstheme="minorHAnsi"/>
          <w:sz w:val="16"/>
          <w:szCs w:val="16"/>
        </w:rPr>
        <w:t xml:space="preserve"> </w:t>
      </w:r>
    </w:p>
    <w:p w14:paraId="5D20E813" w14:textId="77777777" w:rsidR="001D56FF" w:rsidRPr="003D6B57" w:rsidRDefault="001D56FF" w:rsidP="009E1961">
      <w:pPr>
        <w:keepLines w:val="0"/>
        <w:numPr>
          <w:ilvl w:val="0"/>
          <w:numId w:val="51"/>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Pokud omezení odpovědnosti pro jiné 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obsažené v článku 1 d) je z jakéhokoli důvodu neúčinné, pak omezení odpovědnosti specifikované v článku 6 se vztahují na jiné 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jako by v tomto článku byly uvedeny. Každý Příjemce zajistí, že žádná z jeho přidružených společností (s výjimkou společnosti, která je sama o sobě Příjemcem) nevznese žádný Nárok, ať je či není založen na tvrzení o nedbalosti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proti jiné 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p>
    <w:p w14:paraId="52741484" w14:textId="77777777" w:rsidR="001D56FF" w:rsidRPr="003D6B57" w:rsidRDefault="001D56FF" w:rsidP="009E1961">
      <w:pPr>
        <w:keepLines w:val="0"/>
        <w:numPr>
          <w:ilvl w:val="0"/>
          <w:numId w:val="51"/>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Společnost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nenese odpovědnost ve vztahu k jakýmkoli produktům a službám třetích stran nebo ve vztahu ke ztrátám nebo škodám vzniklým Klientovi, členům skupiny Klienta a/nebo jiným Oprávněným osobám než těm, které jsou uvedeny v tomto článku. V případě, že Služby nebo jakákoliv jejich část jsou poskytovány Klientovi třetí stranou kromě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společnost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nese odpovědnost pouze v souvislosti se škodami způsobenými porušením jejích povinností stanovených v tomto dokumentu a v míře, která je v souladu s tímto článkem a podle účasti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na poskytovaných Službách. </w:t>
      </w:r>
    </w:p>
    <w:p w14:paraId="4A43F035" w14:textId="77777777" w:rsidR="001D56FF" w:rsidRPr="003D6B57" w:rsidRDefault="001D56FF" w:rsidP="009E1961">
      <w:pPr>
        <w:keepLines w:val="0"/>
        <w:numPr>
          <w:ilvl w:val="0"/>
          <w:numId w:val="51"/>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Za žádných okolností společnost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neponese odpovědnost v souvislosti se škodami způsobenými Příjemci nebo jakoukoli třetí stranou nebo vzniklými </w:t>
      </w:r>
      <w:r w:rsidRPr="003D6B57">
        <w:rPr>
          <w:rFonts w:asciiTheme="minorHAnsi" w:hAnsiTheme="minorHAnsi" w:cstheme="minorHAnsi"/>
          <w:sz w:val="16"/>
          <w:szCs w:val="16"/>
        </w:rPr>
        <w:lastRenderedPageBreak/>
        <w:t xml:space="preserve">jakýmkoli způsobem na základě nedbalosti nebo zanedbání, podvodného jednání nebo opomenutí, zkreslení nebo chyby na straně Příjemců nebo jakékoli třetí strany nebo v souvislosti s nimi. </w:t>
      </w:r>
    </w:p>
    <w:p w14:paraId="2B62FC71" w14:textId="77777777" w:rsidR="001D56FF" w:rsidRPr="003D6B57" w:rsidRDefault="001D56FF" w:rsidP="00015A9A">
      <w:pPr>
        <w:keepNext/>
        <w:keepLines w:val="0"/>
        <w:numPr>
          <w:ilvl w:val="0"/>
          <w:numId w:val="29"/>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Záruky </w:t>
      </w:r>
    </w:p>
    <w:p w14:paraId="0F7B5711" w14:textId="6A049EE0" w:rsidR="001D56FF" w:rsidRPr="009E1961" w:rsidRDefault="001D56FF" w:rsidP="009E1961">
      <w:pPr>
        <w:pStyle w:val="Odstavecseseznamem"/>
        <w:keepLines w:val="0"/>
        <w:numPr>
          <w:ilvl w:val="0"/>
          <w:numId w:val="52"/>
        </w:numPr>
        <w:tabs>
          <w:tab w:val="clear" w:pos="851"/>
        </w:tabs>
        <w:spacing w:after="120"/>
        <w:ind w:left="0"/>
        <w:rPr>
          <w:rFonts w:asciiTheme="minorHAnsi" w:hAnsiTheme="minorHAnsi" w:cstheme="minorHAnsi"/>
          <w:sz w:val="16"/>
          <w:szCs w:val="16"/>
        </w:rPr>
      </w:pPr>
      <w:r w:rsidRPr="009E1961">
        <w:rPr>
          <w:rFonts w:asciiTheme="minorHAnsi" w:hAnsiTheme="minorHAnsi" w:cstheme="minorHAnsi"/>
          <w:sz w:val="16"/>
          <w:szCs w:val="16"/>
        </w:rPr>
        <w:t xml:space="preserve">Tato smlouva je smlouvou o poskytování služeb.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se zaručuje, že bude Služby poskytovat v dobré víře a s odbornou péčí a dovedností. V plné míře povolené zákonem.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odmítá veškeré záruky obchodovatelnosti či vhodnosti Služeb pro specifický účel. </w:t>
      </w:r>
    </w:p>
    <w:p w14:paraId="09C7DCC1" w14:textId="77777777" w:rsidR="001D56FF" w:rsidRPr="003D6B57" w:rsidRDefault="001D56FF" w:rsidP="009E1961">
      <w:pPr>
        <w:keepLines w:val="0"/>
        <w:numPr>
          <w:ilvl w:val="0"/>
          <w:numId w:val="52"/>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Klient může požadovat odstranění jakýchkoli vad za předpokladu, že mohou být odstraněny za přiměřenou cenu a že Klient vady oznámil společnosti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písemně během třiceti dní anebo během záruční doby specifikované závaznými právními předpisy, přičemž výše uvedená doba začíná v okamžiku přijetí Výstupu a/nebo dodávek Služeb podle článku 2 a) (v) výše. Pokud vada nemůže být napravena nebo je pokus o nápravu vady neúspěšný, Klient může zrušit Smlouvu nebo požadovat snížení Ceny za Služby. </w:t>
      </w:r>
    </w:p>
    <w:p w14:paraId="536C86B8" w14:textId="77777777" w:rsidR="001D56FF" w:rsidRPr="003D6B57" w:rsidRDefault="001D56FF" w:rsidP="009E1961">
      <w:pPr>
        <w:keepLines w:val="0"/>
        <w:numPr>
          <w:ilvl w:val="0"/>
          <w:numId w:val="52"/>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Služby budou poskytnuty objektivním, nestranným a profesionálním způsobem, neovlivněným jakýmkoli konkrétním obchodním zájmem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či kohokoli z jeho personálu a bez návaznosti na obdržení jakýchkoli odměn od jiné strany. </w:t>
      </w:r>
    </w:p>
    <w:p w14:paraId="057919F0" w14:textId="77777777" w:rsidR="001D56FF" w:rsidRPr="003D6B57" w:rsidRDefault="001D56FF" w:rsidP="009E1961">
      <w:pPr>
        <w:keepLines w:val="0"/>
        <w:numPr>
          <w:ilvl w:val="0"/>
          <w:numId w:val="52"/>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Společnost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vynaloží přiměřené úsilí, aby poskytla Služby v souladu s harmonogramem, na nějž se odkazuje ve Smluvním dopise nebo je stranami jinak písemně specifikován. Všechna data stanovená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nebo specifikovaná Klientem s ohledem na Služby slouží pouze pro účely plánování a odhadu a nejsou smluvně závazná.  </w:t>
      </w:r>
    </w:p>
    <w:p w14:paraId="11E4BE8B" w14:textId="77777777" w:rsidR="001D56FF" w:rsidRPr="003D6B57" w:rsidRDefault="001D56FF" w:rsidP="002B6BD6">
      <w:pPr>
        <w:keepNext/>
        <w:keepLines w:val="0"/>
        <w:numPr>
          <w:ilvl w:val="0"/>
          <w:numId w:val="29"/>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Vyšší moc </w:t>
      </w:r>
    </w:p>
    <w:p w14:paraId="0F6E905F" w14:textId="7307EA81" w:rsidR="001D56FF" w:rsidRPr="009E1961" w:rsidRDefault="001D56FF" w:rsidP="009E1961">
      <w:pPr>
        <w:pStyle w:val="Odstavecseseznamem"/>
        <w:keepLines w:val="0"/>
        <w:numPr>
          <w:ilvl w:val="0"/>
          <w:numId w:val="53"/>
        </w:numPr>
        <w:tabs>
          <w:tab w:val="clear" w:pos="851"/>
        </w:tabs>
        <w:spacing w:after="120"/>
        <w:ind w:left="0" w:right="70"/>
        <w:rPr>
          <w:rFonts w:asciiTheme="minorHAnsi" w:hAnsiTheme="minorHAnsi" w:cstheme="minorHAnsi"/>
          <w:sz w:val="16"/>
          <w:szCs w:val="16"/>
        </w:rPr>
      </w:pPr>
      <w:r w:rsidRPr="009E1961">
        <w:rPr>
          <w:rFonts w:asciiTheme="minorHAnsi" w:hAnsiTheme="minorHAnsi" w:cstheme="minorHAnsi"/>
          <w:sz w:val="16"/>
          <w:szCs w:val="16"/>
        </w:rPr>
        <w:t xml:space="preserve">Žádná smluvní strana nenese odpovědnost za prodlení nebo za neplnění závazků vyplývajících z této Smlouvy způsobené okolnostmi nebo důvody mimo přiměřenou kontrolu smluvní strany, a to zejména za jednání nebo opomenutí nebo neposkytnutí součinnosti druhou stranou (včetně mj. společností nebo fyzických osob pod její kontrolou nebo jakýchkoli jejich jednotlivých vedoucích, členů dozorčí rady, zaměstnanců, jiného personálu a zástupců), za oheň nebo jinou nahodilou událost, boží zásah, epidemii, bouře, stávku nebo pracovní spor, válku nebo jiné násilí nebo jakýkoli zákon, nařízení nebo požadavek státního či správního orgánu. </w:t>
      </w:r>
    </w:p>
    <w:p w14:paraId="1FA556FE" w14:textId="77777777" w:rsidR="001D56FF" w:rsidRPr="003D6B57" w:rsidRDefault="001D56FF" w:rsidP="009E1961">
      <w:pPr>
        <w:keepLines w:val="0"/>
        <w:numPr>
          <w:ilvl w:val="0"/>
          <w:numId w:val="53"/>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Je-li některé ze smluvních stran zabráněno plnit své závazky z důvodu existence vyšší moci, oznámí druhé smluvní straně tuto okolnost a druhá strana, bude-li to možné, povolí přiměřené prodloužení plnění Smluvního dopisu. Pokud okolnosti vyšší moci trvají více než 3 měsíce, kterákoli ze smluvních stran může Smlouvu ukončit v souladu s ustanovením </w:t>
      </w:r>
      <w:r>
        <w:rPr>
          <w:rFonts w:asciiTheme="minorHAnsi" w:hAnsiTheme="minorHAnsi" w:cstheme="minorHAnsi"/>
          <w:sz w:val="16"/>
          <w:szCs w:val="16"/>
        </w:rPr>
        <w:t xml:space="preserve">čl. 4 </w:t>
      </w:r>
      <w:r w:rsidRPr="003D6B57">
        <w:rPr>
          <w:rFonts w:asciiTheme="minorHAnsi" w:hAnsiTheme="minorHAnsi" w:cstheme="minorHAnsi"/>
          <w:sz w:val="16"/>
          <w:szCs w:val="16"/>
        </w:rPr>
        <w:t>výše.</w:t>
      </w:r>
    </w:p>
    <w:p w14:paraId="250716E2" w14:textId="77777777" w:rsidR="001D56FF" w:rsidRPr="003D6B57" w:rsidRDefault="001D56FF" w:rsidP="002B6BD6">
      <w:pPr>
        <w:keepNext/>
        <w:keepLines w:val="0"/>
        <w:numPr>
          <w:ilvl w:val="0"/>
          <w:numId w:val="29"/>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Omezení žalob </w:t>
      </w:r>
    </w:p>
    <w:p w14:paraId="1C058FF4" w14:textId="77777777" w:rsidR="001D56FF" w:rsidRPr="003D6B57" w:rsidRDefault="001D56FF" w:rsidP="002B6BD6">
      <w:pPr>
        <w:spacing w:after="120"/>
        <w:ind w:right="70"/>
        <w:rPr>
          <w:rFonts w:asciiTheme="minorHAnsi" w:hAnsiTheme="minorHAnsi" w:cstheme="minorHAnsi"/>
          <w:sz w:val="16"/>
          <w:szCs w:val="16"/>
        </w:rPr>
      </w:pPr>
      <w:r w:rsidRPr="003D6B57">
        <w:rPr>
          <w:rFonts w:asciiTheme="minorHAnsi" w:hAnsiTheme="minorHAnsi" w:cstheme="minorHAnsi"/>
          <w:sz w:val="16"/>
          <w:szCs w:val="16"/>
        </w:rPr>
        <w:t xml:space="preserve">Žádná ze smluvních stran nesmí podat žalobu, bez ohledu na formu, vztahující se ke Smlouvě nebo Službám po více než dvou letech po vzniku příčiny žaloby podle platných zákonů, pokud neplatí závazné období, které podle práva, jímž se Smlouva řídí, nemůže být omezeno. </w:t>
      </w:r>
    </w:p>
    <w:p w14:paraId="1C7051CB" w14:textId="77777777" w:rsidR="001D56FF" w:rsidRDefault="001D56FF" w:rsidP="002B6BD6">
      <w:pPr>
        <w:keepNext/>
        <w:spacing w:after="120"/>
        <w:ind w:right="70"/>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 </w:t>
      </w:r>
    </w:p>
    <w:p w14:paraId="1BFE9D88" w14:textId="77777777" w:rsidR="001D56FF" w:rsidRPr="003D6B57" w:rsidRDefault="001D56FF" w:rsidP="002B6BD6">
      <w:pPr>
        <w:keepNext/>
        <w:keepLines w:val="0"/>
        <w:numPr>
          <w:ilvl w:val="0"/>
          <w:numId w:val="29"/>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Důvěrnost informací </w:t>
      </w:r>
    </w:p>
    <w:p w14:paraId="11EE3A82" w14:textId="554F5E0D" w:rsidR="001D56FF" w:rsidRPr="009E1961" w:rsidRDefault="001D56FF" w:rsidP="009E1961">
      <w:pPr>
        <w:pStyle w:val="Odstavecseseznamem"/>
        <w:keepLines w:val="0"/>
        <w:numPr>
          <w:ilvl w:val="0"/>
          <w:numId w:val="54"/>
        </w:numPr>
        <w:tabs>
          <w:tab w:val="clear" w:pos="851"/>
        </w:tabs>
        <w:spacing w:after="120"/>
        <w:ind w:left="0" w:right="70" w:hanging="357"/>
        <w:rPr>
          <w:rFonts w:asciiTheme="minorHAnsi" w:hAnsiTheme="minorHAnsi" w:cstheme="minorHAnsi"/>
          <w:sz w:val="16"/>
          <w:szCs w:val="16"/>
        </w:rPr>
      </w:pPr>
      <w:r w:rsidRPr="009E1961">
        <w:rPr>
          <w:rFonts w:asciiTheme="minorHAnsi" w:hAnsiTheme="minorHAnsi" w:cstheme="minorHAnsi"/>
          <w:sz w:val="16"/>
          <w:szCs w:val="16"/>
        </w:rPr>
        <w:t xml:space="preserve">Pokud v souvislosti s touto Smlouvou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nebo Klient nebo jakýkoli Příjemce, existuje-li („příjemce“) získá informace související se Službami, obchodním tajemstvím nebo jinými informacemi chráněnými vlastnickým právem, které jsou buď označeny sdělující stranou za důvěrné, nebo jsou svou povahou jasně důvěrné („Důvěrné informace“), příjemce je nesdělí žádné třetí straně bez souhlasu sdělující strany, </w:t>
      </w:r>
      <w:proofErr w:type="spellStart"/>
      <w:r w:rsidRPr="009E1961">
        <w:rPr>
          <w:rFonts w:asciiTheme="minorHAnsi" w:hAnsiTheme="minorHAnsi" w:cstheme="minorHAnsi"/>
          <w:sz w:val="16"/>
          <w:szCs w:val="16"/>
        </w:rPr>
        <w:t>výjma</w:t>
      </w:r>
      <w:proofErr w:type="spellEnd"/>
      <w:r w:rsidRPr="009E1961">
        <w:rPr>
          <w:rFonts w:asciiTheme="minorHAnsi" w:hAnsiTheme="minorHAnsi" w:cstheme="minorHAnsi"/>
          <w:sz w:val="16"/>
          <w:szCs w:val="16"/>
        </w:rPr>
        <w:t xml:space="preserve"> právních poradců Klienta </w:t>
      </w:r>
      <w:r w:rsidRPr="009E1961">
        <w:rPr>
          <w:rFonts w:asciiTheme="minorHAnsi" w:hAnsiTheme="minorHAnsi" w:cstheme="minorHAnsi"/>
          <w:sz w:val="16"/>
          <w:szCs w:val="16"/>
        </w:rPr>
        <w:lastRenderedPageBreak/>
        <w:t xml:space="preserve">nebo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a to pouze pro účel získání právní rady nebo pokud to vyžaduje zákon, nařízení, právní nebo správní proces.  </w:t>
      </w:r>
    </w:p>
    <w:p w14:paraId="7B47475E" w14:textId="77777777" w:rsidR="001D56FF" w:rsidRPr="003D6B57" w:rsidRDefault="001D56FF" w:rsidP="009E1961">
      <w:pPr>
        <w:keepLines w:val="0"/>
        <w:numPr>
          <w:ilvl w:val="0"/>
          <w:numId w:val="54"/>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Klient nebo Příjemce, existuje-li, tímto souhlasí, aby společnost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Důvěrné informace sdělila (i) jakékoli 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(včetně Subdodavatelů) a jejich personálu pro jakýkoli účel, včetně správy takových Důvěrných informací (včetně používání interních databází) při dodržení příslušných nařízení o ochraně soukromí a databází a (</w:t>
      </w:r>
      <w:proofErr w:type="spellStart"/>
      <w:r w:rsidRPr="003D6B57">
        <w:rPr>
          <w:rFonts w:asciiTheme="minorHAnsi" w:hAnsiTheme="minorHAnsi" w:cstheme="minorHAnsi"/>
          <w:sz w:val="16"/>
          <w:szCs w:val="16"/>
        </w:rPr>
        <w:t>ii</w:t>
      </w:r>
      <w:proofErr w:type="spellEnd"/>
      <w:r w:rsidRPr="003D6B57">
        <w:rPr>
          <w:rFonts w:asciiTheme="minorHAnsi" w:hAnsiTheme="minorHAnsi" w:cstheme="minorHAnsi"/>
          <w:sz w:val="16"/>
          <w:szCs w:val="16"/>
        </w:rPr>
        <w:t xml:space="preserve">) právním poradcům, auditorům a pojišťovnám, nebo jak může vyžadovat zákon, nařízení, právní nebo správní proces, nebo v souladu s příslušnými profesionálními standardy, nebo v souvislosti s potenciálním nebo skutečným zprostředkováním, arbitráží nebo soudním sporem. Není-li to zakázáno nařízeními o profesním tajemství, povinnost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zachovávat důvěrnost informací se nevztahuje na případy, kdy tyto Důvěrné informace (A) jsou nebo se stanou veřejně dostupnými (včetně mj. informací předkládaných státním orgánům a dostupné veřejnosti) jinak než v důsledku neplnění podmínek ze strany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(B) se stanou dostupnými jakékoli 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která není vázána mlčenlivostí, z jiného zdroje, než je sdělující strana, o níž se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domnívá, že jí není bráněno sdělovat takové Důvěrné informace společnosti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jakýmkoli závazkem zachování důvěrnosti informací, nebo (C) jsou známy jakékoli 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před získáním od sdělující strany bez závazku zachování důvěrnosti informací, nebo (D) na případy informací, které Společnost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vytvoří nezávisle na Důvěrných informacích zveřejněných sdělující stranou. </w:t>
      </w:r>
    </w:p>
    <w:p w14:paraId="7889DF8D" w14:textId="77777777" w:rsidR="001D56FF" w:rsidRPr="003D6B57" w:rsidRDefault="001D56FF" w:rsidP="009E1961">
      <w:pPr>
        <w:keepLines w:val="0"/>
        <w:numPr>
          <w:ilvl w:val="0"/>
          <w:numId w:val="54"/>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Příjemci nesdělí žádné třetí straně jakýkoli Výstup bez výslovného písemného a podmíněného souhlasu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tj. podmíněného podepsáním dalších dokumentů požadovaných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s následujícími výjimkami: (i) sdělení je provedeno do té míry, do jaké příslušné závazné právní předpisy, nařízení, pravidla a profesionální povinnosti zakazují omezování zveřejnění informací, (</w:t>
      </w:r>
      <w:proofErr w:type="spellStart"/>
      <w:r w:rsidRPr="003D6B57">
        <w:rPr>
          <w:rFonts w:asciiTheme="minorHAnsi" w:hAnsiTheme="minorHAnsi" w:cstheme="minorHAnsi"/>
          <w:sz w:val="16"/>
          <w:szCs w:val="16"/>
        </w:rPr>
        <w:t>ii</w:t>
      </w:r>
      <w:proofErr w:type="spellEnd"/>
      <w:r w:rsidRPr="003D6B57">
        <w:rPr>
          <w:rFonts w:asciiTheme="minorHAnsi" w:hAnsiTheme="minorHAnsi" w:cstheme="minorHAnsi"/>
          <w:sz w:val="16"/>
          <w:szCs w:val="16"/>
        </w:rPr>
        <w:t xml:space="preserve">) pokud Klient nebo jeho Přidružené podniky mají cenné papíry registrované Komisí pro cenné papíry a burzy USA a jakákoli Společnost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je auditorem Klienta nebo jeho Přidruženého podniku, kdy v takovém případe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nijak neomezuje sdělení daňového zacházení nebo daňové struktury spojené s daňovými Službami nebo transakcemi popsanými ve Smlouvě a Klient bere na vědomí, že žádný z jeho jiných poradců neuvalil nebo neuvalí omezení na takové daňové zacházení nebo daňovou strukturu, nebo (</w:t>
      </w:r>
      <w:proofErr w:type="spellStart"/>
      <w:r w:rsidRPr="003D6B57">
        <w:rPr>
          <w:rFonts w:asciiTheme="minorHAnsi" w:hAnsiTheme="minorHAnsi" w:cstheme="minorHAnsi"/>
          <w:sz w:val="16"/>
          <w:szCs w:val="16"/>
        </w:rPr>
        <w:t>iii</w:t>
      </w:r>
      <w:proofErr w:type="spellEnd"/>
      <w:r w:rsidRPr="003D6B57">
        <w:rPr>
          <w:rFonts w:asciiTheme="minorHAnsi" w:hAnsiTheme="minorHAnsi" w:cstheme="minorHAnsi"/>
          <w:sz w:val="16"/>
          <w:szCs w:val="16"/>
        </w:rPr>
        <w:t>) v míře, v jaké jsou uplatňovány daňový zákon USA a příslušné pokyny daňové správy související s důvěrnými daňovými útočišti (nebo srovnatelné zákony nebo pokyny jiných daňových úřadů v jiné jurisdikci), kdy v takovém případě neexistují omezení zveřejnění Výstupu, a (</w:t>
      </w:r>
      <w:proofErr w:type="spellStart"/>
      <w:r w:rsidRPr="003D6B57">
        <w:rPr>
          <w:rFonts w:asciiTheme="minorHAnsi" w:hAnsiTheme="minorHAnsi" w:cstheme="minorHAnsi"/>
          <w:sz w:val="16"/>
          <w:szCs w:val="16"/>
        </w:rPr>
        <w:t>iv</w:t>
      </w:r>
      <w:proofErr w:type="spellEnd"/>
      <w:r w:rsidRPr="003D6B57">
        <w:rPr>
          <w:rFonts w:asciiTheme="minorHAnsi" w:hAnsiTheme="minorHAnsi" w:cstheme="minorHAnsi"/>
          <w:sz w:val="16"/>
          <w:szCs w:val="16"/>
        </w:rPr>
        <w:t xml:space="preserve">) Klient může zveřejnit Výstup na základě potřeby znalosti jakýmkoli Přidruženým podnikům, které nejsou určeny ve Smluvním dopise, pouze pro informační účely, a to za předpokladu, že se Klient zaručí, že se příjemce zaváže uchovávat takový Výstup v tajnosti a neuplatňovat žádný nárok jakéhokoli druhu vůči 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ve vztahu k Výstupu nebo Službám. </w:t>
      </w:r>
    </w:p>
    <w:p w14:paraId="5C520E8B" w14:textId="77777777" w:rsidR="001D56FF" w:rsidRPr="003D6B57" w:rsidRDefault="001D56FF" w:rsidP="009E1961">
      <w:pPr>
        <w:keepLines w:val="0"/>
        <w:numPr>
          <w:ilvl w:val="0"/>
          <w:numId w:val="54"/>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Klient a/nebo Příjemce použije Výstup pouze pro účely specifikované ve Smlouvě nebo Výstupu</w:t>
      </w:r>
      <w:r w:rsidRPr="00D9489A">
        <w:rPr>
          <w:rFonts w:asciiTheme="minorHAnsi" w:hAnsiTheme="minorHAnsi" w:cstheme="minorHAnsi"/>
          <w:sz w:val="16"/>
          <w:szCs w:val="16"/>
        </w:rPr>
        <w:t>, přičemž není zejména oprávněn</w:t>
      </w:r>
      <w:r w:rsidRPr="003D6B57" w:rsidDel="00D9489A">
        <w:rPr>
          <w:rFonts w:asciiTheme="minorHAnsi" w:hAnsiTheme="minorHAnsi" w:cstheme="minorHAnsi"/>
          <w:sz w:val="16"/>
          <w:szCs w:val="16"/>
        </w:rPr>
        <w:t xml:space="preserve"> </w:t>
      </w:r>
      <w:r w:rsidRPr="003D6B57">
        <w:rPr>
          <w:rFonts w:asciiTheme="minorHAnsi" w:hAnsiTheme="minorHAnsi" w:cstheme="minorHAnsi"/>
          <w:sz w:val="16"/>
          <w:szCs w:val="16"/>
        </w:rPr>
        <w:t xml:space="preserve">bez předchozího písemného souhlasu (včetně souhlasu prostřednictvím emailu)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použít jakýkoli Výstup v souvislosti s obchodními rozhodnutími jakékoli třetí strany nebo pro reklamní účely. Veškeré Služby jsou určeny pouze ve prospěch členů skupiny Klienta určených ve Smlouvě nebo Výstup</w:t>
      </w:r>
      <w:r>
        <w:rPr>
          <w:rFonts w:asciiTheme="minorHAnsi" w:hAnsiTheme="minorHAnsi" w:cstheme="minorHAnsi"/>
          <w:sz w:val="16"/>
          <w:szCs w:val="16"/>
        </w:rPr>
        <w:t>ech</w:t>
      </w:r>
      <w:r w:rsidRPr="003D6B57">
        <w:rPr>
          <w:rFonts w:asciiTheme="minorHAnsi" w:hAnsiTheme="minorHAnsi" w:cstheme="minorHAnsi"/>
          <w:sz w:val="16"/>
          <w:szCs w:val="16"/>
        </w:rPr>
        <w:t xml:space="preserve"> nebo </w:t>
      </w:r>
      <w:r>
        <w:rPr>
          <w:rFonts w:asciiTheme="minorHAnsi" w:hAnsiTheme="minorHAnsi" w:cstheme="minorHAnsi"/>
          <w:sz w:val="16"/>
          <w:szCs w:val="16"/>
        </w:rPr>
        <w:t xml:space="preserve">ve prospěch </w:t>
      </w:r>
      <w:r w:rsidRPr="003D6B57">
        <w:rPr>
          <w:rFonts w:asciiTheme="minorHAnsi" w:hAnsiTheme="minorHAnsi" w:cstheme="minorHAnsi"/>
          <w:sz w:val="16"/>
          <w:szCs w:val="16"/>
        </w:rPr>
        <w:t xml:space="preserve">Oprávněných osob, které mají právo spoléhat se na Výstup. Pouhé přijetí Výstupu jakýmikoli jinými osobami </w:t>
      </w:r>
      <w:r w:rsidRPr="00D9489A">
        <w:rPr>
          <w:rFonts w:asciiTheme="minorHAnsi" w:hAnsiTheme="minorHAnsi" w:cstheme="minorHAnsi"/>
          <w:sz w:val="16"/>
          <w:szCs w:val="16"/>
        </w:rPr>
        <w:t xml:space="preserve">nebude důvodem pro vznik jakékoliv povinnosti, právního vztahu nebo současné či budoucí odpovědnosti mezi takovými osobami a společností </w:t>
      </w:r>
      <w:proofErr w:type="spellStart"/>
      <w:r w:rsidRPr="00D9489A">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Jsou-li tedy </w:t>
      </w:r>
      <w:r w:rsidRPr="003D6B57">
        <w:rPr>
          <w:rFonts w:asciiTheme="minorHAnsi" w:hAnsiTheme="minorHAnsi" w:cstheme="minorHAnsi"/>
          <w:sz w:val="16"/>
          <w:szCs w:val="16"/>
        </w:rPr>
        <w:lastRenderedPageBreak/>
        <w:t xml:space="preserve">poskytnuty kopie Výstupu (nebo informací z něj odvozených) jiným osobám podle výjimek uvedených výše, </w:t>
      </w:r>
      <w:r w:rsidRPr="00D9489A">
        <w:rPr>
          <w:rFonts w:asciiTheme="minorHAnsi" w:hAnsiTheme="minorHAnsi" w:cstheme="minorHAnsi"/>
          <w:sz w:val="16"/>
          <w:szCs w:val="16"/>
        </w:rPr>
        <w:t xml:space="preserve">stane se tak výhradně na základě toho, že </w:t>
      </w:r>
      <w:proofErr w:type="spellStart"/>
      <w:r w:rsidRPr="00D9489A">
        <w:rPr>
          <w:rFonts w:asciiTheme="minorHAnsi" w:hAnsiTheme="minorHAnsi" w:cstheme="minorHAnsi"/>
          <w:sz w:val="16"/>
          <w:szCs w:val="16"/>
        </w:rPr>
        <w:t>Deloitte</w:t>
      </w:r>
      <w:proofErr w:type="spellEnd"/>
      <w:r w:rsidRPr="00D9489A">
        <w:rPr>
          <w:rFonts w:asciiTheme="minorHAnsi" w:hAnsiTheme="minorHAnsi" w:cstheme="minorHAnsi"/>
          <w:sz w:val="16"/>
          <w:szCs w:val="16"/>
        </w:rPr>
        <w:t xml:space="preserve"> nebude mít jakoukoliv povinnost či odpovědnost vůči Třetím osobám, či dalším osobám, které získají výše uvedené</w:t>
      </w:r>
      <w:r w:rsidRPr="003D6B57">
        <w:rPr>
          <w:rFonts w:asciiTheme="minorHAnsi" w:hAnsiTheme="minorHAnsi" w:cstheme="minorHAnsi"/>
          <w:sz w:val="16"/>
          <w:szCs w:val="16"/>
        </w:rPr>
        <w:t xml:space="preserve">. </w:t>
      </w:r>
    </w:p>
    <w:p w14:paraId="5304E11B" w14:textId="77777777" w:rsidR="001D56FF" w:rsidRPr="003D6B57" w:rsidRDefault="001D56FF" w:rsidP="009E1961">
      <w:pPr>
        <w:keepLines w:val="0"/>
        <w:numPr>
          <w:ilvl w:val="0"/>
          <w:numId w:val="54"/>
        </w:numPr>
        <w:tabs>
          <w:tab w:val="clear" w:pos="851"/>
        </w:tabs>
        <w:spacing w:after="120"/>
        <w:ind w:left="0" w:hanging="357"/>
        <w:rPr>
          <w:rFonts w:asciiTheme="minorHAnsi" w:hAnsiTheme="minorHAnsi" w:cstheme="minorHAnsi"/>
          <w:sz w:val="16"/>
          <w:szCs w:val="16"/>
          <w:shd w:val="clear" w:color="auto" w:fill="FFFFFF"/>
        </w:rPr>
      </w:pPr>
      <w:r w:rsidRPr="003D6B57">
        <w:rPr>
          <w:rFonts w:asciiTheme="minorHAnsi" w:hAnsiTheme="minorHAnsi" w:cstheme="minorHAnsi"/>
          <w:sz w:val="16"/>
          <w:szCs w:val="16"/>
          <w:shd w:val="clear" w:color="auto" w:fill="FFFFFF"/>
        </w:rPr>
        <w:t xml:space="preserve">Při poskytování Služeb může jakákoli Společnost skupiny </w:t>
      </w:r>
      <w:proofErr w:type="spellStart"/>
      <w:r w:rsidRPr="003D6B57">
        <w:rPr>
          <w:rFonts w:asciiTheme="minorHAnsi" w:hAnsiTheme="minorHAnsi" w:cstheme="minorHAnsi"/>
          <w:sz w:val="16"/>
          <w:szCs w:val="16"/>
          <w:shd w:val="clear" w:color="auto" w:fill="FFFFFF"/>
        </w:rPr>
        <w:t>Deloitte</w:t>
      </w:r>
      <w:proofErr w:type="spellEnd"/>
      <w:r w:rsidRPr="003D6B57">
        <w:rPr>
          <w:rFonts w:asciiTheme="minorHAnsi" w:hAnsiTheme="minorHAnsi" w:cstheme="minorHAnsi"/>
          <w:sz w:val="16"/>
          <w:szCs w:val="16"/>
          <w:shd w:val="clear" w:color="auto" w:fill="FFFFFF"/>
        </w:rPr>
        <w:t xml:space="preserve"> nebo jakýkoli Subdodavatel sdělovat nebo projednávat záležitosti Klienta s ostatními poradci Klienta a může tak učinit, aniž by byla vázána povinností mlčenlivosti. </w:t>
      </w:r>
      <w:proofErr w:type="spellStart"/>
      <w:r w:rsidRPr="003D6B57">
        <w:rPr>
          <w:rFonts w:asciiTheme="minorHAnsi" w:hAnsiTheme="minorHAnsi" w:cstheme="minorHAnsi"/>
          <w:sz w:val="16"/>
          <w:szCs w:val="16"/>
          <w:shd w:val="clear" w:color="auto" w:fill="FFFFFF"/>
        </w:rPr>
        <w:t>Deloitte</w:t>
      </w:r>
      <w:proofErr w:type="spellEnd"/>
      <w:r w:rsidRPr="003D6B57">
        <w:rPr>
          <w:rFonts w:asciiTheme="minorHAnsi" w:hAnsiTheme="minorHAnsi" w:cstheme="minorHAnsi"/>
          <w:sz w:val="16"/>
          <w:szCs w:val="16"/>
          <w:shd w:val="clear" w:color="auto" w:fill="FFFFFF"/>
        </w:rPr>
        <w:t xml:space="preserve">, žádná Společnost skupiny </w:t>
      </w:r>
      <w:proofErr w:type="spellStart"/>
      <w:r w:rsidRPr="003D6B57">
        <w:rPr>
          <w:rFonts w:asciiTheme="minorHAnsi" w:hAnsiTheme="minorHAnsi" w:cstheme="minorHAnsi"/>
          <w:sz w:val="16"/>
          <w:szCs w:val="16"/>
          <w:shd w:val="clear" w:color="auto" w:fill="FFFFFF"/>
        </w:rPr>
        <w:t>Deloitte</w:t>
      </w:r>
      <w:proofErr w:type="spellEnd"/>
      <w:r w:rsidRPr="003D6B57">
        <w:rPr>
          <w:rFonts w:asciiTheme="minorHAnsi" w:hAnsiTheme="minorHAnsi" w:cstheme="minorHAnsi"/>
          <w:sz w:val="16"/>
          <w:szCs w:val="16"/>
          <w:shd w:val="clear" w:color="auto" w:fill="FFFFFF"/>
        </w:rPr>
        <w:t xml:space="preserve"> ani žádný Subdodavatel neponese odpovědnost za jakékoli následné použití těchto informací těmito poradci. Klient by neměl předpokládat, že informace, které </w:t>
      </w:r>
      <w:proofErr w:type="spellStart"/>
      <w:r w:rsidRPr="003D6B57">
        <w:rPr>
          <w:rFonts w:asciiTheme="minorHAnsi" w:hAnsiTheme="minorHAnsi" w:cstheme="minorHAnsi"/>
          <w:sz w:val="16"/>
          <w:szCs w:val="16"/>
          <w:shd w:val="clear" w:color="auto" w:fill="FFFFFF"/>
        </w:rPr>
        <w:t>Deloitte</w:t>
      </w:r>
      <w:proofErr w:type="spellEnd"/>
      <w:r w:rsidRPr="003D6B57">
        <w:rPr>
          <w:rFonts w:asciiTheme="minorHAnsi" w:hAnsiTheme="minorHAnsi" w:cstheme="minorHAnsi"/>
          <w:sz w:val="16"/>
          <w:szCs w:val="16"/>
          <w:shd w:val="clear" w:color="auto" w:fill="FFFFFF"/>
        </w:rPr>
        <w:t xml:space="preserve">, Společnost skupiny </w:t>
      </w:r>
      <w:proofErr w:type="spellStart"/>
      <w:r w:rsidRPr="003D6B57">
        <w:rPr>
          <w:rFonts w:asciiTheme="minorHAnsi" w:hAnsiTheme="minorHAnsi" w:cstheme="minorHAnsi"/>
          <w:sz w:val="16"/>
          <w:szCs w:val="16"/>
          <w:shd w:val="clear" w:color="auto" w:fill="FFFFFF"/>
        </w:rPr>
        <w:t>Deloitte</w:t>
      </w:r>
      <w:proofErr w:type="spellEnd"/>
      <w:r w:rsidRPr="003D6B57">
        <w:rPr>
          <w:rFonts w:asciiTheme="minorHAnsi" w:hAnsiTheme="minorHAnsi" w:cstheme="minorHAnsi"/>
          <w:sz w:val="16"/>
          <w:szCs w:val="16"/>
          <w:shd w:val="clear" w:color="auto" w:fill="FFFFFF"/>
        </w:rPr>
        <w:t xml:space="preserve"> nebo Subdodavatel má nebo získal během poskytování Služeb, budou těmto dalším poradcům sděleny.  </w:t>
      </w:r>
    </w:p>
    <w:p w14:paraId="7D3CB740" w14:textId="77777777" w:rsidR="001D56FF" w:rsidRPr="003D6B57" w:rsidRDefault="001D56FF" w:rsidP="009E1961">
      <w:pPr>
        <w:keepLines w:val="0"/>
        <w:numPr>
          <w:ilvl w:val="0"/>
          <w:numId w:val="54"/>
        </w:numPr>
        <w:tabs>
          <w:tab w:val="clear" w:pos="851"/>
        </w:tabs>
        <w:spacing w:after="120"/>
        <w:ind w:left="0" w:right="70" w:hanging="357"/>
        <w:rPr>
          <w:rFonts w:asciiTheme="minorHAnsi" w:hAnsiTheme="minorHAnsi" w:cstheme="minorHAnsi"/>
          <w:sz w:val="16"/>
          <w:szCs w:val="16"/>
          <w:shd w:val="clear" w:color="auto" w:fill="FFFFFF"/>
        </w:rPr>
      </w:pPr>
      <w:r w:rsidRPr="003D6B57">
        <w:rPr>
          <w:rFonts w:asciiTheme="minorHAnsi" w:hAnsiTheme="minorHAnsi" w:cstheme="minorHAnsi"/>
          <w:sz w:val="16"/>
          <w:szCs w:val="16"/>
          <w:shd w:val="clear" w:color="auto" w:fill="FFFFFF"/>
        </w:rPr>
        <w:t xml:space="preserve">Klient souhlasí, že nahradí jakékoli náklady, které mohou vzniknout jakékoli Společnosti skupiny </w:t>
      </w:r>
      <w:proofErr w:type="spellStart"/>
      <w:r w:rsidRPr="003D6B57">
        <w:rPr>
          <w:rFonts w:asciiTheme="minorHAnsi" w:hAnsiTheme="minorHAnsi" w:cstheme="minorHAnsi"/>
          <w:sz w:val="16"/>
          <w:szCs w:val="16"/>
          <w:shd w:val="clear" w:color="auto" w:fill="FFFFFF"/>
        </w:rPr>
        <w:t>Deloitte</w:t>
      </w:r>
      <w:proofErr w:type="spellEnd"/>
      <w:r w:rsidRPr="003D6B57">
        <w:rPr>
          <w:rFonts w:asciiTheme="minorHAnsi" w:hAnsiTheme="minorHAnsi" w:cstheme="minorHAnsi"/>
          <w:sz w:val="16"/>
          <w:szCs w:val="16"/>
          <w:shd w:val="clear" w:color="auto" w:fill="FFFFFF"/>
        </w:rPr>
        <w:t xml:space="preserve"> nebo jakémukoli Subdodavateli při plnění právních, profesionálních nebo regulačních nařízení o zveřejnění informací souvisejících se Službami a stanovených v jakémkoli řízení nebo regulatorním procesu, </w:t>
      </w:r>
      <w:r>
        <w:rPr>
          <w:rFonts w:asciiTheme="minorHAnsi" w:hAnsiTheme="minorHAnsi" w:cstheme="minorHAnsi"/>
          <w:sz w:val="16"/>
          <w:szCs w:val="16"/>
          <w:shd w:val="clear" w:color="auto" w:fill="FFFFFF"/>
        </w:rPr>
        <w:t>to se netýká</w:t>
      </w:r>
      <w:r w:rsidRPr="003D6B57">
        <w:rPr>
          <w:rFonts w:asciiTheme="minorHAnsi" w:hAnsiTheme="minorHAnsi" w:cstheme="minorHAnsi"/>
          <w:sz w:val="16"/>
          <w:szCs w:val="16"/>
          <w:shd w:val="clear" w:color="auto" w:fill="FFFFFF"/>
        </w:rPr>
        <w:t xml:space="preserve"> významný</w:t>
      </w:r>
      <w:r>
        <w:rPr>
          <w:rFonts w:asciiTheme="minorHAnsi" w:hAnsiTheme="minorHAnsi" w:cstheme="minorHAnsi"/>
          <w:sz w:val="16"/>
          <w:szCs w:val="16"/>
          <w:shd w:val="clear" w:color="auto" w:fill="FFFFFF"/>
        </w:rPr>
        <w:t>ch</w:t>
      </w:r>
      <w:r w:rsidRPr="003D6B57">
        <w:rPr>
          <w:rFonts w:asciiTheme="minorHAnsi" w:hAnsiTheme="minorHAnsi" w:cstheme="minorHAnsi"/>
          <w:sz w:val="16"/>
          <w:szCs w:val="16"/>
          <w:shd w:val="clear" w:color="auto" w:fill="FFFFFF"/>
        </w:rPr>
        <w:t xml:space="preserve"> nárok</w:t>
      </w:r>
      <w:r>
        <w:rPr>
          <w:rFonts w:asciiTheme="minorHAnsi" w:hAnsiTheme="minorHAnsi" w:cstheme="minorHAnsi"/>
          <w:sz w:val="16"/>
          <w:szCs w:val="16"/>
          <w:shd w:val="clear" w:color="auto" w:fill="FFFFFF"/>
        </w:rPr>
        <w:t>ů</w:t>
      </w:r>
      <w:r w:rsidRPr="003D6B57">
        <w:rPr>
          <w:rFonts w:asciiTheme="minorHAnsi" w:hAnsiTheme="minorHAnsi" w:cstheme="minorHAnsi"/>
          <w:sz w:val="16"/>
          <w:szCs w:val="16"/>
          <w:shd w:val="clear" w:color="auto" w:fill="FFFFFF"/>
        </w:rPr>
        <w:t xml:space="preserve"> nebo řízení proti Společnosti skupiny </w:t>
      </w:r>
      <w:proofErr w:type="spellStart"/>
      <w:r w:rsidRPr="003D6B57">
        <w:rPr>
          <w:rFonts w:asciiTheme="minorHAnsi" w:hAnsiTheme="minorHAnsi" w:cstheme="minorHAnsi"/>
          <w:sz w:val="16"/>
          <w:szCs w:val="16"/>
          <w:shd w:val="clear" w:color="auto" w:fill="FFFFFF"/>
        </w:rPr>
        <w:t>Deloitte</w:t>
      </w:r>
      <w:proofErr w:type="spellEnd"/>
      <w:r w:rsidRPr="003D6B57">
        <w:rPr>
          <w:rFonts w:asciiTheme="minorHAnsi" w:hAnsiTheme="minorHAnsi" w:cstheme="minorHAnsi"/>
          <w:sz w:val="16"/>
          <w:szCs w:val="16"/>
          <w:shd w:val="clear" w:color="auto" w:fill="FFFFFF"/>
        </w:rPr>
        <w:t xml:space="preserve"> nebo Subdodavateli, a to za předpokladu, že je Klient informován okamžitě, a je-li to </w:t>
      </w:r>
      <w:r>
        <w:rPr>
          <w:rFonts w:asciiTheme="minorHAnsi" w:hAnsiTheme="minorHAnsi" w:cstheme="minorHAnsi"/>
          <w:sz w:val="16"/>
          <w:szCs w:val="16"/>
          <w:shd w:val="clear" w:color="auto" w:fill="FFFFFF"/>
        </w:rPr>
        <w:t>rozumně</w:t>
      </w:r>
      <w:r w:rsidRPr="003D6B57">
        <w:rPr>
          <w:rFonts w:asciiTheme="minorHAnsi" w:hAnsiTheme="minorHAnsi" w:cstheme="minorHAnsi"/>
          <w:sz w:val="16"/>
          <w:szCs w:val="16"/>
          <w:shd w:val="clear" w:color="auto" w:fill="FFFFFF"/>
        </w:rPr>
        <w:t xml:space="preserve"> nebo právně možné, ještě před zveřejněním. </w:t>
      </w:r>
    </w:p>
    <w:p w14:paraId="1D4F086A" w14:textId="77777777" w:rsidR="001D56FF" w:rsidRPr="005E3161" w:rsidRDefault="001D56FF" w:rsidP="009E1961">
      <w:pPr>
        <w:keepLines w:val="0"/>
        <w:numPr>
          <w:ilvl w:val="0"/>
          <w:numId w:val="54"/>
        </w:numPr>
        <w:tabs>
          <w:tab w:val="clear" w:pos="851"/>
        </w:tabs>
        <w:spacing w:after="240"/>
        <w:ind w:left="0" w:right="70" w:hanging="357"/>
        <w:rPr>
          <w:rFonts w:asciiTheme="minorHAnsi" w:hAnsiTheme="minorHAnsi" w:cstheme="minorHAnsi"/>
          <w:sz w:val="16"/>
          <w:szCs w:val="16"/>
          <w:shd w:val="clear" w:color="auto" w:fill="FFFFFF"/>
        </w:rPr>
      </w:pPr>
      <w:r w:rsidRPr="003D6B57">
        <w:rPr>
          <w:rFonts w:asciiTheme="minorHAnsi" w:hAnsiTheme="minorHAnsi" w:cstheme="minorHAnsi"/>
          <w:sz w:val="16"/>
          <w:szCs w:val="16"/>
          <w:shd w:val="clear" w:color="auto" w:fill="FFFFFF"/>
        </w:rPr>
        <w:t xml:space="preserve">Klient je oprávněn požadovat, aby určité části Výstupu byly staženy od Příjemců, kterým byl Výstup vydán na základě Smlouvy za podmínky, že Klient informuje takové Příjemce o skutečnosti, že vydaný Výstup byl editován nebo je neúplný. </w:t>
      </w:r>
    </w:p>
    <w:p w14:paraId="7C028F37" w14:textId="77777777" w:rsidR="001D56FF" w:rsidRPr="003D6B57" w:rsidRDefault="001D56FF" w:rsidP="002B6BD6">
      <w:pPr>
        <w:keepNext/>
        <w:keepLines w:val="0"/>
        <w:numPr>
          <w:ilvl w:val="0"/>
          <w:numId w:val="29"/>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Platnost a výklad </w:t>
      </w:r>
    </w:p>
    <w:p w14:paraId="093D207A" w14:textId="013BB707" w:rsidR="001D56FF" w:rsidRPr="009E1961" w:rsidRDefault="001D56FF" w:rsidP="009E1961">
      <w:pPr>
        <w:pStyle w:val="Odstavecseseznamem"/>
        <w:keepLines w:val="0"/>
        <w:numPr>
          <w:ilvl w:val="0"/>
          <w:numId w:val="55"/>
        </w:numPr>
        <w:tabs>
          <w:tab w:val="clear" w:pos="851"/>
        </w:tabs>
        <w:spacing w:after="120"/>
        <w:ind w:left="0" w:right="70"/>
        <w:rPr>
          <w:rFonts w:asciiTheme="minorHAnsi" w:hAnsiTheme="minorHAnsi" w:cstheme="minorHAnsi"/>
          <w:sz w:val="16"/>
          <w:szCs w:val="16"/>
        </w:rPr>
      </w:pPr>
      <w:r w:rsidRPr="009E1961">
        <w:rPr>
          <w:rFonts w:asciiTheme="minorHAnsi" w:hAnsiTheme="minorHAnsi" w:cstheme="minorHAnsi"/>
          <w:sz w:val="16"/>
          <w:szCs w:val="16"/>
        </w:rPr>
        <w:t xml:space="preserve">Jakákoli ustanovení Smlouvy, která mají výslovně či z povahy věci přetrvat zánik nebo ukončení této Smlouvy, zůstávají v platnosti i po takovémto zániku nebo ukončení, včetně mj. ustanovení, jimiž se řídí doba platnosti a ukončení Smlouvy, vlastnictví majetku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odpovědnost za škody, záruky, omezení žalob, důvěrnost informací, odškodnění, rozhodné právo a řešení sporů. </w:t>
      </w:r>
    </w:p>
    <w:p w14:paraId="0913A697" w14:textId="77777777" w:rsidR="001D56FF" w:rsidRPr="003D6B57" w:rsidRDefault="001D56FF" w:rsidP="009E1961">
      <w:pPr>
        <w:keepLines w:val="0"/>
        <w:numPr>
          <w:ilvl w:val="0"/>
          <w:numId w:val="55"/>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Pokud příslušný soud nebo jiný kompetentní úřad shledá jakékoli ustanovení této smlouvy nevymahatelným jako celek nebo jako část, takové ustanovení nebo příslušná část neovlivní ostatní ustanovení</w:t>
      </w:r>
      <w:r>
        <w:rPr>
          <w:rFonts w:asciiTheme="minorHAnsi" w:hAnsiTheme="minorHAnsi" w:cstheme="minorHAnsi"/>
          <w:sz w:val="16"/>
          <w:szCs w:val="16"/>
        </w:rPr>
        <w:t xml:space="preserve"> Smlouvy</w:t>
      </w:r>
      <w:r w:rsidRPr="003D6B57">
        <w:rPr>
          <w:rFonts w:asciiTheme="minorHAnsi" w:hAnsiTheme="minorHAnsi" w:cstheme="minorHAnsi"/>
          <w:sz w:val="16"/>
          <w:szCs w:val="16"/>
        </w:rPr>
        <w:t xml:space="preserve">, ale toto nevymahatelné ustanovení bude považováno za upravené v rozsahu nezbytném k tomu, aby mohlo být považováno za vymahatelné, při zachování nejvyšší přípustné míry záměru smluvních stran stanoveného v tomto dokumentu. Všechna ustanovení této Smlouvy platí v nejširším rozsahu zákona, ať je to ve smlouvě, stanovách, občanskoprávním sporu (včetně, bez omezení, nedbalosti) nebo jinak, bez ohledu na selhání základního účelu nápravy. </w:t>
      </w:r>
    </w:p>
    <w:p w14:paraId="51EAA028" w14:textId="77777777" w:rsidR="001D56FF" w:rsidRPr="003D6B57" w:rsidRDefault="001D56FF" w:rsidP="009E1961">
      <w:pPr>
        <w:keepLines w:val="0"/>
        <w:numPr>
          <w:ilvl w:val="0"/>
          <w:numId w:val="55"/>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Společnosti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jiné než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r w:rsidRPr="00344372">
        <w:rPr>
          <w:rFonts w:asciiTheme="minorHAnsi" w:hAnsiTheme="minorHAnsi" w:cstheme="minorHAnsi"/>
          <w:sz w:val="16"/>
          <w:szCs w:val="16"/>
        </w:rPr>
        <w:t>považováni za třetí strany, v jejichž prospěch je tato Smlouva sjednána</w:t>
      </w:r>
      <w:r w:rsidRPr="003D6B57">
        <w:rPr>
          <w:rFonts w:asciiTheme="minorHAnsi" w:hAnsiTheme="minorHAnsi" w:cstheme="minorHAnsi"/>
          <w:sz w:val="16"/>
          <w:szCs w:val="16"/>
        </w:rPr>
        <w:t xml:space="preserve">. Každá taková Společnost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včetně Subdodavatele, </w:t>
      </w:r>
      <w:r>
        <w:rPr>
          <w:rFonts w:asciiTheme="minorHAnsi" w:hAnsiTheme="minorHAnsi" w:cstheme="minorHAnsi"/>
          <w:sz w:val="16"/>
          <w:szCs w:val="16"/>
        </w:rPr>
        <w:t>je oprávněn vymáhat ustanovení</w:t>
      </w:r>
      <w:r w:rsidRPr="003D6B57">
        <w:rPr>
          <w:rFonts w:asciiTheme="minorHAnsi" w:hAnsiTheme="minorHAnsi" w:cstheme="minorHAnsi"/>
          <w:sz w:val="16"/>
          <w:szCs w:val="16"/>
        </w:rPr>
        <w:t xml:space="preserve"> této Smlouvy. </w:t>
      </w:r>
    </w:p>
    <w:p w14:paraId="310F0C4D" w14:textId="77777777" w:rsidR="001D56FF" w:rsidRPr="003D6B57" w:rsidRDefault="001D56FF" w:rsidP="002B6BD6">
      <w:pPr>
        <w:keepNext/>
        <w:keepLines w:val="0"/>
        <w:numPr>
          <w:ilvl w:val="0"/>
          <w:numId w:val="29"/>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Postoupení </w:t>
      </w:r>
    </w:p>
    <w:p w14:paraId="2957C3C9" w14:textId="77777777" w:rsidR="001D56FF" w:rsidRPr="003D6B57" w:rsidRDefault="001D56FF" w:rsidP="002B6BD6">
      <w:pPr>
        <w:spacing w:after="120"/>
        <w:ind w:right="70"/>
        <w:rPr>
          <w:rFonts w:asciiTheme="minorHAnsi" w:hAnsiTheme="minorHAnsi" w:cstheme="minorHAnsi"/>
          <w:sz w:val="16"/>
          <w:szCs w:val="16"/>
        </w:rPr>
      </w:pPr>
      <w:r w:rsidRPr="00327C90">
        <w:rPr>
          <w:rFonts w:asciiTheme="minorHAnsi" w:hAnsiTheme="minorHAnsi" w:cstheme="minorHAnsi"/>
          <w:sz w:val="16"/>
          <w:szCs w:val="16"/>
        </w:rPr>
        <w:t xml:space="preserve">Bez předchozího výslovného písemného souhlasu druhé strany (včetně souhlasu prostřednictvím emailu) nesmí žádná strana tuto Smlouvu postoupit či jinak převést, vyjma toho, že společnost </w:t>
      </w:r>
      <w:proofErr w:type="spellStart"/>
      <w:r w:rsidRPr="00327C90">
        <w:rPr>
          <w:rFonts w:asciiTheme="minorHAnsi" w:hAnsiTheme="minorHAnsi" w:cstheme="minorHAnsi"/>
          <w:sz w:val="16"/>
          <w:szCs w:val="16"/>
        </w:rPr>
        <w:t>Deloitte</w:t>
      </w:r>
      <w:proofErr w:type="spellEnd"/>
      <w:r w:rsidRPr="00327C90">
        <w:rPr>
          <w:rFonts w:asciiTheme="minorHAnsi" w:hAnsiTheme="minorHAnsi" w:cstheme="minorHAnsi"/>
          <w:sz w:val="16"/>
          <w:szCs w:val="16"/>
        </w:rPr>
        <w:t xml:space="preserve"> smí postoupit jakákoli ze svých práv a závazků dle této Smlouvy </w:t>
      </w:r>
      <w:r>
        <w:rPr>
          <w:rFonts w:asciiTheme="minorHAnsi" w:hAnsiTheme="minorHAnsi" w:cstheme="minorHAnsi"/>
          <w:sz w:val="16"/>
          <w:szCs w:val="16"/>
        </w:rPr>
        <w:t>jakékoliv Společnosti skupiny</w:t>
      </w:r>
      <w:r w:rsidRPr="00327C90">
        <w:rPr>
          <w:rFonts w:asciiTheme="minorHAnsi" w:hAnsiTheme="minorHAnsi" w:cstheme="minorHAnsi"/>
          <w:sz w:val="16"/>
          <w:szCs w:val="16"/>
        </w:rPr>
        <w:t xml:space="preserve"> </w:t>
      </w:r>
      <w:proofErr w:type="spellStart"/>
      <w:r w:rsidRPr="00327C90">
        <w:rPr>
          <w:rFonts w:asciiTheme="minorHAnsi" w:hAnsiTheme="minorHAnsi" w:cstheme="minorHAnsi"/>
          <w:sz w:val="16"/>
          <w:szCs w:val="16"/>
        </w:rPr>
        <w:t>Deloitte</w:t>
      </w:r>
      <w:proofErr w:type="spellEnd"/>
      <w:r w:rsidRPr="00327C90">
        <w:rPr>
          <w:rFonts w:asciiTheme="minorHAnsi" w:hAnsiTheme="minorHAnsi" w:cstheme="minorHAnsi"/>
          <w:sz w:val="16"/>
          <w:szCs w:val="16"/>
        </w:rPr>
        <w:t xml:space="preserve"> či svému právnímu nástupci. Žádná ze stran přímo ani nepřímo neschválí postoupení či převod jakéhokoli Nároku vůči druhé straně vyplývající z této Smlouvy třetí straně.</w:t>
      </w:r>
      <w:r w:rsidRPr="003D6B57">
        <w:rPr>
          <w:rFonts w:asciiTheme="minorHAnsi" w:hAnsiTheme="minorHAnsi" w:cstheme="minorHAnsi"/>
          <w:sz w:val="16"/>
          <w:szCs w:val="16"/>
        </w:rPr>
        <w:t xml:space="preserve"> </w:t>
      </w:r>
    </w:p>
    <w:p w14:paraId="26FEB962" w14:textId="77777777" w:rsidR="001D56FF" w:rsidRPr="003D6B57" w:rsidRDefault="001D56FF" w:rsidP="002B6BD6">
      <w:pPr>
        <w:keepLines w:val="0"/>
        <w:numPr>
          <w:ilvl w:val="0"/>
          <w:numId w:val="29"/>
        </w:numPr>
        <w:tabs>
          <w:tab w:val="clear" w:pos="851"/>
        </w:tabs>
        <w:spacing w:after="120"/>
        <w:ind w:left="0" w:right="70" w:hanging="357"/>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lastRenderedPageBreak/>
        <w:t xml:space="preserve">Odškodnění </w:t>
      </w:r>
    </w:p>
    <w:p w14:paraId="151AA365" w14:textId="61395888" w:rsidR="001D56FF" w:rsidRPr="009E1961" w:rsidRDefault="001D56FF" w:rsidP="009E1961">
      <w:pPr>
        <w:pStyle w:val="Odstavecseseznamem"/>
        <w:keepLines w:val="0"/>
        <w:numPr>
          <w:ilvl w:val="0"/>
          <w:numId w:val="56"/>
        </w:numPr>
        <w:tabs>
          <w:tab w:val="clear" w:pos="851"/>
        </w:tabs>
        <w:spacing w:after="120"/>
        <w:ind w:left="0" w:right="70"/>
        <w:rPr>
          <w:rFonts w:asciiTheme="minorHAnsi" w:hAnsiTheme="minorHAnsi" w:cstheme="minorHAnsi"/>
          <w:spacing w:val="-3"/>
          <w:sz w:val="16"/>
          <w:szCs w:val="16"/>
        </w:rPr>
      </w:pPr>
      <w:r w:rsidRPr="009E1961">
        <w:rPr>
          <w:rFonts w:asciiTheme="minorHAnsi" w:hAnsiTheme="minorHAnsi" w:cstheme="minorHAnsi"/>
          <w:spacing w:val="-3"/>
          <w:sz w:val="16"/>
          <w:szCs w:val="16"/>
        </w:rPr>
        <w:t xml:space="preserve">Klient odškodní </w:t>
      </w:r>
      <w:proofErr w:type="spellStart"/>
      <w:r w:rsidRPr="009E1961">
        <w:rPr>
          <w:rFonts w:asciiTheme="minorHAnsi" w:hAnsiTheme="minorHAnsi" w:cstheme="minorHAnsi"/>
          <w:spacing w:val="-3"/>
          <w:sz w:val="16"/>
          <w:szCs w:val="16"/>
        </w:rPr>
        <w:t>Deloitte</w:t>
      </w:r>
      <w:proofErr w:type="spellEnd"/>
      <w:r w:rsidRPr="009E1961">
        <w:rPr>
          <w:rFonts w:asciiTheme="minorHAnsi" w:hAnsiTheme="minorHAnsi" w:cstheme="minorHAnsi"/>
          <w:spacing w:val="-3"/>
          <w:sz w:val="16"/>
          <w:szCs w:val="16"/>
        </w:rPr>
        <w:t xml:space="preserve"> a jiné Společnosti skupiny </w:t>
      </w:r>
      <w:proofErr w:type="spellStart"/>
      <w:r w:rsidRPr="009E1961">
        <w:rPr>
          <w:rFonts w:asciiTheme="minorHAnsi" w:hAnsiTheme="minorHAnsi" w:cstheme="minorHAnsi"/>
          <w:spacing w:val="-3"/>
          <w:sz w:val="16"/>
          <w:szCs w:val="16"/>
        </w:rPr>
        <w:t>Deloitte</w:t>
      </w:r>
      <w:proofErr w:type="spellEnd"/>
      <w:r w:rsidRPr="009E1961">
        <w:rPr>
          <w:rFonts w:asciiTheme="minorHAnsi" w:hAnsiTheme="minorHAnsi" w:cstheme="minorHAnsi"/>
          <w:spacing w:val="-3"/>
          <w:sz w:val="16"/>
          <w:szCs w:val="16"/>
        </w:rPr>
        <w:t xml:space="preserve"> za veškeré Nároky třetích stran (jak jsou definovány v ustanovení 6 výše), s výjimkou případů, kdy je pravomocným rozhodnutím soudu stanoveno, že škoda vznikla primárně  úmyslným pochybením </w:t>
      </w:r>
      <w:proofErr w:type="spellStart"/>
      <w:r w:rsidRPr="009E1961">
        <w:rPr>
          <w:rFonts w:asciiTheme="minorHAnsi" w:hAnsiTheme="minorHAnsi" w:cstheme="minorHAnsi"/>
          <w:spacing w:val="-3"/>
          <w:sz w:val="16"/>
          <w:szCs w:val="16"/>
        </w:rPr>
        <w:t>Deloitte</w:t>
      </w:r>
      <w:proofErr w:type="spellEnd"/>
      <w:r w:rsidRPr="009E1961">
        <w:rPr>
          <w:rFonts w:asciiTheme="minorHAnsi" w:hAnsiTheme="minorHAnsi" w:cstheme="minorHAnsi"/>
          <w:spacing w:val="-3"/>
          <w:sz w:val="16"/>
          <w:szCs w:val="16"/>
        </w:rPr>
        <w:t xml:space="preserve"> nebo jiné Společnosti skupiny </w:t>
      </w:r>
      <w:proofErr w:type="spellStart"/>
      <w:r w:rsidRPr="009E1961">
        <w:rPr>
          <w:rFonts w:asciiTheme="minorHAnsi" w:hAnsiTheme="minorHAnsi" w:cstheme="minorHAnsi"/>
          <w:spacing w:val="-3"/>
          <w:sz w:val="16"/>
          <w:szCs w:val="16"/>
        </w:rPr>
        <w:t>Deloitte</w:t>
      </w:r>
      <w:proofErr w:type="spellEnd"/>
      <w:r w:rsidRPr="009E1961">
        <w:rPr>
          <w:rFonts w:asciiTheme="minorHAnsi" w:hAnsiTheme="minorHAnsi" w:cstheme="minorHAnsi"/>
          <w:spacing w:val="-3"/>
          <w:sz w:val="16"/>
          <w:szCs w:val="16"/>
        </w:rPr>
        <w:t xml:space="preserve">. </w:t>
      </w:r>
    </w:p>
    <w:p w14:paraId="39FB1569" w14:textId="77777777" w:rsidR="001D56FF" w:rsidRDefault="001D56FF" w:rsidP="009E1961">
      <w:pPr>
        <w:keepLines w:val="0"/>
        <w:numPr>
          <w:ilvl w:val="0"/>
          <w:numId w:val="56"/>
        </w:numPr>
        <w:tabs>
          <w:tab w:val="clear" w:pos="851"/>
        </w:tabs>
        <w:spacing w:after="120"/>
        <w:ind w:left="0" w:right="70" w:hanging="357"/>
        <w:rPr>
          <w:rFonts w:asciiTheme="minorHAnsi" w:hAnsiTheme="minorHAnsi" w:cstheme="minorHAnsi"/>
          <w:spacing w:val="-3"/>
          <w:sz w:val="16"/>
          <w:szCs w:val="16"/>
        </w:rPr>
      </w:pPr>
      <w:r w:rsidRPr="003D6B57">
        <w:rPr>
          <w:rFonts w:asciiTheme="minorHAnsi" w:hAnsiTheme="minorHAnsi" w:cstheme="minorHAnsi"/>
          <w:spacing w:val="-3"/>
          <w:sz w:val="16"/>
          <w:szCs w:val="16"/>
        </w:rPr>
        <w:t xml:space="preserve">Za okolností, kdy jsou všechna nebo část ustanovení tohoto článku podle pravomocného rozhodnutí soudu považována za </w:t>
      </w:r>
      <w:r>
        <w:rPr>
          <w:rFonts w:asciiTheme="minorHAnsi" w:hAnsiTheme="minorHAnsi" w:cstheme="minorHAnsi"/>
          <w:spacing w:val="-3"/>
          <w:sz w:val="16"/>
          <w:szCs w:val="16"/>
        </w:rPr>
        <w:t>neplatná</w:t>
      </w:r>
      <w:r w:rsidRPr="003D6B57">
        <w:rPr>
          <w:rFonts w:asciiTheme="minorHAnsi" w:hAnsiTheme="minorHAnsi" w:cstheme="minorHAnsi"/>
          <w:spacing w:val="-3"/>
          <w:sz w:val="16"/>
          <w:szCs w:val="16"/>
        </w:rPr>
        <w:t xml:space="preserve">, celková odpovědnost </w:t>
      </w:r>
      <w:proofErr w:type="spellStart"/>
      <w:r w:rsidRPr="003D6B57">
        <w:rPr>
          <w:rFonts w:asciiTheme="minorHAnsi" w:hAnsiTheme="minorHAnsi" w:cstheme="minorHAnsi"/>
          <w:spacing w:val="-3"/>
          <w:sz w:val="16"/>
          <w:szCs w:val="16"/>
        </w:rPr>
        <w:t>Deloitte</w:t>
      </w:r>
      <w:proofErr w:type="spellEnd"/>
      <w:r w:rsidRPr="003D6B57">
        <w:rPr>
          <w:rFonts w:asciiTheme="minorHAnsi" w:hAnsiTheme="minorHAnsi" w:cstheme="minorHAnsi"/>
          <w:spacing w:val="-3"/>
          <w:sz w:val="16"/>
          <w:szCs w:val="16"/>
        </w:rPr>
        <w:t xml:space="preserve"> a všech dalších Společností skupiny </w:t>
      </w:r>
      <w:proofErr w:type="spellStart"/>
      <w:r w:rsidRPr="003D6B57">
        <w:rPr>
          <w:rFonts w:asciiTheme="minorHAnsi" w:hAnsiTheme="minorHAnsi" w:cstheme="minorHAnsi"/>
          <w:spacing w:val="-3"/>
          <w:sz w:val="16"/>
          <w:szCs w:val="16"/>
        </w:rPr>
        <w:t>Deloitte</w:t>
      </w:r>
      <w:proofErr w:type="spellEnd"/>
      <w:r w:rsidRPr="003D6B57">
        <w:rPr>
          <w:rFonts w:asciiTheme="minorHAnsi" w:hAnsiTheme="minorHAnsi" w:cstheme="minorHAnsi"/>
          <w:spacing w:val="-3"/>
          <w:sz w:val="16"/>
          <w:szCs w:val="16"/>
        </w:rPr>
        <w:t xml:space="preserve"> (včetně příslušného personálu) za veškeré Nároky nepřekročí částku, </w:t>
      </w:r>
      <w:r w:rsidRPr="00344372">
        <w:rPr>
          <w:rFonts w:asciiTheme="minorHAnsi" w:hAnsiTheme="minorHAnsi" w:cstheme="minorHAnsi"/>
          <w:spacing w:val="-3"/>
          <w:sz w:val="16"/>
          <w:szCs w:val="16"/>
        </w:rPr>
        <w:t>která odpovídá míře jejich zavinění v poměru k veškerým dalším příčinám vzniku takového Nároku</w:t>
      </w:r>
      <w:r w:rsidRPr="003D6B57">
        <w:rPr>
          <w:rFonts w:asciiTheme="minorHAnsi" w:hAnsiTheme="minorHAnsi" w:cstheme="minorHAnsi"/>
          <w:spacing w:val="-3"/>
          <w:sz w:val="16"/>
          <w:szCs w:val="16"/>
        </w:rPr>
        <w:t xml:space="preserve">. </w:t>
      </w:r>
    </w:p>
    <w:p w14:paraId="70712E11" w14:textId="77777777" w:rsidR="001D56FF" w:rsidRPr="003D6B57" w:rsidRDefault="001D56FF" w:rsidP="00015A9A">
      <w:pPr>
        <w:spacing w:after="120"/>
        <w:rPr>
          <w:rFonts w:asciiTheme="minorHAnsi" w:hAnsiTheme="minorHAnsi" w:cstheme="minorHAnsi"/>
          <w:spacing w:val="-3"/>
          <w:sz w:val="16"/>
          <w:szCs w:val="16"/>
        </w:rPr>
      </w:pPr>
    </w:p>
    <w:p w14:paraId="4101229C" w14:textId="77777777" w:rsidR="001D56FF" w:rsidRPr="003D6B57" w:rsidRDefault="001D56FF" w:rsidP="00015A9A">
      <w:pPr>
        <w:keepNext/>
        <w:keepLines w:val="0"/>
        <w:numPr>
          <w:ilvl w:val="0"/>
          <w:numId w:val="29"/>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Elektronická komunikace </w:t>
      </w:r>
    </w:p>
    <w:p w14:paraId="63998BD1" w14:textId="3BC4D766" w:rsidR="001D56FF" w:rsidRPr="009E1961" w:rsidRDefault="001D56FF" w:rsidP="009E1961">
      <w:pPr>
        <w:pStyle w:val="Odstavecseseznamem"/>
        <w:keepLines w:val="0"/>
        <w:numPr>
          <w:ilvl w:val="0"/>
          <w:numId w:val="57"/>
        </w:numPr>
        <w:tabs>
          <w:tab w:val="clear" w:pos="851"/>
        </w:tabs>
        <w:spacing w:after="120"/>
        <w:ind w:left="0"/>
        <w:rPr>
          <w:rFonts w:asciiTheme="minorHAnsi" w:hAnsiTheme="minorHAnsi" w:cstheme="minorHAnsi"/>
          <w:sz w:val="16"/>
          <w:szCs w:val="16"/>
        </w:rPr>
      </w:pPr>
      <w:r w:rsidRPr="009E1961">
        <w:rPr>
          <w:rFonts w:asciiTheme="minorHAnsi" w:hAnsiTheme="minorHAnsi" w:cstheme="minorHAnsi"/>
          <w:sz w:val="16"/>
          <w:szCs w:val="16"/>
          <w:shd w:val="clear" w:color="auto" w:fill="FFFFFF"/>
        </w:rPr>
        <w:t xml:space="preserve">Pokud není stanoveno písemně jinak, jsou Společnosti skupiny </w:t>
      </w:r>
      <w:proofErr w:type="spellStart"/>
      <w:r w:rsidRPr="009E1961">
        <w:rPr>
          <w:rFonts w:asciiTheme="minorHAnsi" w:hAnsiTheme="minorHAnsi" w:cstheme="minorHAnsi"/>
          <w:sz w:val="16"/>
          <w:szCs w:val="16"/>
          <w:shd w:val="clear" w:color="auto" w:fill="FFFFFF"/>
        </w:rPr>
        <w:t>Deloitte</w:t>
      </w:r>
      <w:proofErr w:type="spellEnd"/>
      <w:r w:rsidRPr="009E1961">
        <w:rPr>
          <w:rFonts w:asciiTheme="minorHAnsi" w:hAnsiTheme="minorHAnsi" w:cstheme="minorHAnsi"/>
          <w:sz w:val="16"/>
          <w:szCs w:val="16"/>
          <w:shd w:val="clear" w:color="auto" w:fill="FFFFFF"/>
        </w:rPr>
        <w:t xml:space="preserve"> a skupina Klienta oprávněny používat řádně adresované faxy, emaily a hlasovou komunikaci pro citlivé i běžné dokumenty a další komunikaci o této Smlouvě i další komunikační prostředky používané nebo přijaté druhou stranou. Společnosti skupiny </w:t>
      </w:r>
      <w:proofErr w:type="spellStart"/>
      <w:r w:rsidRPr="009E1961">
        <w:rPr>
          <w:rFonts w:asciiTheme="minorHAnsi" w:hAnsiTheme="minorHAnsi" w:cstheme="minorHAnsi"/>
          <w:sz w:val="16"/>
          <w:szCs w:val="16"/>
          <w:shd w:val="clear" w:color="auto" w:fill="FFFFFF"/>
        </w:rPr>
        <w:t>Deloitte</w:t>
      </w:r>
      <w:proofErr w:type="spellEnd"/>
      <w:r w:rsidRPr="009E1961">
        <w:rPr>
          <w:rFonts w:asciiTheme="minorHAnsi" w:hAnsiTheme="minorHAnsi" w:cstheme="minorHAnsi"/>
          <w:sz w:val="16"/>
          <w:szCs w:val="16"/>
          <w:shd w:val="clear" w:color="auto" w:fill="FFFFFF"/>
        </w:rPr>
        <w:t xml:space="preserve"> mohou také komunikovat elektronicky s příslušnými úřady, je-li to pro poskytované Služby relevantní. </w:t>
      </w:r>
    </w:p>
    <w:p w14:paraId="1495C644" w14:textId="77777777" w:rsidR="001D56FF" w:rsidRPr="003D6B57" w:rsidRDefault="001D56FF" w:rsidP="009E1961">
      <w:pPr>
        <w:keepLines w:val="0"/>
        <w:numPr>
          <w:ilvl w:val="0"/>
          <w:numId w:val="57"/>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Personál společnosti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může potřebovat přístup k vlastním systémům a údajům společnosti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Klient souhlasí, že povolí (na základě vlastního rozhodnutí) personálu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používat místní síť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proofErr w:type="spellStart"/>
      <w:r w:rsidRPr="003D6B57">
        <w:rPr>
          <w:rFonts w:asciiTheme="minorHAnsi" w:hAnsiTheme="minorHAnsi" w:cstheme="minorHAnsi"/>
          <w:sz w:val="16"/>
          <w:szCs w:val="16"/>
        </w:rPr>
        <w:t>Local</w:t>
      </w:r>
      <w:proofErr w:type="spellEnd"/>
      <w:r w:rsidRPr="003D6B57">
        <w:rPr>
          <w:rFonts w:asciiTheme="minorHAnsi" w:hAnsiTheme="minorHAnsi" w:cstheme="minorHAnsi"/>
          <w:sz w:val="16"/>
          <w:szCs w:val="16"/>
        </w:rPr>
        <w:t xml:space="preserve"> Area Network) v prostorách Klienta a/nebo poskytne personálu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analogové vytáčené spojení nebo internetové připojení, aby se mohl hardware společnosti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(zpravidla přenosné počítače společnosti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používané členy týmu pracujícího na zakázce) připojit k síti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pomocí internetového komunikačního zařízení Klienta nebo skupiny Klienta. Klient dále bere na vědomí, že aby mohl personál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pracovat účelně a efektivně z prostor Klienta a skupiny Klienta, může potřebovat přístup k elektronickým datům Klienta nebo skupiny Klienta a také k internetovým komunikačním zařízením Klienta nebo skupiny Klienta pro účely Smlouvy.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r>
        <w:rPr>
          <w:rFonts w:asciiTheme="minorHAnsi" w:hAnsiTheme="minorHAnsi" w:cstheme="minorHAnsi"/>
          <w:sz w:val="16"/>
          <w:szCs w:val="16"/>
        </w:rPr>
        <w:t>bude mít</w:t>
      </w:r>
      <w:r w:rsidRPr="003D6B57">
        <w:rPr>
          <w:rFonts w:asciiTheme="minorHAnsi" w:hAnsiTheme="minorHAnsi" w:cstheme="minorHAnsi"/>
          <w:sz w:val="16"/>
          <w:szCs w:val="16"/>
        </w:rPr>
        <w:t xml:space="preserve"> přístup k interním sítím, aplikacím, datům nebo dalším systémům Klienta anebo skupiny Klienta </w:t>
      </w:r>
      <w:r>
        <w:rPr>
          <w:rFonts w:asciiTheme="minorHAnsi" w:hAnsiTheme="minorHAnsi" w:cstheme="minorHAnsi"/>
          <w:sz w:val="16"/>
          <w:szCs w:val="16"/>
        </w:rPr>
        <w:t xml:space="preserve">pouze </w:t>
      </w:r>
      <w:r w:rsidRPr="003D6B57">
        <w:rPr>
          <w:rFonts w:asciiTheme="minorHAnsi" w:hAnsiTheme="minorHAnsi" w:cstheme="minorHAnsi"/>
          <w:sz w:val="16"/>
          <w:szCs w:val="16"/>
        </w:rPr>
        <w:t xml:space="preserve">pomocí </w:t>
      </w:r>
      <w:r>
        <w:rPr>
          <w:rFonts w:asciiTheme="minorHAnsi" w:hAnsiTheme="minorHAnsi" w:cstheme="minorHAnsi"/>
          <w:sz w:val="16"/>
          <w:szCs w:val="16"/>
        </w:rPr>
        <w:t xml:space="preserve">koncového </w:t>
      </w:r>
      <w:r w:rsidRPr="003D6B57">
        <w:rPr>
          <w:rFonts w:asciiTheme="minorHAnsi" w:hAnsiTheme="minorHAnsi" w:cstheme="minorHAnsi"/>
          <w:sz w:val="16"/>
          <w:szCs w:val="16"/>
        </w:rPr>
        <w:t xml:space="preserve">hardwaru nebo softwaru, který Klient společnosti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pro tento účel zpřístupní. Přístup k systémům Klienta a skupiny Klienta ze strany personálu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bude </w:t>
      </w:r>
      <w:r>
        <w:rPr>
          <w:rFonts w:asciiTheme="minorHAnsi" w:hAnsiTheme="minorHAnsi" w:cstheme="minorHAnsi"/>
          <w:sz w:val="16"/>
          <w:szCs w:val="16"/>
        </w:rPr>
        <w:t>umožněn pouze za takových</w:t>
      </w:r>
      <w:r w:rsidRPr="003D6B57">
        <w:rPr>
          <w:rFonts w:asciiTheme="minorHAnsi" w:hAnsiTheme="minorHAnsi" w:cstheme="minorHAnsi"/>
          <w:sz w:val="16"/>
          <w:szCs w:val="16"/>
        </w:rPr>
        <w:t xml:space="preserve"> podmínek, které Klient z vlastního rozhodnutí považuje za nezbytné na ochranu bezpečnosti a integrity svých dat a systémů za předpokladu, že jsou předem </w:t>
      </w:r>
      <w:r>
        <w:rPr>
          <w:rFonts w:asciiTheme="minorHAnsi" w:hAnsiTheme="minorHAnsi" w:cstheme="minorHAnsi"/>
          <w:sz w:val="16"/>
          <w:szCs w:val="16"/>
        </w:rPr>
        <w:t xml:space="preserve">oznámeny </w:t>
      </w:r>
      <w:r w:rsidRPr="003D6B57">
        <w:rPr>
          <w:rFonts w:asciiTheme="minorHAnsi" w:hAnsiTheme="minorHAnsi" w:cstheme="minorHAnsi"/>
          <w:sz w:val="16"/>
          <w:szCs w:val="16"/>
        </w:rPr>
        <w:t xml:space="preserve">a </w:t>
      </w:r>
      <w:r>
        <w:rPr>
          <w:rFonts w:asciiTheme="minorHAnsi" w:hAnsiTheme="minorHAnsi" w:cstheme="minorHAnsi"/>
          <w:sz w:val="16"/>
          <w:szCs w:val="16"/>
        </w:rPr>
        <w:t xml:space="preserve">jsou </w:t>
      </w:r>
      <w:r w:rsidRPr="003D6B57">
        <w:rPr>
          <w:rFonts w:asciiTheme="minorHAnsi" w:hAnsiTheme="minorHAnsi" w:cstheme="minorHAnsi"/>
          <w:sz w:val="16"/>
          <w:szCs w:val="16"/>
        </w:rPr>
        <w:t xml:space="preserve">pro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přijatelné. </w:t>
      </w:r>
    </w:p>
    <w:p w14:paraId="50E3E369" w14:textId="77777777" w:rsidR="001D56FF" w:rsidRPr="003D6B57" w:rsidRDefault="001D56FF" w:rsidP="009E1961">
      <w:pPr>
        <w:keepLines w:val="0"/>
        <w:numPr>
          <w:ilvl w:val="0"/>
          <w:numId w:val="57"/>
        </w:numPr>
        <w:tabs>
          <w:tab w:val="clear" w:pos="851"/>
        </w:tabs>
        <w:spacing w:after="120"/>
        <w:ind w:left="0" w:hanging="357"/>
        <w:rPr>
          <w:rFonts w:asciiTheme="minorHAnsi" w:hAnsiTheme="minorHAnsi" w:cstheme="minorHAnsi"/>
          <w:sz w:val="16"/>
          <w:szCs w:val="16"/>
        </w:rPr>
      </w:pPr>
      <w:r w:rsidRPr="00227A07">
        <w:rPr>
          <w:rFonts w:asciiTheme="minorHAnsi" w:hAnsiTheme="minorHAnsi" w:cstheme="minorHAnsi"/>
          <w:sz w:val="16"/>
          <w:szCs w:val="16"/>
        </w:rPr>
        <w:t xml:space="preserve">Obě strany berou na vědomí, že internet je ze své povahy nechráněný prostředek komunikace a že data mohou být znehodnocena, sdělení nejsou vždy doručována okamžitě (nebo vůbec) a že jiné metody komunikace mohou být vhodnější. Elektronická sdělení mohou být též napadena viry. Každá strana bude odpovědná za ochranu svých vlastních systémů a zájmů a v maximálním rozsahu dovoleném zákonem nebude z žádného titulu (smlouva, občanskoprávní delikt či jinak) odpovědná druhé straně za jakoukoli ztrátu, škodu nebo opomenutí jakýmkoli způsobem vyplývající z používání internetu nebo z přístupu jakýchkoli zaměstnanců </w:t>
      </w:r>
      <w:r>
        <w:rPr>
          <w:rFonts w:asciiTheme="minorHAnsi" w:hAnsiTheme="minorHAnsi" w:cstheme="minorHAnsi"/>
          <w:sz w:val="16"/>
          <w:szCs w:val="16"/>
        </w:rPr>
        <w:t>Společnosti skupiny</w:t>
      </w:r>
      <w:r w:rsidRPr="00227A07">
        <w:rPr>
          <w:rFonts w:asciiTheme="minorHAnsi" w:hAnsiTheme="minorHAnsi" w:cstheme="minorHAnsi"/>
          <w:sz w:val="16"/>
          <w:szCs w:val="16"/>
        </w:rPr>
        <w:t xml:space="preserve"> </w:t>
      </w:r>
      <w:proofErr w:type="spellStart"/>
      <w:r w:rsidRPr="00227A07">
        <w:rPr>
          <w:rFonts w:asciiTheme="minorHAnsi" w:hAnsiTheme="minorHAnsi" w:cstheme="minorHAnsi"/>
          <w:sz w:val="16"/>
          <w:szCs w:val="16"/>
        </w:rPr>
        <w:t>Deloitte</w:t>
      </w:r>
      <w:proofErr w:type="spellEnd"/>
      <w:r w:rsidRPr="00227A07">
        <w:rPr>
          <w:rFonts w:asciiTheme="minorHAnsi" w:hAnsiTheme="minorHAnsi" w:cstheme="minorHAnsi"/>
          <w:sz w:val="16"/>
          <w:szCs w:val="16"/>
        </w:rPr>
        <w:t xml:space="preserve"> k sítím, aplikacím, elektronickým datům a jiným systémům Skupiny Klienta</w:t>
      </w:r>
      <w:r w:rsidRPr="003D6B57">
        <w:rPr>
          <w:rFonts w:asciiTheme="minorHAnsi" w:hAnsiTheme="minorHAnsi" w:cstheme="minorHAnsi"/>
          <w:sz w:val="16"/>
          <w:szCs w:val="16"/>
        </w:rPr>
        <w:t xml:space="preserve">. </w:t>
      </w:r>
    </w:p>
    <w:p w14:paraId="519822A3" w14:textId="05110F79" w:rsidR="001D56FF" w:rsidRPr="009E1961" w:rsidRDefault="001D56FF" w:rsidP="009E1961">
      <w:pPr>
        <w:pStyle w:val="Odstavecseseznamem"/>
        <w:keepNext/>
        <w:keepLines w:val="0"/>
        <w:numPr>
          <w:ilvl w:val="0"/>
          <w:numId w:val="29"/>
        </w:numPr>
        <w:tabs>
          <w:tab w:val="clear" w:pos="851"/>
        </w:tabs>
        <w:spacing w:after="120"/>
        <w:ind w:left="0" w:hanging="284"/>
        <w:outlineLvl w:val="0"/>
        <w:rPr>
          <w:rFonts w:asciiTheme="minorHAnsi" w:hAnsiTheme="minorHAnsi" w:cstheme="minorHAnsi"/>
          <w:b/>
          <w:color w:val="92D400"/>
          <w:kern w:val="28"/>
          <w:sz w:val="16"/>
          <w:szCs w:val="16"/>
        </w:rPr>
      </w:pPr>
      <w:r w:rsidRPr="009E1961">
        <w:rPr>
          <w:rFonts w:asciiTheme="minorHAnsi" w:hAnsiTheme="minorHAnsi" w:cstheme="minorHAnsi"/>
          <w:b/>
          <w:color w:val="92D400"/>
          <w:kern w:val="28"/>
          <w:sz w:val="16"/>
          <w:szCs w:val="16"/>
        </w:rPr>
        <w:t xml:space="preserve">Úplná smlouva, úprava a účinnost </w:t>
      </w:r>
    </w:p>
    <w:p w14:paraId="5475ABD8" w14:textId="100BAB02" w:rsidR="001D56FF" w:rsidRPr="00E80251" w:rsidRDefault="001D56FF" w:rsidP="00015A9A">
      <w:pPr>
        <w:keepLines w:val="0"/>
        <w:spacing w:after="120"/>
        <w:rPr>
          <w:rFonts w:asciiTheme="minorHAnsi" w:hAnsiTheme="minorHAnsi" w:cstheme="minorHAnsi"/>
          <w:sz w:val="16"/>
          <w:szCs w:val="16"/>
        </w:rPr>
      </w:pPr>
      <w:r w:rsidRPr="00344372">
        <w:rPr>
          <w:rFonts w:asciiTheme="minorHAnsi" w:hAnsiTheme="minorHAnsi" w:cstheme="minorHAnsi"/>
          <w:sz w:val="16"/>
          <w:szCs w:val="16"/>
        </w:rPr>
        <w:t>Žádná skutečnost diskutovaná před podpisem této Smlouvy</w:t>
      </w:r>
      <w:r w:rsidRPr="00E80251" w:rsidDel="00227A07">
        <w:rPr>
          <w:rFonts w:asciiTheme="minorHAnsi" w:hAnsiTheme="minorHAnsi" w:cstheme="minorHAnsi"/>
          <w:sz w:val="16"/>
          <w:szCs w:val="16"/>
        </w:rPr>
        <w:t xml:space="preserve"> </w:t>
      </w:r>
      <w:r w:rsidRPr="00E80251">
        <w:rPr>
          <w:rFonts w:asciiTheme="minorHAnsi" w:hAnsiTheme="minorHAnsi" w:cstheme="minorHAnsi"/>
          <w:sz w:val="16"/>
          <w:szCs w:val="16"/>
        </w:rPr>
        <w:t xml:space="preserve">netvoří, ani nepředstavuje část, této Smlouvy s výjimkou případů zopakovaných v této Smlouvě. Tato Smlouva nahrazuje veškeré předchozí dohody, ujednání nebo sdělení, písemná (včetně emailových) nebo ústní, </w:t>
      </w:r>
      <w:r w:rsidRPr="00E80251">
        <w:rPr>
          <w:rFonts w:asciiTheme="minorHAnsi" w:hAnsiTheme="minorHAnsi" w:cstheme="minorHAnsi"/>
          <w:sz w:val="16"/>
          <w:szCs w:val="16"/>
        </w:rPr>
        <w:lastRenderedPageBreak/>
        <w:t xml:space="preserve">která se vztahují k jejímu předmětu. Pokud to tato Smlouva výslovně neumožňuje, žádné </w:t>
      </w:r>
      <w:r>
        <w:rPr>
          <w:rFonts w:asciiTheme="minorHAnsi" w:hAnsiTheme="minorHAnsi" w:cstheme="minorHAnsi"/>
          <w:sz w:val="16"/>
          <w:szCs w:val="16"/>
        </w:rPr>
        <w:t>změny</w:t>
      </w:r>
      <w:r w:rsidRPr="00E80251">
        <w:rPr>
          <w:rFonts w:asciiTheme="minorHAnsi" w:hAnsiTheme="minorHAnsi" w:cstheme="minorHAnsi"/>
          <w:sz w:val="16"/>
          <w:szCs w:val="16"/>
        </w:rPr>
        <w:t xml:space="preserve"> této Smlouvy nebudou účinné, pokud nejsou </w:t>
      </w:r>
      <w:r>
        <w:rPr>
          <w:rFonts w:asciiTheme="minorHAnsi" w:hAnsiTheme="minorHAnsi" w:cstheme="minorHAnsi"/>
          <w:sz w:val="16"/>
          <w:szCs w:val="16"/>
        </w:rPr>
        <w:t>vyhotoveny</w:t>
      </w:r>
      <w:r w:rsidRPr="00E80251">
        <w:rPr>
          <w:rFonts w:asciiTheme="minorHAnsi" w:hAnsiTheme="minorHAnsi" w:cstheme="minorHAnsi"/>
          <w:sz w:val="16"/>
          <w:szCs w:val="16"/>
        </w:rPr>
        <w:t xml:space="preserve"> písemně (jinak jsou neplatné) a podepsány </w:t>
      </w:r>
      <w:r>
        <w:rPr>
          <w:rFonts w:asciiTheme="minorHAnsi" w:hAnsiTheme="minorHAnsi" w:cstheme="minorHAnsi"/>
          <w:sz w:val="16"/>
          <w:szCs w:val="16"/>
        </w:rPr>
        <w:t>oprávněnými</w:t>
      </w:r>
      <w:r w:rsidRPr="00E80251">
        <w:rPr>
          <w:rFonts w:asciiTheme="minorHAnsi" w:hAnsiTheme="minorHAnsi" w:cstheme="minorHAnsi"/>
          <w:sz w:val="16"/>
          <w:szCs w:val="16"/>
        </w:rPr>
        <w:t xml:space="preserve"> zástupci obou stran, </w:t>
      </w:r>
      <w:r w:rsidRPr="00344372">
        <w:rPr>
          <w:rFonts w:asciiTheme="minorHAnsi" w:hAnsiTheme="minorHAnsi" w:cstheme="minorHAnsi"/>
          <w:sz w:val="16"/>
          <w:szCs w:val="16"/>
        </w:rPr>
        <w:t>nicméně rozsah Služeb však může být měněn na základě dohody stran v písemné formě, včetně e-mailu či faxu</w:t>
      </w:r>
      <w:r w:rsidRPr="00E80251">
        <w:rPr>
          <w:rFonts w:asciiTheme="minorHAnsi" w:hAnsiTheme="minorHAnsi" w:cstheme="minorHAnsi"/>
          <w:sz w:val="16"/>
          <w:szCs w:val="16"/>
        </w:rPr>
        <w:t xml:space="preserve">. Pokud společnost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již zahájila práce (např. sběr informací, plánování projektu nebo poskytnutí počáteční rady) na žádost Klienta, pak Klient souhlasí, že tato Smlouva </w:t>
      </w:r>
      <w:r w:rsidRPr="00344372">
        <w:rPr>
          <w:rFonts w:asciiTheme="minorHAnsi" w:hAnsiTheme="minorHAnsi" w:cstheme="minorHAnsi"/>
          <w:sz w:val="16"/>
          <w:szCs w:val="16"/>
        </w:rPr>
        <w:t>je účinná k datu zahájení takovéto práce, a to buďto s retrospektivním účinkem, je-li příslušnými zákony dovolen, nebo v důsledku vzájemného uznání stran, že celá tato Smlouva představuje písemné potvrzení ústního ujednání uzavřeného mezi stranami při zahájení takové práce</w:t>
      </w:r>
      <w:r w:rsidRPr="00E80251">
        <w:rPr>
          <w:rFonts w:asciiTheme="minorHAnsi" w:hAnsiTheme="minorHAnsi" w:cstheme="minorHAnsi"/>
          <w:sz w:val="16"/>
          <w:szCs w:val="16"/>
        </w:rPr>
        <w:t xml:space="preserve">. </w:t>
      </w:r>
    </w:p>
    <w:p w14:paraId="414E5523" w14:textId="77777777" w:rsidR="001D56FF" w:rsidRPr="003D6B57" w:rsidRDefault="001D56FF" w:rsidP="009E1961">
      <w:pPr>
        <w:keepNext/>
        <w:keepLines w:val="0"/>
        <w:numPr>
          <w:ilvl w:val="0"/>
          <w:numId w:val="29"/>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Ostatní klienti </w:t>
      </w:r>
    </w:p>
    <w:p w14:paraId="7524E71E" w14:textId="77777777" w:rsidR="001D56FF" w:rsidRPr="00E80251" w:rsidRDefault="001D56FF" w:rsidP="002B6BD6">
      <w:pPr>
        <w:keepNext/>
        <w:spacing w:after="120"/>
        <w:ind w:right="70"/>
        <w:outlineLvl w:val="0"/>
        <w:rPr>
          <w:rFonts w:asciiTheme="minorHAnsi" w:hAnsiTheme="minorHAnsi" w:cstheme="minorHAnsi"/>
          <w:sz w:val="16"/>
          <w:szCs w:val="16"/>
        </w:rPr>
      </w:pPr>
      <w:r w:rsidRPr="00344372">
        <w:rPr>
          <w:rFonts w:asciiTheme="minorHAnsi" w:hAnsiTheme="minorHAnsi" w:cstheme="minorHAnsi"/>
          <w:sz w:val="16"/>
          <w:szCs w:val="16"/>
        </w:rPr>
        <w:t>Žádné ustanovení této Smlouvy nezakazuje ani neomezuje</w:t>
      </w:r>
      <w:r w:rsidRPr="007F35CF">
        <w:rPr>
          <w:b/>
          <w:szCs w:val="22"/>
        </w:rPr>
        <w:t xml:space="preserve"> </w:t>
      </w:r>
      <w:r w:rsidRPr="00E80251">
        <w:rPr>
          <w:rFonts w:asciiTheme="minorHAnsi" w:hAnsiTheme="minorHAnsi" w:cstheme="minorHAnsi"/>
          <w:sz w:val="16"/>
          <w:szCs w:val="16"/>
        </w:rPr>
        <w:t xml:space="preserve">Společnosti skupiny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včetně společnosti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v tom, aby poskytovaly služby jiným klientům (včetně služeb, které jsou stejné nebo podobné Službám) nebo používaly či sdílely pro jakýkoli účel znalosti, zkušenosti nebo dovednosti používané při poskytování Služeb, získané při něm nebo z něj vyplývající (v souladu s povinnostmi zachování o důvěrnosti informací uvedenými v ustanovení </w:t>
      </w:r>
      <w:r>
        <w:rPr>
          <w:rFonts w:asciiTheme="minorHAnsi" w:hAnsiTheme="minorHAnsi" w:cstheme="minorHAnsi"/>
          <w:sz w:val="16"/>
          <w:szCs w:val="16"/>
        </w:rPr>
        <w:t>10</w:t>
      </w:r>
      <w:r w:rsidRPr="00E80251">
        <w:rPr>
          <w:rFonts w:asciiTheme="minorHAnsi" w:hAnsiTheme="minorHAnsi" w:cstheme="minorHAnsi"/>
          <w:sz w:val="16"/>
          <w:szCs w:val="16"/>
        </w:rPr>
        <w:t xml:space="preserve">), a to i v případě, že zájmy těchto ostatních klientů konkurují zájmům skupiny Klienta. </w:t>
      </w:r>
      <w:r w:rsidRPr="00344372">
        <w:rPr>
          <w:rFonts w:asciiTheme="minorHAnsi" w:hAnsiTheme="minorHAnsi" w:cstheme="minorHAnsi"/>
          <w:sz w:val="16"/>
          <w:szCs w:val="16"/>
        </w:rPr>
        <w:t xml:space="preserve">Rovněž v rozsahu, v jakém společnost </w:t>
      </w:r>
      <w:proofErr w:type="spellStart"/>
      <w:r w:rsidRPr="00344372">
        <w:rPr>
          <w:rFonts w:asciiTheme="minorHAnsi" w:hAnsiTheme="minorHAnsi" w:cstheme="minorHAnsi"/>
          <w:sz w:val="16"/>
          <w:szCs w:val="16"/>
        </w:rPr>
        <w:t>Deloitte</w:t>
      </w:r>
      <w:proofErr w:type="spellEnd"/>
      <w:r w:rsidRPr="00344372">
        <w:rPr>
          <w:rFonts w:asciiTheme="minorHAnsi" w:hAnsiTheme="minorHAnsi" w:cstheme="minorHAnsi"/>
          <w:sz w:val="16"/>
          <w:szCs w:val="16"/>
        </w:rPr>
        <w:t xml:space="preserve"> má informace, které získala pod podmínkou zachování mlčenlivosti jiného klienta či jiné třetí strany, není společnost </w:t>
      </w:r>
      <w:proofErr w:type="spellStart"/>
      <w:r w:rsidRPr="00344372">
        <w:rPr>
          <w:rFonts w:asciiTheme="minorHAnsi" w:hAnsiTheme="minorHAnsi" w:cstheme="minorHAnsi"/>
          <w:sz w:val="16"/>
          <w:szCs w:val="16"/>
        </w:rPr>
        <w:t>Deloitte</w:t>
      </w:r>
      <w:proofErr w:type="spellEnd"/>
      <w:r w:rsidRPr="00344372">
        <w:rPr>
          <w:rFonts w:asciiTheme="minorHAnsi" w:hAnsiTheme="minorHAnsi" w:cstheme="minorHAnsi"/>
          <w:sz w:val="16"/>
          <w:szCs w:val="16"/>
        </w:rPr>
        <w:t xml:space="preserve"> povinna sdělit jakémukoli členovi Skupiny Klienta nebo je použít ve prospěch Skupiny Klienta, i když by mohly být ke Službám relevantní</w:t>
      </w:r>
      <w:r w:rsidRPr="00E80251">
        <w:rPr>
          <w:rFonts w:asciiTheme="minorHAnsi" w:hAnsiTheme="minorHAnsi" w:cstheme="minorHAnsi"/>
          <w:sz w:val="16"/>
          <w:szCs w:val="16"/>
        </w:rPr>
        <w:t xml:space="preserve">. </w:t>
      </w:r>
    </w:p>
    <w:p w14:paraId="23C36E13" w14:textId="77777777" w:rsidR="001D56FF" w:rsidRPr="003D6B57" w:rsidRDefault="001D56FF" w:rsidP="009E1961">
      <w:pPr>
        <w:keepNext/>
        <w:keepLines w:val="0"/>
        <w:numPr>
          <w:ilvl w:val="0"/>
          <w:numId w:val="29"/>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Personál </w:t>
      </w:r>
    </w:p>
    <w:p w14:paraId="1B629244" w14:textId="4BE47EEC" w:rsidR="001D56FF" w:rsidRPr="003D6B57" w:rsidRDefault="001D56FF" w:rsidP="009E1961">
      <w:pPr>
        <w:keepLines w:val="0"/>
        <w:tabs>
          <w:tab w:val="clear" w:pos="851"/>
        </w:tabs>
        <w:spacing w:after="120"/>
        <w:ind w:right="70" w:hanging="357"/>
        <w:rPr>
          <w:rFonts w:asciiTheme="minorHAnsi" w:hAnsiTheme="minorHAnsi" w:cstheme="minorHAnsi"/>
          <w:sz w:val="16"/>
          <w:szCs w:val="16"/>
        </w:rPr>
      </w:pPr>
      <w:r>
        <w:rPr>
          <w:rFonts w:asciiTheme="minorHAnsi" w:hAnsiTheme="minorHAnsi" w:cstheme="minorHAnsi"/>
          <w:sz w:val="16"/>
          <w:szCs w:val="16"/>
        </w:rPr>
        <w:t>a)</w:t>
      </w:r>
      <w:r>
        <w:rPr>
          <w:rFonts w:asciiTheme="minorHAnsi" w:hAnsiTheme="minorHAnsi" w:cstheme="minorHAnsi"/>
          <w:sz w:val="16"/>
          <w:szCs w:val="16"/>
        </w:rPr>
        <w:tab/>
      </w:r>
      <w:r w:rsidRPr="003D6B57">
        <w:rPr>
          <w:rFonts w:asciiTheme="minorHAnsi" w:hAnsiTheme="minorHAnsi" w:cstheme="minorHAnsi"/>
          <w:sz w:val="16"/>
          <w:szCs w:val="16"/>
        </w:rPr>
        <w:t xml:space="preserve">Pokud Služby poskytované Klientovi nevyžadují stálou přítomnost personálu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společnost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si vyhrazuje právo používat personál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pro další činnosti. </w:t>
      </w:r>
    </w:p>
    <w:p w14:paraId="2F91F97F" w14:textId="668D25EF" w:rsidR="001D56FF" w:rsidRPr="009E1961" w:rsidRDefault="001D56FF" w:rsidP="009E1961">
      <w:pPr>
        <w:pStyle w:val="Odstavecseseznamem"/>
        <w:keepLines w:val="0"/>
        <w:tabs>
          <w:tab w:val="clear" w:pos="851"/>
        </w:tabs>
        <w:spacing w:after="120"/>
        <w:ind w:left="0" w:right="70" w:hanging="357"/>
        <w:rPr>
          <w:rFonts w:asciiTheme="minorHAnsi" w:hAnsiTheme="minorHAnsi" w:cstheme="minorHAnsi"/>
          <w:sz w:val="16"/>
          <w:szCs w:val="16"/>
        </w:rPr>
      </w:pPr>
      <w:r>
        <w:rPr>
          <w:rFonts w:asciiTheme="minorHAnsi" w:hAnsiTheme="minorHAnsi" w:cstheme="minorHAnsi"/>
          <w:sz w:val="16"/>
          <w:szCs w:val="16"/>
        </w:rPr>
        <w:t>b)</w:t>
      </w:r>
      <w:r>
        <w:rPr>
          <w:rFonts w:asciiTheme="minorHAnsi" w:hAnsiTheme="minorHAnsi" w:cstheme="minorHAnsi"/>
          <w:sz w:val="16"/>
          <w:szCs w:val="16"/>
        </w:rPr>
        <w:tab/>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si vyhrazuje právo nahradit jakýkoli personál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w:t>
      </w:r>
    </w:p>
    <w:p w14:paraId="0E1D38DC" w14:textId="77777777" w:rsidR="001D56FF" w:rsidRPr="003D6B57" w:rsidRDefault="001D56FF" w:rsidP="009E1961">
      <w:pPr>
        <w:keepLines w:val="0"/>
        <w:numPr>
          <w:ilvl w:val="0"/>
          <w:numId w:val="56"/>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Personál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zůstane neustále pod dohledem a kontrolou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pokud Klient</w:t>
      </w:r>
      <w:r>
        <w:rPr>
          <w:rFonts w:asciiTheme="minorHAnsi" w:hAnsiTheme="minorHAnsi" w:cstheme="minorHAnsi"/>
          <w:sz w:val="16"/>
          <w:szCs w:val="16"/>
        </w:rPr>
        <w:t>ovu nebude uděleno</w:t>
      </w:r>
      <w:r w:rsidRPr="003D6B57">
        <w:rPr>
          <w:rFonts w:asciiTheme="minorHAnsi" w:hAnsiTheme="minorHAnsi" w:cstheme="minorHAnsi"/>
          <w:sz w:val="16"/>
          <w:szCs w:val="16"/>
        </w:rPr>
        <w:t xml:space="preserve"> </w:t>
      </w:r>
      <w:r>
        <w:rPr>
          <w:rFonts w:asciiTheme="minorHAnsi" w:hAnsiTheme="minorHAnsi" w:cstheme="minorHAnsi"/>
          <w:sz w:val="16"/>
          <w:szCs w:val="16"/>
        </w:rPr>
        <w:t>pověření</w:t>
      </w:r>
      <w:r w:rsidRPr="003D6B57">
        <w:rPr>
          <w:rFonts w:asciiTheme="minorHAnsi" w:hAnsiTheme="minorHAnsi" w:cstheme="minorHAnsi"/>
          <w:sz w:val="16"/>
          <w:szCs w:val="16"/>
        </w:rPr>
        <w:t xml:space="preserve"> dávat personálu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pokyny. V takovém případě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nenese žádnou odpovědnost za poskytování Služeb, které nebyly schváleny a/nebo revidovány společností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w:t>
      </w:r>
    </w:p>
    <w:p w14:paraId="121AFA7C" w14:textId="77777777" w:rsidR="001D56FF" w:rsidRPr="003D6B57" w:rsidRDefault="001D56FF" w:rsidP="009E1961">
      <w:pPr>
        <w:keepNext/>
        <w:keepLines w:val="0"/>
        <w:numPr>
          <w:ilvl w:val="0"/>
          <w:numId w:val="29"/>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Likvidace pracovní dokumentace </w:t>
      </w:r>
    </w:p>
    <w:p w14:paraId="3008211E" w14:textId="77777777" w:rsidR="001D56FF" w:rsidRDefault="001D56FF" w:rsidP="002B6BD6">
      <w:pPr>
        <w:spacing w:after="120"/>
        <w:ind w:right="70"/>
        <w:rPr>
          <w:rFonts w:asciiTheme="minorHAnsi" w:hAnsiTheme="minorHAnsi" w:cstheme="minorHAnsi"/>
          <w:sz w:val="16"/>
          <w:szCs w:val="16"/>
        </w:rPr>
      </w:pPr>
      <w:proofErr w:type="spellStart"/>
      <w:r w:rsidRPr="00566628">
        <w:rPr>
          <w:rFonts w:asciiTheme="minorHAnsi" w:hAnsiTheme="minorHAnsi" w:cstheme="minorHAnsi"/>
          <w:sz w:val="16"/>
          <w:szCs w:val="16"/>
        </w:rPr>
        <w:t>Deloitte</w:t>
      </w:r>
      <w:proofErr w:type="spellEnd"/>
      <w:r w:rsidRPr="00566628">
        <w:rPr>
          <w:rFonts w:asciiTheme="minorHAnsi" w:hAnsiTheme="minorHAnsi" w:cstheme="minorHAnsi"/>
          <w:sz w:val="16"/>
          <w:szCs w:val="16"/>
        </w:rPr>
        <w:t xml:space="preserve"> si může ponechat kopie dokumentů a složek poskytnutých skupinou Klienta v souvislosti se Službami pro účely splnění příslušných zákonů, profesionálních standardů a interních postupů pro uchovávání údajů. </w:t>
      </w:r>
      <w:r w:rsidRPr="00030987">
        <w:rPr>
          <w:rFonts w:asciiTheme="minorHAnsi" w:hAnsiTheme="minorHAnsi" w:cstheme="minorHAnsi"/>
          <w:sz w:val="16"/>
          <w:szCs w:val="16"/>
        </w:rPr>
        <w:t>Smluvní dokumentace, včetně Osobních údajů</w:t>
      </w:r>
      <w:r>
        <w:rPr>
          <w:rFonts w:asciiTheme="minorHAnsi" w:hAnsiTheme="minorHAnsi" w:cstheme="minorHAnsi"/>
          <w:sz w:val="16"/>
          <w:szCs w:val="16"/>
        </w:rPr>
        <w:t>, tak jak jsou definovány v článku 21 těchto Obchodních podmínek,</w:t>
      </w:r>
      <w:r w:rsidRPr="00030987">
        <w:rPr>
          <w:rFonts w:asciiTheme="minorHAnsi" w:hAnsiTheme="minorHAnsi" w:cstheme="minorHAnsi"/>
          <w:sz w:val="16"/>
          <w:szCs w:val="16"/>
        </w:rPr>
        <w:t xml:space="preserve"> a </w:t>
      </w:r>
      <w:r w:rsidRPr="00013710">
        <w:rPr>
          <w:rFonts w:asciiTheme="minorHAnsi" w:hAnsiTheme="minorHAnsi" w:cstheme="minorHAnsi"/>
          <w:sz w:val="16"/>
          <w:szCs w:val="16"/>
        </w:rPr>
        <w:t>D</w:t>
      </w:r>
      <w:r w:rsidRPr="00030987">
        <w:rPr>
          <w:rFonts w:asciiTheme="minorHAnsi" w:hAnsiTheme="minorHAnsi" w:cstheme="minorHAnsi"/>
          <w:sz w:val="16"/>
          <w:szCs w:val="16"/>
        </w:rPr>
        <w:t>ůvěrných informací, bude uchovávána po dobu 10 let následujících po skončení tohoto smluvního vztahu nebo po dobu, která je v souladu s požadavky právních předpisů proti legalizaci výnosů z trestné činnosti nebo jiných příslušených právních předpisů</w:t>
      </w:r>
      <w:r>
        <w:rPr>
          <w:rFonts w:asciiTheme="minorHAnsi" w:hAnsiTheme="minorHAnsi" w:cstheme="minorHAnsi"/>
          <w:sz w:val="16"/>
          <w:szCs w:val="16"/>
        </w:rPr>
        <w:t>.</w:t>
      </w:r>
    </w:p>
    <w:p w14:paraId="42EB4CF9" w14:textId="77777777" w:rsidR="001D56FF" w:rsidRPr="003D6B57" w:rsidRDefault="001D56FF" w:rsidP="002B6BD6">
      <w:pPr>
        <w:spacing w:after="120"/>
        <w:ind w:right="70"/>
        <w:rPr>
          <w:rFonts w:asciiTheme="minorHAnsi" w:hAnsiTheme="minorHAnsi" w:cstheme="minorHAnsi"/>
          <w:sz w:val="16"/>
          <w:szCs w:val="16"/>
        </w:rPr>
      </w:pPr>
    </w:p>
    <w:p w14:paraId="57F4B476" w14:textId="77777777" w:rsidR="001D56FF" w:rsidRPr="003D6B57" w:rsidRDefault="001D56FF" w:rsidP="009E1961">
      <w:pPr>
        <w:keepNext/>
        <w:keepLines w:val="0"/>
        <w:numPr>
          <w:ilvl w:val="0"/>
          <w:numId w:val="29"/>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Marketing a použití jména </w:t>
      </w:r>
    </w:p>
    <w:p w14:paraId="61BC020F" w14:textId="77777777" w:rsidR="001D56FF" w:rsidRPr="00E80251" w:rsidRDefault="001D56FF" w:rsidP="002B6BD6">
      <w:pPr>
        <w:keepLines w:val="0"/>
        <w:spacing w:after="120"/>
        <w:ind w:right="70"/>
        <w:rPr>
          <w:rFonts w:asciiTheme="minorHAnsi" w:hAnsiTheme="minorHAnsi" w:cstheme="minorHAnsi"/>
          <w:sz w:val="16"/>
          <w:szCs w:val="16"/>
        </w:rPr>
      </w:pPr>
      <w:r w:rsidRPr="00E80251">
        <w:rPr>
          <w:rFonts w:asciiTheme="minorHAnsi" w:hAnsiTheme="minorHAnsi" w:cstheme="minorHAnsi"/>
          <w:sz w:val="16"/>
          <w:szCs w:val="16"/>
        </w:rPr>
        <w:t xml:space="preserve">Společnosti skupiny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ani skupina Klienta nebudou používat ochrannou známku, označení služeb, logo a/nebo firmu druhé strany v externích publikačních materiálech bez předchozího písemného souhlasu druhé strany (včetně souhlasu prostřednictvím emailu). Společnosti skupiny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mohou odkazovat na jména skupiny Klienta a poskytování Služeb a mohou používat logo Klienta (i) v marketingu, publikačních materiálech a </w:t>
      </w:r>
      <w:r w:rsidRPr="00E80251">
        <w:rPr>
          <w:rFonts w:asciiTheme="minorHAnsi" w:hAnsiTheme="minorHAnsi" w:cstheme="minorHAnsi"/>
          <w:sz w:val="16"/>
          <w:szCs w:val="16"/>
        </w:rPr>
        <w:lastRenderedPageBreak/>
        <w:t>nabídkách pro doložení svých zkušeností a (</w:t>
      </w:r>
      <w:proofErr w:type="spellStart"/>
      <w:r w:rsidRPr="00E80251">
        <w:rPr>
          <w:rFonts w:asciiTheme="minorHAnsi" w:hAnsiTheme="minorHAnsi" w:cstheme="minorHAnsi"/>
          <w:sz w:val="16"/>
          <w:szCs w:val="16"/>
        </w:rPr>
        <w:t>ii</w:t>
      </w:r>
      <w:proofErr w:type="spellEnd"/>
      <w:r w:rsidRPr="00E80251">
        <w:rPr>
          <w:rFonts w:asciiTheme="minorHAnsi" w:hAnsiTheme="minorHAnsi" w:cstheme="minorHAnsi"/>
          <w:sz w:val="16"/>
          <w:szCs w:val="16"/>
        </w:rPr>
        <w:t xml:space="preserve">) v interních datových systémech. </w:t>
      </w:r>
    </w:p>
    <w:p w14:paraId="04A7E892" w14:textId="77777777" w:rsidR="001D56FF" w:rsidRPr="003D6B57" w:rsidRDefault="001D56FF" w:rsidP="009E1961">
      <w:pPr>
        <w:keepNext/>
        <w:keepLines w:val="0"/>
        <w:numPr>
          <w:ilvl w:val="0"/>
          <w:numId w:val="29"/>
        </w:numPr>
        <w:tabs>
          <w:tab w:val="clear" w:pos="851"/>
        </w:tabs>
        <w:spacing w:after="120"/>
        <w:ind w:left="0" w:hanging="357"/>
        <w:outlineLvl w:val="0"/>
        <w:rPr>
          <w:rFonts w:asciiTheme="minorHAnsi" w:hAnsiTheme="minorHAnsi" w:cstheme="minorHAnsi"/>
          <w:b/>
          <w:color w:val="92D400"/>
          <w:kern w:val="28"/>
          <w:sz w:val="16"/>
          <w:szCs w:val="16"/>
        </w:rPr>
      </w:pPr>
      <w:r>
        <w:rPr>
          <w:rFonts w:asciiTheme="minorHAnsi" w:hAnsiTheme="minorHAnsi" w:cstheme="minorHAnsi"/>
          <w:b/>
          <w:color w:val="92D400"/>
          <w:kern w:val="28"/>
          <w:sz w:val="16"/>
          <w:szCs w:val="16"/>
        </w:rPr>
        <w:t>Sestavy</w:t>
      </w:r>
      <w:r w:rsidRPr="003D6B57">
        <w:rPr>
          <w:rFonts w:asciiTheme="minorHAnsi" w:hAnsiTheme="minorHAnsi" w:cstheme="minorHAnsi"/>
          <w:b/>
          <w:color w:val="92D400"/>
          <w:kern w:val="28"/>
          <w:sz w:val="16"/>
          <w:szCs w:val="16"/>
        </w:rPr>
        <w:t xml:space="preserve">, modely a nástroje </w:t>
      </w:r>
    </w:p>
    <w:p w14:paraId="3891EAD4" w14:textId="77777777" w:rsidR="001D56FF" w:rsidRPr="00E80251" w:rsidRDefault="001D56FF" w:rsidP="00015A9A">
      <w:pPr>
        <w:spacing w:after="120"/>
        <w:rPr>
          <w:rFonts w:asciiTheme="minorHAnsi" w:hAnsiTheme="minorHAnsi" w:cstheme="minorHAnsi"/>
          <w:sz w:val="16"/>
          <w:szCs w:val="16"/>
        </w:rPr>
      </w:pPr>
      <w:r w:rsidRPr="00E80251">
        <w:rPr>
          <w:rFonts w:asciiTheme="minorHAnsi" w:hAnsiTheme="minorHAnsi" w:cstheme="minorHAnsi"/>
          <w:sz w:val="16"/>
          <w:szCs w:val="16"/>
        </w:rPr>
        <w:t xml:space="preserve">V průběhu poskytování Služeb může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odkazovat na </w:t>
      </w:r>
      <w:r>
        <w:rPr>
          <w:rFonts w:asciiTheme="minorHAnsi" w:hAnsiTheme="minorHAnsi" w:cstheme="minorHAnsi"/>
          <w:sz w:val="16"/>
          <w:szCs w:val="16"/>
        </w:rPr>
        <w:t>sestavy</w:t>
      </w:r>
      <w:r w:rsidRPr="00E80251">
        <w:rPr>
          <w:rFonts w:asciiTheme="minorHAnsi" w:hAnsiTheme="minorHAnsi" w:cstheme="minorHAnsi"/>
          <w:sz w:val="16"/>
          <w:szCs w:val="16"/>
        </w:rPr>
        <w:t xml:space="preserve">, modely nebo nástroje (společně „Modely“), které Klient poskytuje společnosti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nebo u nichž Klient společnost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žádá, aby z nich vycházela („Modely Klienta“), nebo které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jinak používá v souvislosti se Službami („Modely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Veškeré Modely mají omezení a nemusí produkovat validní výsledky pro všechny možné kombinace vstupních dat s tím, že skutečné a potenciální chyby </w:t>
      </w:r>
      <w:r>
        <w:rPr>
          <w:rFonts w:asciiTheme="minorHAnsi" w:hAnsiTheme="minorHAnsi" w:cstheme="minorHAnsi"/>
          <w:sz w:val="16"/>
          <w:szCs w:val="16"/>
        </w:rPr>
        <w:t>nemusí být</w:t>
      </w:r>
      <w:r w:rsidRPr="00E80251">
        <w:rPr>
          <w:rFonts w:asciiTheme="minorHAnsi" w:hAnsiTheme="minorHAnsi" w:cstheme="minorHAnsi"/>
          <w:sz w:val="16"/>
          <w:szCs w:val="16"/>
        </w:rPr>
        <w:t xml:space="preserve"> zjištěny. Není-li ve Smlouvě výslovně sjednáno jinak: (i) společnost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nebude odpovědná za revizi, testování nebo detekci chyb v Modelech Klienta, (</w:t>
      </w:r>
      <w:proofErr w:type="spellStart"/>
      <w:r w:rsidRPr="00E80251">
        <w:rPr>
          <w:rFonts w:asciiTheme="minorHAnsi" w:hAnsiTheme="minorHAnsi" w:cstheme="minorHAnsi"/>
          <w:sz w:val="16"/>
          <w:szCs w:val="16"/>
        </w:rPr>
        <w:t>ii</w:t>
      </w:r>
      <w:proofErr w:type="spellEnd"/>
      <w:r w:rsidRPr="00E80251">
        <w:rPr>
          <w:rFonts w:asciiTheme="minorHAnsi" w:hAnsiTheme="minorHAnsi" w:cstheme="minorHAnsi"/>
          <w:sz w:val="16"/>
          <w:szCs w:val="16"/>
        </w:rPr>
        <w:t xml:space="preserve">) žádný Model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nebude poskytnut nebo používán jako Výstup, a (</w:t>
      </w:r>
      <w:proofErr w:type="spellStart"/>
      <w:r w:rsidRPr="00E80251">
        <w:rPr>
          <w:rFonts w:asciiTheme="minorHAnsi" w:hAnsiTheme="minorHAnsi" w:cstheme="minorHAnsi"/>
          <w:sz w:val="16"/>
          <w:szCs w:val="16"/>
        </w:rPr>
        <w:t>iii</w:t>
      </w:r>
      <w:proofErr w:type="spellEnd"/>
      <w:r w:rsidRPr="00E80251">
        <w:rPr>
          <w:rFonts w:asciiTheme="minorHAnsi" w:hAnsiTheme="minorHAnsi" w:cstheme="minorHAnsi"/>
          <w:sz w:val="16"/>
          <w:szCs w:val="16"/>
        </w:rPr>
        <w:t xml:space="preserve">) pokud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poskytne jakýkoli Model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pro vysvětlení nebo ilustraci Výstupu,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neposkytuje tvrzení, záruku nebo závazek (výslovný či implicitní) jakéhokoli druhu o přesnosti, udržitelnosti a přiměřenosti takového Modelu </w:t>
      </w:r>
      <w:proofErr w:type="spellStart"/>
      <w:r w:rsidRPr="00E80251">
        <w:rPr>
          <w:rFonts w:asciiTheme="minorHAnsi" w:hAnsiTheme="minorHAnsi" w:cstheme="minorHAnsi"/>
          <w:sz w:val="16"/>
          <w:szCs w:val="16"/>
        </w:rPr>
        <w:t>Deloitte</w:t>
      </w:r>
      <w:proofErr w:type="spellEnd"/>
      <w:r w:rsidRPr="00E80251">
        <w:rPr>
          <w:rFonts w:asciiTheme="minorHAnsi" w:hAnsiTheme="minorHAnsi" w:cstheme="minorHAnsi"/>
          <w:sz w:val="16"/>
          <w:szCs w:val="16"/>
        </w:rPr>
        <w:t xml:space="preserve"> pro vlastní potřeby Klienta. </w:t>
      </w:r>
    </w:p>
    <w:p w14:paraId="50EA8CEC" w14:textId="77777777" w:rsidR="001D56FF" w:rsidRDefault="001D56FF" w:rsidP="009E1961">
      <w:pPr>
        <w:keepNext/>
        <w:keepLines w:val="0"/>
        <w:numPr>
          <w:ilvl w:val="0"/>
          <w:numId w:val="29"/>
        </w:numPr>
        <w:tabs>
          <w:tab w:val="clear" w:pos="851"/>
        </w:tabs>
        <w:spacing w:after="120"/>
        <w:ind w:left="0" w:hanging="284"/>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Ochrana dat </w:t>
      </w:r>
    </w:p>
    <w:p w14:paraId="512D25A1" w14:textId="77777777" w:rsidR="001D56FF" w:rsidRPr="00030987" w:rsidRDefault="001D56FF" w:rsidP="009E1961">
      <w:pPr>
        <w:pStyle w:val="Odstavecseseznamem"/>
        <w:keepNext/>
        <w:keepLines w:val="0"/>
        <w:numPr>
          <w:ilvl w:val="0"/>
          <w:numId w:val="58"/>
        </w:numPr>
        <w:tabs>
          <w:tab w:val="clear" w:pos="851"/>
        </w:tabs>
        <w:spacing w:after="120"/>
        <w:ind w:left="0" w:hanging="284"/>
        <w:outlineLvl w:val="0"/>
        <w:rPr>
          <w:b/>
          <w:color w:val="00A1DE" w:themeColor="accent3"/>
          <w:sz w:val="16"/>
          <w:szCs w:val="16"/>
        </w:rPr>
      </w:pPr>
      <w:r w:rsidRPr="00030987">
        <w:rPr>
          <w:b/>
          <w:color w:val="00A1DE" w:themeColor="accent3"/>
          <w:sz w:val="16"/>
          <w:szCs w:val="16"/>
        </w:rPr>
        <w:t>Zpracování osobních údajů</w:t>
      </w:r>
    </w:p>
    <w:p w14:paraId="4C0980E8" w14:textId="77777777" w:rsidR="001D56FF" w:rsidRPr="003D6B57" w:rsidRDefault="001D56FF" w:rsidP="0098613E">
      <w:pPr>
        <w:keepNext/>
        <w:keepLines w:val="0"/>
        <w:tabs>
          <w:tab w:val="clear" w:pos="851"/>
        </w:tabs>
        <w:spacing w:after="120"/>
        <w:ind w:hanging="284"/>
        <w:outlineLvl w:val="0"/>
        <w:rPr>
          <w:rFonts w:asciiTheme="minorHAnsi" w:hAnsiTheme="minorHAnsi" w:cstheme="minorHAnsi"/>
          <w:sz w:val="16"/>
          <w:szCs w:val="16"/>
        </w:rPr>
      </w:pPr>
      <w:r>
        <w:rPr>
          <w:rFonts w:asciiTheme="minorHAnsi" w:hAnsiTheme="minorHAnsi" w:cstheme="minorHAnsi"/>
          <w:sz w:val="16"/>
          <w:szCs w:val="16"/>
        </w:rPr>
        <w:t>(i)</w:t>
      </w:r>
      <w:r>
        <w:rPr>
          <w:rFonts w:asciiTheme="minorHAnsi" w:hAnsiTheme="minorHAnsi" w:cstheme="minorHAnsi"/>
          <w:sz w:val="16"/>
          <w:szCs w:val="16"/>
        </w:rPr>
        <w:tab/>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je oprávněn shromažďovat, používat, přenášet, ukládat nebo jiným způsobem zpracovávat (souhrnně “Zpr</w:t>
      </w:r>
      <w:r w:rsidRPr="00D93AC2">
        <w:rPr>
          <w:rFonts w:asciiTheme="minorHAnsi" w:hAnsiTheme="minorHAnsi" w:cstheme="minorHAnsi"/>
          <w:sz w:val="16"/>
          <w:szCs w:val="16"/>
        </w:rPr>
        <w:t>acovávat”) informace předávané K</w:t>
      </w:r>
      <w:r w:rsidRPr="00030987">
        <w:rPr>
          <w:rFonts w:asciiTheme="minorHAnsi" w:hAnsiTheme="minorHAnsi" w:cstheme="minorHAnsi"/>
          <w:sz w:val="16"/>
          <w:szCs w:val="16"/>
        </w:rPr>
        <w:t xml:space="preserve">lientem, které mohou identifikovat jednotlivé osoby (“Osobní údaje”), jak jsou definovány příslušnými právními předpisy. Osobní údaje mohou obsahovat informace o zástupcích a zaměstnancích Klienta, o ostatních pracovnících, členech projektového týmu, klientech či smluvních partnerech. Dále se může jednat o Osobní údaje tvořící součást dokumentace, kterou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získá ve vztahu k této Smlouvě. Osobní údaje mohou být zpracovávány v následujícím rozsahu: jméno, příjmení, datum narození, rodné číslo, adresa, údaj o občanství, profesní kontakty a další související informace.  Klient tímto pověřuje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zpracováním Osobních údajů s tím, že zástupci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a členové projektového týmu jsou oprávněni zpracovávat Osobní údaje v souladu s touto Smlouvou a v souvislosti s jejím plněním.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(jakožto zpracovatel) bude Zpracovávat Osobní údaje a </w:t>
      </w:r>
      <w:r w:rsidRPr="00013710">
        <w:rPr>
          <w:rFonts w:asciiTheme="minorHAnsi" w:hAnsiTheme="minorHAnsi" w:cstheme="minorHAnsi"/>
          <w:sz w:val="16"/>
          <w:szCs w:val="16"/>
        </w:rPr>
        <w:t>D</w:t>
      </w:r>
      <w:r w:rsidRPr="00030987">
        <w:rPr>
          <w:rFonts w:asciiTheme="minorHAnsi" w:hAnsiTheme="minorHAnsi" w:cstheme="minorHAnsi"/>
          <w:sz w:val="16"/>
          <w:szCs w:val="16"/>
        </w:rPr>
        <w:t>ůvěrné informace pro účely stanovené touto Smlouvou a v souladu s příslušnými právními a profesními předpisy a nařízeními</w:t>
      </w:r>
      <w:r w:rsidRPr="003D6B57">
        <w:rPr>
          <w:rFonts w:asciiTheme="minorHAnsi" w:hAnsiTheme="minorHAnsi" w:cstheme="minorHAnsi"/>
          <w:sz w:val="16"/>
          <w:szCs w:val="16"/>
        </w:rPr>
        <w:t xml:space="preserve">. </w:t>
      </w:r>
    </w:p>
    <w:p w14:paraId="23A321F2" w14:textId="245C66BA" w:rsidR="001D56FF" w:rsidRPr="003D6B57" w:rsidRDefault="001D56FF" w:rsidP="00015A9A">
      <w:pPr>
        <w:keepLines w:val="0"/>
        <w:tabs>
          <w:tab w:val="clear" w:pos="851"/>
        </w:tabs>
        <w:spacing w:after="120"/>
        <w:ind w:hanging="357"/>
        <w:rPr>
          <w:rFonts w:asciiTheme="minorHAnsi" w:hAnsiTheme="minorHAnsi" w:cstheme="minorHAnsi"/>
          <w:sz w:val="16"/>
          <w:szCs w:val="16"/>
        </w:rPr>
      </w:pPr>
      <w:r>
        <w:rPr>
          <w:rFonts w:asciiTheme="minorHAnsi" w:hAnsiTheme="minorHAnsi" w:cstheme="minorHAnsi"/>
          <w:sz w:val="16"/>
          <w:szCs w:val="16"/>
        </w:rPr>
        <w:t>(</w:t>
      </w:r>
      <w:proofErr w:type="spellStart"/>
      <w:r>
        <w:rPr>
          <w:rFonts w:asciiTheme="minorHAnsi" w:hAnsiTheme="minorHAnsi" w:cstheme="minorHAnsi"/>
          <w:sz w:val="16"/>
          <w:szCs w:val="16"/>
        </w:rPr>
        <w:t>ii</w:t>
      </w:r>
      <w:proofErr w:type="spellEnd"/>
      <w:r>
        <w:rPr>
          <w:rFonts w:asciiTheme="minorHAnsi" w:hAnsiTheme="minorHAnsi" w:cstheme="minorHAnsi"/>
          <w:sz w:val="16"/>
          <w:szCs w:val="16"/>
        </w:rPr>
        <w:t>)</w:t>
      </w:r>
      <w:r>
        <w:rPr>
          <w:rFonts w:asciiTheme="minorHAnsi" w:hAnsiTheme="minorHAnsi" w:cstheme="minorHAnsi"/>
          <w:sz w:val="16"/>
          <w:szCs w:val="16"/>
        </w:rPr>
        <w:tab/>
      </w:r>
      <w:r w:rsidRPr="00030987">
        <w:rPr>
          <w:rFonts w:asciiTheme="minorHAnsi" w:hAnsiTheme="minorHAnsi" w:cstheme="minorHAnsi"/>
          <w:sz w:val="16"/>
          <w:szCs w:val="16"/>
        </w:rPr>
        <w:t xml:space="preserve">Klient tímto potvrzuje, že je oprávněn v souvislosti s plněním této Smlouvy předávat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Osobní údaje, které byly získány a jsou a budou Zpracovávány v souladu s příslušnými právními předpisy. Klient je povinen předávat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veškeré potřebné instrukce pro Zpracování Osobních údajů a poskytovat pouze správné a aktuální Osobní údaje.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na základě instrukcí Klienta přijme příslušná technická, organizační a personální opatření k ochraně Osobních údajů</w:t>
      </w:r>
      <w:r w:rsidRPr="003D6B57">
        <w:rPr>
          <w:rFonts w:asciiTheme="minorHAnsi" w:hAnsiTheme="minorHAnsi" w:cstheme="minorHAnsi"/>
          <w:sz w:val="16"/>
          <w:szCs w:val="16"/>
        </w:rPr>
        <w:t xml:space="preserve">. </w:t>
      </w:r>
    </w:p>
    <w:p w14:paraId="4459F657" w14:textId="77777777" w:rsidR="001D56FF" w:rsidRPr="00030987" w:rsidRDefault="001D56FF" w:rsidP="00015A9A">
      <w:pPr>
        <w:pStyle w:val="Odstavecseseznamem"/>
        <w:ind w:left="0" w:hanging="357"/>
        <w:rPr>
          <w:rFonts w:asciiTheme="minorHAnsi" w:hAnsiTheme="minorHAnsi" w:cstheme="minorHAnsi"/>
          <w:sz w:val="16"/>
          <w:szCs w:val="16"/>
        </w:rPr>
      </w:pPr>
      <w:r>
        <w:rPr>
          <w:rFonts w:asciiTheme="minorHAnsi" w:hAnsiTheme="minorHAnsi" w:cstheme="minorHAnsi"/>
          <w:sz w:val="16"/>
          <w:szCs w:val="16"/>
        </w:rPr>
        <w:t>(</w:t>
      </w:r>
      <w:proofErr w:type="spellStart"/>
      <w:r>
        <w:rPr>
          <w:rFonts w:asciiTheme="minorHAnsi" w:hAnsiTheme="minorHAnsi" w:cstheme="minorHAnsi"/>
          <w:sz w:val="16"/>
          <w:szCs w:val="16"/>
        </w:rPr>
        <w:t>iii</w:t>
      </w:r>
      <w:proofErr w:type="spellEnd"/>
      <w:r>
        <w:rPr>
          <w:rFonts w:asciiTheme="minorHAnsi" w:hAnsiTheme="minorHAnsi" w:cstheme="minorHAnsi"/>
          <w:sz w:val="16"/>
          <w:szCs w:val="16"/>
        </w:rPr>
        <w:t>)</w:t>
      </w:r>
      <w:r>
        <w:rPr>
          <w:rFonts w:asciiTheme="minorHAnsi" w:hAnsiTheme="minorHAnsi" w:cstheme="minorHAnsi"/>
          <w:sz w:val="16"/>
          <w:szCs w:val="16"/>
        </w:rPr>
        <w:tab/>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je dále oprávněn Zpracovávat následující kontaktní Osobní údaje obchodních zástupců Klienta (v rozsahu: jméno, příjmení, funkce, e-mail a telefonní číslo) v databázi určené pro zasílání obchodních sdělení a jiné marketingové účely, a to až do odvolání. Klient tímto souhlasí s přijímáním obchodních sdělení zasílaných </w:t>
      </w:r>
      <w:proofErr w:type="spellStart"/>
      <w:r w:rsidRPr="00030987">
        <w:rPr>
          <w:rFonts w:asciiTheme="minorHAnsi" w:hAnsiTheme="minorHAnsi" w:cstheme="minorHAnsi"/>
          <w:sz w:val="16"/>
          <w:szCs w:val="16"/>
        </w:rPr>
        <w:t>Deloitte</w:t>
      </w:r>
      <w:proofErr w:type="spellEnd"/>
      <w:r>
        <w:rPr>
          <w:rFonts w:asciiTheme="minorHAnsi" w:hAnsiTheme="minorHAnsi" w:cstheme="minorHAnsi"/>
          <w:sz w:val="16"/>
          <w:szCs w:val="16"/>
        </w:rPr>
        <w:t xml:space="preserve"> nebo Společnostmi skupiny </w:t>
      </w:r>
      <w:proofErr w:type="spellStart"/>
      <w:r>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Pro tyto účely je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oprávněn předávat výše uvedené kontaktní Osobní údaje Společnostem skupiny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v rámci regionu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w:t>
      </w:r>
      <w:proofErr w:type="spellStart"/>
      <w:r w:rsidRPr="00030987">
        <w:rPr>
          <w:rFonts w:asciiTheme="minorHAnsi" w:hAnsiTheme="minorHAnsi" w:cstheme="minorHAnsi"/>
          <w:sz w:val="16"/>
          <w:szCs w:val="16"/>
        </w:rPr>
        <w:t>Central</w:t>
      </w:r>
      <w:proofErr w:type="spellEnd"/>
      <w:r w:rsidRPr="00030987">
        <w:rPr>
          <w:rFonts w:asciiTheme="minorHAnsi" w:hAnsiTheme="minorHAnsi" w:cstheme="minorHAnsi"/>
          <w:sz w:val="16"/>
          <w:szCs w:val="16"/>
        </w:rPr>
        <w:t xml:space="preserve"> </w:t>
      </w:r>
      <w:proofErr w:type="spellStart"/>
      <w:r w:rsidRPr="00030987">
        <w:rPr>
          <w:rFonts w:asciiTheme="minorHAnsi" w:hAnsiTheme="minorHAnsi" w:cstheme="minorHAnsi"/>
          <w:sz w:val="16"/>
          <w:szCs w:val="16"/>
        </w:rPr>
        <w:t>Europe</w:t>
      </w:r>
      <w:proofErr w:type="spellEnd"/>
      <w:r w:rsidRPr="00030987">
        <w:rPr>
          <w:rFonts w:asciiTheme="minorHAnsi" w:hAnsiTheme="minorHAnsi" w:cstheme="minorHAnsi"/>
          <w:sz w:val="16"/>
          <w:szCs w:val="16"/>
        </w:rPr>
        <w:t xml:space="preserve"> (viz seznam Společností skupiny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a destinací na: </w:t>
      </w:r>
    </w:p>
    <w:p w14:paraId="4A4C2EA3" w14:textId="77777777" w:rsidR="001D56FF" w:rsidRDefault="00191224" w:rsidP="009D03D5">
      <w:pPr>
        <w:pStyle w:val="Odstavecseseznamem"/>
        <w:ind w:left="0" w:right="70"/>
        <w:rPr>
          <w:rFonts w:asciiTheme="minorHAnsi" w:hAnsiTheme="minorHAnsi" w:cstheme="minorHAnsi"/>
          <w:sz w:val="16"/>
          <w:szCs w:val="16"/>
        </w:rPr>
      </w:pPr>
      <w:hyperlink r:id="rId18" w:history="1">
        <w:r w:rsidR="001D56FF" w:rsidRPr="00030987">
          <w:rPr>
            <w:rFonts w:asciiTheme="minorHAnsi" w:hAnsiTheme="minorHAnsi" w:cstheme="minorHAnsi"/>
            <w:sz w:val="16"/>
          </w:rPr>
          <w:t>http://www2.deloitte.com/global/en/pages/about-deloitte/articles/about-deloitte-central-europe.html</w:t>
        </w:r>
      </w:hyperlink>
      <w:r w:rsidR="001D56FF" w:rsidRPr="00030987">
        <w:rPr>
          <w:rFonts w:asciiTheme="minorHAnsi" w:hAnsiTheme="minorHAnsi" w:cstheme="minorHAnsi"/>
          <w:sz w:val="16"/>
          <w:szCs w:val="16"/>
        </w:rPr>
        <w:t xml:space="preserve">) za podmínek stanovených příslušnými místními právními předpisy upravujícími ochranu osobních údajů a užívání osobních údajů pro marketingové účely a zasílání obchodních sdělení. Klient a příslušný subjekt </w:t>
      </w:r>
      <w:r w:rsidR="001D56FF" w:rsidRPr="00D93AC2">
        <w:rPr>
          <w:rFonts w:asciiTheme="minorHAnsi" w:hAnsiTheme="minorHAnsi" w:cstheme="minorHAnsi"/>
          <w:sz w:val="16"/>
          <w:szCs w:val="16"/>
        </w:rPr>
        <w:t>O</w:t>
      </w:r>
      <w:r w:rsidR="001D56FF" w:rsidRPr="00030987">
        <w:rPr>
          <w:rFonts w:asciiTheme="minorHAnsi" w:hAnsiTheme="minorHAnsi" w:cstheme="minorHAnsi"/>
          <w:sz w:val="16"/>
          <w:szCs w:val="16"/>
        </w:rPr>
        <w:t xml:space="preserve">sobních údajů jsou oprávněni kontaktovat  </w:t>
      </w:r>
      <w:proofErr w:type="spellStart"/>
      <w:r w:rsidR="001D56FF" w:rsidRPr="00030987">
        <w:rPr>
          <w:rFonts w:asciiTheme="minorHAnsi" w:hAnsiTheme="minorHAnsi" w:cstheme="minorHAnsi"/>
          <w:sz w:val="16"/>
          <w:szCs w:val="16"/>
        </w:rPr>
        <w:t>Deloitte</w:t>
      </w:r>
      <w:proofErr w:type="spellEnd"/>
      <w:r w:rsidR="001D56FF" w:rsidRPr="00030987">
        <w:rPr>
          <w:rFonts w:asciiTheme="minorHAnsi" w:hAnsiTheme="minorHAnsi" w:cstheme="minorHAnsi"/>
          <w:sz w:val="16"/>
          <w:szCs w:val="16"/>
        </w:rPr>
        <w:t xml:space="preserve"> za účelem kontroly a/nebo aktualizace příslušných Osobních údajů, jakož i požadovat ukončení jejich Zpracování pro tento konkrétní účel, a to v souladu s postupy dohodnutými v této Smlouvě.</w:t>
      </w:r>
    </w:p>
    <w:p w14:paraId="67A6048B" w14:textId="77777777" w:rsidR="001D56FF" w:rsidRPr="00FE1296" w:rsidRDefault="001D56FF" w:rsidP="009E1961">
      <w:pPr>
        <w:pStyle w:val="Odstavecseseznamem"/>
        <w:numPr>
          <w:ilvl w:val="0"/>
          <w:numId w:val="58"/>
        </w:numPr>
        <w:ind w:left="0" w:right="70" w:hanging="284"/>
        <w:rPr>
          <w:b/>
          <w:color w:val="00A1DE" w:themeColor="accent3"/>
          <w:sz w:val="16"/>
          <w:szCs w:val="16"/>
        </w:rPr>
      </w:pPr>
      <w:r w:rsidRPr="00030987">
        <w:rPr>
          <w:b/>
          <w:color w:val="00A1DE" w:themeColor="accent3"/>
          <w:sz w:val="16"/>
          <w:szCs w:val="16"/>
        </w:rPr>
        <w:t>Přenos dat a použití subdodavatelů</w:t>
      </w:r>
    </w:p>
    <w:p w14:paraId="670946D3" w14:textId="77777777" w:rsidR="001D56FF" w:rsidRPr="00030987" w:rsidRDefault="001D56FF" w:rsidP="009D03D5">
      <w:pPr>
        <w:pStyle w:val="Odstavecseseznamem"/>
        <w:ind w:left="0" w:right="70"/>
        <w:rPr>
          <w:rFonts w:asciiTheme="minorHAnsi" w:hAnsiTheme="minorHAnsi" w:cstheme="minorHAnsi"/>
          <w:sz w:val="16"/>
          <w:szCs w:val="16"/>
        </w:rPr>
      </w:pP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je oprávněn předávat Osobní údaje do různých jurisdikcí, v nichž působí Společnosti skupiny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w:t>
      </w:r>
      <w:hyperlink r:id="rId19" w:history="1">
        <w:r w:rsidRPr="00030987">
          <w:rPr>
            <w:rFonts w:asciiTheme="minorHAnsi" w:hAnsiTheme="minorHAnsi" w:cstheme="minorHAnsi"/>
            <w:sz w:val="16"/>
          </w:rPr>
          <w:t>http://www2.deloitte.com/global/en/get-connected/global-office-directory.html</w:t>
        </w:r>
      </w:hyperlink>
      <w:r w:rsidRPr="00030987">
        <w:rPr>
          <w:rFonts w:asciiTheme="minorHAnsi" w:hAnsiTheme="minorHAnsi" w:cstheme="minorHAnsi"/>
          <w:sz w:val="16"/>
          <w:szCs w:val="16"/>
        </w:rPr>
        <w:t xml:space="preserve">). </w:t>
      </w:r>
    </w:p>
    <w:p w14:paraId="69EEEFEE" w14:textId="77777777" w:rsidR="001D56FF" w:rsidRPr="00030987" w:rsidRDefault="001D56FF" w:rsidP="009D03D5">
      <w:pPr>
        <w:ind w:right="70"/>
        <w:rPr>
          <w:rFonts w:asciiTheme="minorHAnsi" w:hAnsiTheme="minorHAnsi" w:cstheme="minorHAnsi"/>
          <w:sz w:val="16"/>
          <w:szCs w:val="16"/>
        </w:rPr>
      </w:pP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je tak oprávněn zpřístupnit Osobní údaje a jiné </w:t>
      </w:r>
      <w:r w:rsidRPr="00013710">
        <w:rPr>
          <w:rFonts w:asciiTheme="minorHAnsi" w:hAnsiTheme="minorHAnsi" w:cstheme="minorHAnsi"/>
          <w:sz w:val="16"/>
          <w:szCs w:val="16"/>
        </w:rPr>
        <w:t>D</w:t>
      </w:r>
      <w:r w:rsidRPr="00030987">
        <w:rPr>
          <w:rFonts w:asciiTheme="minorHAnsi" w:hAnsiTheme="minorHAnsi" w:cstheme="minorHAnsi"/>
          <w:sz w:val="16"/>
          <w:szCs w:val="16"/>
        </w:rPr>
        <w:t xml:space="preserve">ůvěrné informace poskytnuté Klientem přes státní hranice (to rovněž zahrnuje území mimo Evropský hospodářský prostor). Klient souhlasí, že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může předávat Smluvní dokumentaci, včetně Osobních údajů a jiných </w:t>
      </w:r>
      <w:r w:rsidRPr="00013710">
        <w:rPr>
          <w:rFonts w:asciiTheme="minorHAnsi" w:hAnsiTheme="minorHAnsi" w:cstheme="minorHAnsi"/>
          <w:sz w:val="16"/>
          <w:szCs w:val="16"/>
        </w:rPr>
        <w:t>D</w:t>
      </w:r>
      <w:r w:rsidRPr="00030987">
        <w:rPr>
          <w:rFonts w:asciiTheme="minorHAnsi" w:hAnsiTheme="minorHAnsi" w:cstheme="minorHAnsi"/>
          <w:sz w:val="16"/>
          <w:szCs w:val="16"/>
        </w:rPr>
        <w:t xml:space="preserve">ůvěrných informací, které mají být Zpracovány za účelem plnění Smlouvy, využívání služeb elektronické pošty a dalších hostovaných aplikací a systémů pro archivaci a plnění požadavků platných právních předpisů jiné Společnosti skupiny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a/nebo subdodavateli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pod podmínkou, že jsou splněny zákonné povinnosti pro takové předání a že technická, organizační a personální bezpečnostní opatření budou zachována na takové úrovni, jakou vyžadují platné právní předpisy. Seznam zpracovatelů Osobních údajů: Společností skupiny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a subdodavatelů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včetně destinací, v nichž působí, je umístěn zde: </w:t>
      </w:r>
      <w:hyperlink r:id="rId20" w:history="1">
        <w:r w:rsidRPr="00030987">
          <w:rPr>
            <w:rFonts w:asciiTheme="minorHAnsi" w:hAnsiTheme="minorHAnsi" w:cstheme="minorHAnsi"/>
            <w:sz w:val="16"/>
          </w:rPr>
          <w:t>http://www2.deloitte.com/global/en/pages/about-deloitte/articles/ce_list_of_clients_personal_data.html</w:t>
        </w:r>
      </w:hyperlink>
      <w:r w:rsidRPr="00030987">
        <w:rPr>
          <w:rFonts w:asciiTheme="minorHAnsi" w:hAnsiTheme="minorHAnsi" w:cstheme="minorHAnsi"/>
          <w:sz w:val="16"/>
          <w:szCs w:val="16"/>
        </w:rPr>
        <w:t>.</w:t>
      </w:r>
    </w:p>
    <w:p w14:paraId="0E777127" w14:textId="77777777" w:rsidR="001D56FF" w:rsidRPr="003D6B57" w:rsidRDefault="001D56FF" w:rsidP="009D03D5">
      <w:pPr>
        <w:pStyle w:val="Odstavecseseznamem"/>
        <w:ind w:left="0" w:right="70"/>
        <w:rPr>
          <w:rFonts w:asciiTheme="minorHAnsi" w:hAnsiTheme="minorHAnsi" w:cstheme="minorHAnsi"/>
          <w:sz w:val="16"/>
          <w:szCs w:val="16"/>
        </w:rPr>
      </w:pPr>
      <w:r w:rsidRPr="00030987">
        <w:rPr>
          <w:rFonts w:asciiTheme="minorHAnsi" w:hAnsiTheme="minorHAnsi" w:cstheme="minorHAnsi"/>
          <w:sz w:val="16"/>
          <w:szCs w:val="16"/>
        </w:rPr>
        <w:t xml:space="preserve">Osobní údaje mohou být rovněž Zpracovávány jinými Společnostmi skupiny </w:t>
      </w:r>
      <w:proofErr w:type="spellStart"/>
      <w:r w:rsidRPr="00030987">
        <w:rPr>
          <w:rFonts w:asciiTheme="minorHAnsi" w:hAnsiTheme="minorHAnsi" w:cstheme="minorHAnsi"/>
          <w:sz w:val="16"/>
          <w:szCs w:val="16"/>
        </w:rPr>
        <w:t>Deloitte</w:t>
      </w:r>
      <w:proofErr w:type="spellEnd"/>
      <w:r w:rsidRPr="00030987">
        <w:rPr>
          <w:rFonts w:asciiTheme="minorHAnsi" w:hAnsiTheme="minorHAnsi" w:cstheme="minorHAnsi"/>
          <w:sz w:val="16"/>
          <w:szCs w:val="16"/>
        </w:rPr>
        <w:t xml:space="preserve">, které jsou uvedeny zde: </w:t>
      </w:r>
      <w:hyperlink r:id="rId21" w:history="1">
        <w:r w:rsidRPr="00030987">
          <w:rPr>
            <w:rFonts w:asciiTheme="minorHAnsi" w:hAnsiTheme="minorHAnsi" w:cstheme="minorHAnsi"/>
            <w:sz w:val="16"/>
          </w:rPr>
          <w:t>http://www2.deloitte.com/global/en/get-connected/global-office-directory.html</w:t>
        </w:r>
      </w:hyperlink>
      <w:r w:rsidRPr="00030987">
        <w:rPr>
          <w:rFonts w:asciiTheme="minorHAnsi" w:hAnsiTheme="minorHAnsi" w:cstheme="minorHAnsi"/>
          <w:sz w:val="16"/>
        </w:rPr>
        <w:t>.</w:t>
      </w:r>
    </w:p>
    <w:p w14:paraId="173CAA08" w14:textId="77777777" w:rsidR="001D56FF" w:rsidRPr="003D6B57" w:rsidRDefault="001D56FF" w:rsidP="009E1961">
      <w:pPr>
        <w:keepNext/>
        <w:keepLines w:val="0"/>
        <w:numPr>
          <w:ilvl w:val="0"/>
          <w:numId w:val="29"/>
        </w:numPr>
        <w:tabs>
          <w:tab w:val="clear" w:pos="851"/>
        </w:tabs>
        <w:spacing w:after="120"/>
        <w:ind w:leftChars="-157" w:left="-2" w:right="70" w:hangingChars="175" w:hanging="281"/>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Stejnopisy a jazyk </w:t>
      </w:r>
    </w:p>
    <w:p w14:paraId="0D53A59D" w14:textId="77777777" w:rsidR="001D56FF" w:rsidRDefault="001D56FF" w:rsidP="009D03D5">
      <w:pPr>
        <w:tabs>
          <w:tab w:val="clear" w:pos="851"/>
        </w:tabs>
        <w:spacing w:before="60" w:after="60"/>
        <w:ind w:right="70"/>
        <w:rPr>
          <w:rFonts w:asciiTheme="minorHAnsi" w:hAnsiTheme="minorHAnsi" w:cstheme="minorHAnsi"/>
          <w:sz w:val="16"/>
          <w:szCs w:val="16"/>
        </w:rPr>
      </w:pPr>
      <w:r w:rsidRPr="00E80251">
        <w:rPr>
          <w:rFonts w:asciiTheme="minorHAnsi" w:hAnsiTheme="minorHAnsi" w:cstheme="minorHAnsi"/>
          <w:sz w:val="16"/>
          <w:szCs w:val="16"/>
        </w:rPr>
        <w:t>Tato Smlouva může být podepsána v jakémkoli počtu stejnopisů (ať jde o stejnopisy ve formě originálu nebo faksimile nebo .</w:t>
      </w:r>
      <w:proofErr w:type="spellStart"/>
      <w:r w:rsidRPr="00E80251">
        <w:rPr>
          <w:rFonts w:asciiTheme="minorHAnsi" w:hAnsiTheme="minorHAnsi" w:cstheme="minorHAnsi"/>
          <w:sz w:val="16"/>
          <w:szCs w:val="16"/>
        </w:rPr>
        <w:t>pdf</w:t>
      </w:r>
      <w:proofErr w:type="spellEnd"/>
      <w:r w:rsidRPr="00E80251">
        <w:rPr>
          <w:rFonts w:asciiTheme="minorHAnsi" w:hAnsiTheme="minorHAnsi" w:cstheme="minorHAnsi"/>
          <w:sz w:val="16"/>
          <w:szCs w:val="16"/>
        </w:rPr>
        <w:t xml:space="preserve"> přílohy k emailu). Každý podepsaný stejnopis bude považován za originál Smlouvy, ale všechny stejnopisy společně tvoří jeden a ten samý nástroj. Pokud existují verze Smlouvy v angličtině a jiném jazyce, v případě nesouladu mezi verzemi </w:t>
      </w:r>
      <w:r>
        <w:rPr>
          <w:rFonts w:asciiTheme="minorHAnsi" w:hAnsiTheme="minorHAnsi" w:cstheme="minorHAnsi"/>
          <w:sz w:val="16"/>
          <w:szCs w:val="16"/>
        </w:rPr>
        <w:t>je rozhodující verze anglická</w:t>
      </w:r>
      <w:r w:rsidRPr="00E80251">
        <w:rPr>
          <w:rFonts w:asciiTheme="minorHAnsi" w:hAnsiTheme="minorHAnsi" w:cstheme="minorHAnsi"/>
          <w:sz w:val="16"/>
          <w:szCs w:val="16"/>
        </w:rPr>
        <w:t xml:space="preserve">. </w:t>
      </w:r>
    </w:p>
    <w:p w14:paraId="5D052E0F" w14:textId="77777777" w:rsidR="001D56FF" w:rsidRPr="003D6B57" w:rsidRDefault="001D56FF" w:rsidP="009E1961">
      <w:pPr>
        <w:keepLines w:val="0"/>
        <w:numPr>
          <w:ilvl w:val="0"/>
          <w:numId w:val="29"/>
        </w:numPr>
        <w:tabs>
          <w:tab w:val="clear" w:pos="851"/>
        </w:tabs>
        <w:spacing w:after="120"/>
        <w:ind w:left="0" w:right="70" w:hanging="357"/>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Řešení sporů </w:t>
      </w:r>
    </w:p>
    <w:p w14:paraId="2AC4CDDE" w14:textId="77777777" w:rsidR="001D56FF" w:rsidRPr="00E80251" w:rsidRDefault="001D56FF" w:rsidP="009D03D5">
      <w:pPr>
        <w:keepLines w:val="0"/>
        <w:spacing w:before="60" w:after="60"/>
        <w:ind w:right="70"/>
        <w:rPr>
          <w:rFonts w:asciiTheme="minorHAnsi" w:hAnsiTheme="minorHAnsi" w:cstheme="minorHAnsi"/>
          <w:sz w:val="16"/>
          <w:szCs w:val="16"/>
        </w:rPr>
      </w:pPr>
      <w:r w:rsidRPr="00E80251">
        <w:rPr>
          <w:rFonts w:asciiTheme="minorHAnsi" w:hAnsiTheme="minorHAnsi" w:cstheme="minorHAnsi"/>
          <w:sz w:val="16"/>
          <w:szCs w:val="16"/>
        </w:rPr>
        <w:t xml:space="preserve">Strany souhlasí, že se pokusí v dobré víře vyřešit jakýkoli spor nebo nárok (včetně nároků na zápočet pohledávek, nároků souvisejících s jakoukoli fakturou nebo fakturovanou částkou a protinároků), který může vzniknout v souvislosti s platností, účinkem, výkladem nebo plněním právního vztahu založeného touto Smlouvou nebo ve spojení s touto Smlouvou, a to okamžitě pomocí jednání mezi vyšším vedením. Pokud nebude záležitost vyřešena do 60 dní od okamžiku, kdy ji projednalo vyšší vedení, pak může být v dané záležitosti zahájeno právní řízení.  Nic v tomto ustanovení nezabrání žádné ze stran kdykoli během nebo po zahájení procesu řešení sporu zahájit právní řízení na ochranu práv duševního vlastnictví, obchodních tajemství nebo důvěrných informací nebo zachování jakéhokoli zákonného práva nebo opravného prostředku.  </w:t>
      </w:r>
    </w:p>
    <w:p w14:paraId="5B1A7E03" w14:textId="77777777" w:rsidR="001D56FF" w:rsidRPr="003D6B57" w:rsidRDefault="001D56FF" w:rsidP="009E1961">
      <w:pPr>
        <w:keepLines w:val="0"/>
        <w:numPr>
          <w:ilvl w:val="0"/>
          <w:numId w:val="29"/>
        </w:numPr>
        <w:tabs>
          <w:tab w:val="clear" w:pos="851"/>
        </w:tabs>
        <w:spacing w:after="120"/>
        <w:ind w:left="0" w:right="70" w:hanging="357"/>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Rozhodné právo a </w:t>
      </w:r>
      <w:r>
        <w:rPr>
          <w:rFonts w:asciiTheme="minorHAnsi" w:hAnsiTheme="minorHAnsi" w:cstheme="minorHAnsi"/>
          <w:b/>
          <w:color w:val="92D400"/>
          <w:kern w:val="28"/>
          <w:sz w:val="16"/>
          <w:szCs w:val="16"/>
        </w:rPr>
        <w:t>místní příslušnost</w:t>
      </w:r>
      <w:r w:rsidRPr="003D6B57">
        <w:rPr>
          <w:rFonts w:asciiTheme="minorHAnsi" w:hAnsiTheme="minorHAnsi" w:cstheme="minorHAnsi"/>
          <w:b/>
          <w:color w:val="92D400"/>
          <w:kern w:val="28"/>
          <w:sz w:val="16"/>
          <w:szCs w:val="16"/>
        </w:rPr>
        <w:t xml:space="preserve"> </w:t>
      </w:r>
    </w:p>
    <w:p w14:paraId="2261140E" w14:textId="77777777" w:rsidR="001D56FF" w:rsidRPr="003D6B57" w:rsidRDefault="001D56FF" w:rsidP="00015A9A">
      <w:pPr>
        <w:spacing w:before="60" w:after="60"/>
        <w:rPr>
          <w:rFonts w:asciiTheme="minorHAnsi" w:hAnsiTheme="minorHAnsi" w:cstheme="minorHAnsi"/>
          <w:sz w:val="16"/>
          <w:szCs w:val="16"/>
        </w:rPr>
      </w:pPr>
      <w:r w:rsidRPr="003D6B57">
        <w:rPr>
          <w:rFonts w:asciiTheme="minorHAnsi" w:hAnsiTheme="minorHAnsi" w:cstheme="minorHAnsi"/>
          <w:sz w:val="16"/>
          <w:szCs w:val="16"/>
        </w:rPr>
        <w:lastRenderedPageBreak/>
        <w:t xml:space="preserve">Tato Smlouva a veškeré záležitosti, které se k ní vztahují (včetně mimosmluvních závazků) se řídí a jsou vykládány v souladu se zákony země, kde má společnost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uzavírající tuto Smlouvu sídlo. </w:t>
      </w:r>
      <w:r w:rsidRPr="008A530C">
        <w:rPr>
          <w:rFonts w:asciiTheme="minorHAnsi" w:hAnsiTheme="minorHAnsi" w:cstheme="minorHAnsi"/>
          <w:sz w:val="16"/>
          <w:szCs w:val="16"/>
        </w:rPr>
        <w:t xml:space="preserve">Jakákoli žaloba vztahující se k této Smlouvě či Službám nebo z nich vyplývající bude podána a jakékoli řízení bude vedeno výlučně </w:t>
      </w:r>
      <w:r w:rsidRPr="003D6B57">
        <w:rPr>
          <w:rFonts w:asciiTheme="minorHAnsi" w:hAnsiTheme="minorHAnsi" w:cstheme="minorHAnsi"/>
          <w:sz w:val="16"/>
          <w:szCs w:val="16"/>
        </w:rPr>
        <w:t xml:space="preserve">výhradně soudy v zemi, kde má sídlo společnost skupiny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která tuto Smlouvu uzavřela. V souladu s ustanovením </w:t>
      </w:r>
      <w:r>
        <w:rPr>
          <w:rFonts w:asciiTheme="minorHAnsi" w:hAnsiTheme="minorHAnsi" w:cstheme="minorHAnsi"/>
          <w:sz w:val="16"/>
          <w:szCs w:val="16"/>
        </w:rPr>
        <w:t>23</w:t>
      </w:r>
      <w:r w:rsidRPr="003D6B57">
        <w:rPr>
          <w:rFonts w:asciiTheme="minorHAnsi" w:hAnsiTheme="minorHAnsi" w:cstheme="minorHAnsi"/>
          <w:sz w:val="16"/>
          <w:szCs w:val="16"/>
        </w:rPr>
        <w:t xml:space="preserve"> se smluvní strany tímto výslovně a neodvolatelně (i) podřizují</w:t>
      </w:r>
      <w:r w:rsidRPr="007F35CF">
        <w:rPr>
          <w:b/>
          <w:szCs w:val="22"/>
        </w:rPr>
        <w:t xml:space="preserve"> </w:t>
      </w:r>
      <w:r w:rsidRPr="003D6B57">
        <w:rPr>
          <w:rFonts w:asciiTheme="minorHAnsi" w:hAnsiTheme="minorHAnsi" w:cstheme="minorHAnsi"/>
          <w:sz w:val="16"/>
          <w:szCs w:val="16"/>
        </w:rPr>
        <w:t xml:space="preserve">výhradní jurisdikci těchto soudů pro účely jakékoli žaloby nebo řízení a </w:t>
      </w:r>
      <w:r w:rsidRPr="00344372">
        <w:rPr>
          <w:rFonts w:asciiTheme="minorHAnsi" w:hAnsiTheme="minorHAnsi" w:cstheme="minorHAnsi"/>
          <w:sz w:val="16"/>
          <w:szCs w:val="16"/>
        </w:rPr>
        <w:t>(</w:t>
      </w:r>
      <w:proofErr w:type="spellStart"/>
      <w:r w:rsidRPr="00344372">
        <w:rPr>
          <w:rFonts w:asciiTheme="minorHAnsi" w:hAnsiTheme="minorHAnsi" w:cstheme="minorHAnsi"/>
          <w:sz w:val="16"/>
          <w:szCs w:val="16"/>
        </w:rPr>
        <w:t>ii</w:t>
      </w:r>
      <w:proofErr w:type="spellEnd"/>
      <w:r w:rsidRPr="00344372">
        <w:rPr>
          <w:rFonts w:asciiTheme="minorHAnsi" w:hAnsiTheme="minorHAnsi" w:cstheme="minorHAnsi"/>
          <w:sz w:val="16"/>
          <w:szCs w:val="16"/>
        </w:rPr>
        <w:t>) v maximálním rozsahu, který povoluje zákon, se vzdávají jakýchkoliv námitek nepříslušnosti soudu a projednávání takovéto žaloby před příslušnými soudy</w:t>
      </w:r>
      <w:r>
        <w:rPr>
          <w:rFonts w:asciiTheme="minorHAnsi" w:hAnsiTheme="minorHAnsi" w:cstheme="minorHAnsi"/>
          <w:sz w:val="16"/>
          <w:szCs w:val="16"/>
        </w:rPr>
        <w:t>.</w:t>
      </w:r>
    </w:p>
    <w:p w14:paraId="014B2432" w14:textId="77777777" w:rsidR="001D56FF" w:rsidRPr="003D6B57" w:rsidRDefault="001D56FF" w:rsidP="009E1961">
      <w:pPr>
        <w:keepLines w:val="0"/>
        <w:numPr>
          <w:ilvl w:val="0"/>
          <w:numId w:val="29"/>
        </w:numPr>
        <w:tabs>
          <w:tab w:val="clear" w:pos="851"/>
        </w:tabs>
        <w:spacing w:after="120"/>
        <w:ind w:left="0" w:hanging="357"/>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Oprávněné osoby </w:t>
      </w:r>
    </w:p>
    <w:p w14:paraId="3AB8541A" w14:textId="77777777" w:rsidR="001D56FF" w:rsidRPr="003D6B57" w:rsidRDefault="001D56FF" w:rsidP="00015A9A">
      <w:pPr>
        <w:keepLines w:val="0"/>
        <w:spacing w:before="60" w:after="60"/>
        <w:rPr>
          <w:rFonts w:asciiTheme="minorHAnsi" w:hAnsiTheme="minorHAnsi" w:cstheme="minorHAnsi"/>
          <w:sz w:val="16"/>
          <w:szCs w:val="16"/>
        </w:rPr>
      </w:pPr>
      <w:r w:rsidRPr="003D6B57">
        <w:rPr>
          <w:rFonts w:asciiTheme="minorHAnsi" w:hAnsiTheme="minorHAnsi" w:cstheme="minorHAnsi"/>
          <w:sz w:val="16"/>
          <w:szCs w:val="16"/>
        </w:rPr>
        <w:t xml:space="preserve">Pokud si jakákoli třetí strana přeje spoléhat se na Výstup (a/nebo jeho návrhy) a stát se Oprávněnou osobou definovanou v této Smlouvě, taková třetí strana musí nejprve uzavřít smlouvu se společností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ve formě přijatelné pro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podle níž tato strana přijímá podmínky této Smlouvy (které podléhají změnám odsouhlaseným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se třetí stranou),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se bude k této straně chovat jako k Oprávněné osobě v souladu s touto Smlouvou a přijme povinnost péče vůči ní ve vztahu k Výstupu (a/nebo jeho návrhům).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neponese odpovědnost vůči jakékoli straně, která se společností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neuzavře výše uvedenou smlouvu. </w:t>
      </w:r>
    </w:p>
    <w:p w14:paraId="4C7F3D4A" w14:textId="77777777" w:rsidR="001D56FF" w:rsidRPr="003D6B57" w:rsidRDefault="001D56FF" w:rsidP="009E1961">
      <w:pPr>
        <w:keepLines w:val="0"/>
        <w:numPr>
          <w:ilvl w:val="0"/>
          <w:numId w:val="29"/>
        </w:numPr>
        <w:tabs>
          <w:tab w:val="clear" w:pos="851"/>
        </w:tabs>
        <w:spacing w:after="120"/>
        <w:ind w:left="0" w:hanging="357"/>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Školení </w:t>
      </w:r>
    </w:p>
    <w:p w14:paraId="485F2F00" w14:textId="5EB1B5F7" w:rsidR="001D56FF" w:rsidRPr="009E1961" w:rsidRDefault="001D56FF" w:rsidP="009E1961">
      <w:pPr>
        <w:pStyle w:val="Odstavecseseznamem"/>
        <w:keepLines w:val="0"/>
        <w:numPr>
          <w:ilvl w:val="0"/>
          <w:numId w:val="59"/>
        </w:numPr>
        <w:tabs>
          <w:tab w:val="clear" w:pos="851"/>
        </w:tabs>
        <w:spacing w:after="120"/>
        <w:ind w:left="0"/>
        <w:rPr>
          <w:rFonts w:asciiTheme="minorHAnsi" w:hAnsiTheme="minorHAnsi" w:cstheme="minorHAnsi"/>
          <w:sz w:val="16"/>
          <w:szCs w:val="16"/>
        </w:rPr>
      </w:pPr>
      <w:r w:rsidRPr="009E1961">
        <w:rPr>
          <w:rFonts w:asciiTheme="minorHAnsi" w:hAnsiTheme="minorHAnsi" w:cstheme="minorHAnsi"/>
          <w:sz w:val="16"/>
          <w:szCs w:val="16"/>
        </w:rPr>
        <w:t xml:space="preserve">Jakákoli zakázka ve vztahu ke školení nebo instruktáži personálu Klienta bude prováděna jako zakázka s vynaložením přiměřeného úsilí a bude podléhat poskytnutí včasných a správných informací ze strany Klienta o kvalifikaci, vzdělání a zkušenostech účastníků školení. </w:t>
      </w:r>
    </w:p>
    <w:p w14:paraId="069AFB27" w14:textId="01F1E046" w:rsidR="001D56FF" w:rsidRPr="009E1961" w:rsidRDefault="001D56FF" w:rsidP="009E1961">
      <w:pPr>
        <w:pStyle w:val="Odstavecseseznamem"/>
        <w:keepLines w:val="0"/>
        <w:numPr>
          <w:ilvl w:val="0"/>
          <w:numId w:val="59"/>
        </w:numPr>
        <w:tabs>
          <w:tab w:val="clear" w:pos="851"/>
        </w:tabs>
        <w:spacing w:after="120"/>
        <w:ind w:left="0"/>
        <w:rPr>
          <w:rFonts w:asciiTheme="minorHAnsi" w:hAnsiTheme="minorHAnsi" w:cstheme="minorHAnsi"/>
          <w:sz w:val="16"/>
          <w:szCs w:val="16"/>
        </w:rPr>
      </w:pPr>
      <w:r w:rsidRPr="009E1961">
        <w:rPr>
          <w:rFonts w:asciiTheme="minorHAnsi" w:hAnsiTheme="minorHAnsi" w:cstheme="minorHAnsi"/>
          <w:sz w:val="16"/>
          <w:szCs w:val="16"/>
        </w:rPr>
        <w:t xml:space="preserve">Veškerá komunikace </w:t>
      </w:r>
      <w:proofErr w:type="spellStart"/>
      <w:r w:rsidRPr="009E1961">
        <w:rPr>
          <w:rFonts w:asciiTheme="minorHAnsi" w:hAnsiTheme="minorHAnsi" w:cstheme="minorHAnsi"/>
          <w:sz w:val="16"/>
          <w:szCs w:val="16"/>
        </w:rPr>
        <w:t>Deloitte</w:t>
      </w:r>
      <w:proofErr w:type="spellEnd"/>
      <w:r w:rsidRPr="009E1961">
        <w:rPr>
          <w:rFonts w:asciiTheme="minorHAnsi" w:hAnsiTheme="minorHAnsi" w:cstheme="minorHAnsi"/>
          <w:sz w:val="16"/>
          <w:szCs w:val="16"/>
        </w:rPr>
        <w:t xml:space="preserve"> ve vztahu ke školení nebo instruktážnímu programu musí být chápána jako akademická a pouze pro vzdělávací účely a nesmí být vykládána jako odborná rada ani na ni nelze jako na odbornou radu spoléhat. </w:t>
      </w:r>
    </w:p>
    <w:p w14:paraId="02A1CD15" w14:textId="77777777" w:rsidR="001D56FF" w:rsidRPr="003D6B57" w:rsidRDefault="001D56FF" w:rsidP="009E1961">
      <w:pPr>
        <w:keepLines w:val="0"/>
        <w:numPr>
          <w:ilvl w:val="0"/>
          <w:numId w:val="59"/>
        </w:numPr>
        <w:tabs>
          <w:tab w:val="clear" w:pos="851"/>
        </w:tabs>
        <w:spacing w:after="120"/>
        <w:ind w:left="0" w:hanging="357"/>
        <w:rPr>
          <w:rFonts w:asciiTheme="minorHAnsi" w:hAnsiTheme="minorHAnsi" w:cstheme="minorHAnsi"/>
          <w:sz w:val="16"/>
          <w:szCs w:val="16"/>
        </w:rPr>
      </w:pP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má právo kombinovat, odkládat nebo přemísťovat studijní program, kurz nebo školení s jedním nebo více jinými studijními programy, kurzy nebo školeními v souladu s povinnostmi zachování důvěrnosti informací uvedenými v ustanovení </w:t>
      </w:r>
      <w:r>
        <w:rPr>
          <w:rFonts w:asciiTheme="minorHAnsi" w:hAnsiTheme="minorHAnsi" w:cstheme="minorHAnsi"/>
          <w:sz w:val="16"/>
          <w:szCs w:val="16"/>
        </w:rPr>
        <w:t>10</w:t>
      </w:r>
      <w:r w:rsidRPr="003D6B57">
        <w:rPr>
          <w:rFonts w:asciiTheme="minorHAnsi" w:hAnsiTheme="minorHAnsi" w:cstheme="minorHAnsi"/>
          <w:sz w:val="16"/>
          <w:szCs w:val="16"/>
        </w:rPr>
        <w:t xml:space="preserve"> výše. </w:t>
      </w:r>
    </w:p>
    <w:p w14:paraId="14453DCD" w14:textId="77777777" w:rsidR="001D56FF" w:rsidRPr="003D6B57" w:rsidRDefault="001D56FF" w:rsidP="009E1961">
      <w:pPr>
        <w:keepLines w:val="0"/>
        <w:numPr>
          <w:ilvl w:val="0"/>
          <w:numId w:val="29"/>
        </w:numPr>
        <w:tabs>
          <w:tab w:val="clear" w:pos="851"/>
        </w:tabs>
        <w:spacing w:after="120"/>
        <w:ind w:left="0" w:hanging="357"/>
        <w:rPr>
          <w:rFonts w:asciiTheme="minorHAnsi" w:hAnsiTheme="minorHAnsi" w:cstheme="minorHAnsi"/>
          <w:b/>
          <w:color w:val="92D400"/>
          <w:kern w:val="28"/>
          <w:sz w:val="16"/>
          <w:szCs w:val="16"/>
        </w:rPr>
      </w:pPr>
      <w:r>
        <w:rPr>
          <w:rFonts w:asciiTheme="minorHAnsi" w:hAnsiTheme="minorHAnsi" w:cstheme="minorHAnsi"/>
          <w:b/>
          <w:color w:val="92D400"/>
          <w:kern w:val="28"/>
          <w:sz w:val="16"/>
          <w:szCs w:val="16"/>
        </w:rPr>
        <w:t>Objednávky prací</w:t>
      </w:r>
      <w:r w:rsidRPr="003D6B57">
        <w:rPr>
          <w:rFonts w:asciiTheme="minorHAnsi" w:hAnsiTheme="minorHAnsi" w:cstheme="minorHAnsi"/>
          <w:b/>
          <w:color w:val="92D400"/>
          <w:kern w:val="28"/>
          <w:sz w:val="16"/>
          <w:szCs w:val="16"/>
        </w:rPr>
        <w:t xml:space="preserve"> </w:t>
      </w:r>
    </w:p>
    <w:p w14:paraId="3F60AA88" w14:textId="2F7E135E" w:rsidR="001D56FF" w:rsidRPr="003D6B57" w:rsidRDefault="006A5761" w:rsidP="009E1961">
      <w:pPr>
        <w:keepLines w:val="0"/>
        <w:tabs>
          <w:tab w:val="clear" w:pos="851"/>
        </w:tabs>
        <w:spacing w:after="120"/>
        <w:ind w:hanging="357"/>
        <w:rPr>
          <w:rFonts w:asciiTheme="minorHAnsi" w:hAnsiTheme="minorHAnsi" w:cstheme="minorHAnsi"/>
          <w:sz w:val="16"/>
          <w:szCs w:val="16"/>
        </w:rPr>
      </w:pPr>
      <w:r>
        <w:rPr>
          <w:rFonts w:asciiTheme="minorHAnsi" w:hAnsiTheme="minorHAnsi" w:cstheme="minorHAnsi"/>
          <w:sz w:val="16"/>
          <w:szCs w:val="16"/>
        </w:rPr>
        <w:t>a)</w:t>
      </w:r>
      <w:r>
        <w:rPr>
          <w:rFonts w:asciiTheme="minorHAnsi" w:hAnsiTheme="minorHAnsi" w:cstheme="minorHAnsi"/>
          <w:sz w:val="16"/>
          <w:szCs w:val="16"/>
        </w:rPr>
        <w:tab/>
      </w:r>
      <w:r w:rsidR="001D56FF" w:rsidRPr="00FB393F">
        <w:rPr>
          <w:rFonts w:asciiTheme="minorHAnsi" w:hAnsiTheme="minorHAnsi" w:cstheme="minorHAnsi"/>
          <w:sz w:val="16"/>
          <w:szCs w:val="16"/>
        </w:rPr>
        <w:t xml:space="preserve">Služby, nebo jejich část, budou poskytovány na základně pokynů obsahujících popis požadovaných Služeb dodaných Klientem společnosti </w:t>
      </w:r>
      <w:proofErr w:type="spellStart"/>
      <w:r w:rsidR="001D56FF" w:rsidRPr="00FB393F">
        <w:rPr>
          <w:rFonts w:asciiTheme="minorHAnsi" w:hAnsiTheme="minorHAnsi" w:cstheme="minorHAnsi"/>
          <w:sz w:val="16"/>
          <w:szCs w:val="16"/>
        </w:rPr>
        <w:t>Deloitte</w:t>
      </w:r>
      <w:proofErr w:type="spellEnd"/>
      <w:r w:rsidR="001D56FF" w:rsidRPr="00FB393F">
        <w:rPr>
          <w:rFonts w:asciiTheme="minorHAnsi" w:hAnsiTheme="minorHAnsi" w:cstheme="minorHAnsi"/>
          <w:sz w:val="16"/>
          <w:szCs w:val="16"/>
        </w:rPr>
        <w:t xml:space="preserve"> („Objednávka prací“). Objednávka prací</w:t>
      </w:r>
      <w:r w:rsidR="001D56FF" w:rsidRPr="003D6B57" w:rsidDel="00FB393F">
        <w:rPr>
          <w:rFonts w:asciiTheme="minorHAnsi" w:hAnsiTheme="minorHAnsi" w:cstheme="minorHAnsi"/>
          <w:sz w:val="16"/>
          <w:szCs w:val="16"/>
        </w:rPr>
        <w:t xml:space="preserve"> </w:t>
      </w:r>
      <w:r w:rsidR="001D56FF" w:rsidRPr="003D6B57">
        <w:rPr>
          <w:rFonts w:asciiTheme="minorHAnsi" w:hAnsiTheme="minorHAnsi" w:cstheme="minorHAnsi"/>
          <w:sz w:val="16"/>
          <w:szCs w:val="16"/>
        </w:rPr>
        <w:t>může být proveden</w:t>
      </w:r>
      <w:r w:rsidR="001D56FF">
        <w:rPr>
          <w:rFonts w:asciiTheme="minorHAnsi" w:hAnsiTheme="minorHAnsi" w:cstheme="minorHAnsi"/>
          <w:sz w:val="16"/>
          <w:szCs w:val="16"/>
        </w:rPr>
        <w:t>a</w:t>
      </w:r>
      <w:r w:rsidR="001D56FF" w:rsidRPr="003D6B57">
        <w:rPr>
          <w:rFonts w:asciiTheme="minorHAnsi" w:hAnsiTheme="minorHAnsi" w:cstheme="minorHAnsi"/>
          <w:sz w:val="16"/>
          <w:szCs w:val="16"/>
        </w:rPr>
        <w:t xml:space="preserve"> písemně, faxem, emailem nebo ústně. </w:t>
      </w:r>
    </w:p>
    <w:p w14:paraId="7A7AF1B4" w14:textId="6F10FA52" w:rsidR="001D56FF" w:rsidRPr="009E1961" w:rsidRDefault="006A5761" w:rsidP="009E1961">
      <w:pPr>
        <w:pStyle w:val="Odstavecseseznamem"/>
        <w:keepLines w:val="0"/>
        <w:tabs>
          <w:tab w:val="clear" w:pos="851"/>
        </w:tabs>
        <w:spacing w:before="60" w:after="60"/>
        <w:ind w:left="0" w:hanging="357"/>
        <w:rPr>
          <w:rFonts w:asciiTheme="minorHAnsi" w:hAnsiTheme="minorHAnsi" w:cstheme="minorHAnsi"/>
          <w:sz w:val="16"/>
          <w:szCs w:val="16"/>
        </w:rPr>
      </w:pPr>
      <w:r>
        <w:rPr>
          <w:rFonts w:asciiTheme="minorHAnsi" w:hAnsiTheme="minorHAnsi" w:cstheme="minorHAnsi"/>
          <w:sz w:val="16"/>
          <w:szCs w:val="16"/>
        </w:rPr>
        <w:t>b)</w:t>
      </w:r>
      <w:r>
        <w:rPr>
          <w:rFonts w:asciiTheme="minorHAnsi" w:hAnsiTheme="minorHAnsi" w:cstheme="minorHAnsi"/>
          <w:sz w:val="16"/>
          <w:szCs w:val="16"/>
        </w:rPr>
        <w:tab/>
      </w:r>
      <w:r w:rsidR="001D56FF" w:rsidRPr="009E1961">
        <w:rPr>
          <w:rFonts w:asciiTheme="minorHAnsi" w:hAnsiTheme="minorHAnsi" w:cstheme="minorHAnsi"/>
          <w:sz w:val="16"/>
          <w:szCs w:val="16"/>
        </w:rPr>
        <w:t xml:space="preserve">Objednávka prací je přijata a potvrzena tou z následujících událostí, která nastane dříve: (i) společnost </w:t>
      </w:r>
      <w:proofErr w:type="spellStart"/>
      <w:r w:rsidR="001D56FF" w:rsidRPr="009E1961">
        <w:rPr>
          <w:rFonts w:asciiTheme="minorHAnsi" w:hAnsiTheme="minorHAnsi" w:cstheme="minorHAnsi"/>
          <w:sz w:val="16"/>
          <w:szCs w:val="16"/>
        </w:rPr>
        <w:t>Deloitte</w:t>
      </w:r>
      <w:proofErr w:type="spellEnd"/>
      <w:r w:rsidR="001D56FF" w:rsidRPr="009E1961">
        <w:rPr>
          <w:rFonts w:asciiTheme="minorHAnsi" w:hAnsiTheme="minorHAnsi" w:cstheme="minorHAnsi"/>
          <w:sz w:val="16"/>
          <w:szCs w:val="16"/>
        </w:rPr>
        <w:t xml:space="preserve"> doručí potvrzení Objednávky prací Klientovi nebo (</w:t>
      </w:r>
      <w:proofErr w:type="spellStart"/>
      <w:r w:rsidR="001D56FF" w:rsidRPr="009E1961">
        <w:rPr>
          <w:rFonts w:asciiTheme="minorHAnsi" w:hAnsiTheme="minorHAnsi" w:cstheme="minorHAnsi"/>
          <w:sz w:val="16"/>
          <w:szCs w:val="16"/>
        </w:rPr>
        <w:t>ii</w:t>
      </w:r>
      <w:proofErr w:type="spellEnd"/>
      <w:r w:rsidR="001D56FF" w:rsidRPr="009E1961">
        <w:rPr>
          <w:rFonts w:asciiTheme="minorHAnsi" w:hAnsiTheme="minorHAnsi" w:cstheme="minorHAnsi"/>
          <w:sz w:val="16"/>
          <w:szCs w:val="16"/>
        </w:rPr>
        <w:t xml:space="preserve">) společnost </w:t>
      </w:r>
      <w:proofErr w:type="spellStart"/>
      <w:r w:rsidR="001D56FF" w:rsidRPr="009E1961">
        <w:rPr>
          <w:rFonts w:asciiTheme="minorHAnsi" w:hAnsiTheme="minorHAnsi" w:cstheme="minorHAnsi"/>
          <w:sz w:val="16"/>
          <w:szCs w:val="16"/>
        </w:rPr>
        <w:t>Deloitte</w:t>
      </w:r>
      <w:proofErr w:type="spellEnd"/>
      <w:r w:rsidR="001D56FF" w:rsidRPr="009E1961">
        <w:rPr>
          <w:rFonts w:asciiTheme="minorHAnsi" w:hAnsiTheme="minorHAnsi" w:cstheme="minorHAnsi"/>
          <w:sz w:val="16"/>
          <w:szCs w:val="16"/>
        </w:rPr>
        <w:t xml:space="preserve"> poskytne Služby požadované v Objednávce prací. Společnost </w:t>
      </w:r>
      <w:proofErr w:type="spellStart"/>
      <w:r w:rsidR="001D56FF" w:rsidRPr="009E1961">
        <w:rPr>
          <w:rFonts w:asciiTheme="minorHAnsi" w:hAnsiTheme="minorHAnsi" w:cstheme="minorHAnsi"/>
          <w:sz w:val="16"/>
          <w:szCs w:val="16"/>
        </w:rPr>
        <w:t>Deloitte</w:t>
      </w:r>
      <w:proofErr w:type="spellEnd"/>
      <w:r w:rsidR="001D56FF" w:rsidRPr="009E1961">
        <w:rPr>
          <w:rFonts w:asciiTheme="minorHAnsi" w:hAnsiTheme="minorHAnsi" w:cstheme="minorHAnsi"/>
          <w:sz w:val="16"/>
          <w:szCs w:val="16"/>
        </w:rPr>
        <w:t xml:space="preserve"> může odmítnout přijetí Objednávky prací. Odmítnutí Objednávky prací může být provedeno písemně, faxem, e-mailem nebo ústně. Společnost </w:t>
      </w:r>
      <w:proofErr w:type="spellStart"/>
      <w:r w:rsidR="001D56FF" w:rsidRPr="009E1961">
        <w:rPr>
          <w:rFonts w:asciiTheme="minorHAnsi" w:hAnsiTheme="minorHAnsi" w:cstheme="minorHAnsi"/>
          <w:sz w:val="16"/>
          <w:szCs w:val="16"/>
        </w:rPr>
        <w:t>Deloitte</w:t>
      </w:r>
      <w:proofErr w:type="spellEnd"/>
      <w:r w:rsidR="001D56FF" w:rsidRPr="009E1961">
        <w:rPr>
          <w:rFonts w:asciiTheme="minorHAnsi" w:hAnsiTheme="minorHAnsi" w:cstheme="minorHAnsi"/>
          <w:sz w:val="16"/>
          <w:szCs w:val="16"/>
        </w:rPr>
        <w:t xml:space="preserve"> však tak nesmí učinit bezdůvodně a je povinna Klientovi sdělit důvod písemně, faxem, emailem nebo ústně.  </w:t>
      </w:r>
    </w:p>
    <w:p w14:paraId="59977F79" w14:textId="77777777" w:rsidR="001D56FF" w:rsidRPr="003D6B57" w:rsidRDefault="001D56FF" w:rsidP="009E1961">
      <w:pPr>
        <w:keepLines w:val="0"/>
        <w:numPr>
          <w:ilvl w:val="0"/>
          <w:numId w:val="58"/>
        </w:numPr>
        <w:tabs>
          <w:tab w:val="clear" w:pos="851"/>
        </w:tabs>
        <w:spacing w:before="60" w:after="360"/>
        <w:ind w:left="0" w:hanging="357"/>
        <w:rPr>
          <w:rFonts w:asciiTheme="minorHAnsi" w:hAnsiTheme="minorHAnsi" w:cstheme="minorHAnsi"/>
          <w:b/>
          <w:sz w:val="16"/>
          <w:szCs w:val="16"/>
        </w:rPr>
      </w:pPr>
      <w:r w:rsidRPr="00344372">
        <w:rPr>
          <w:rFonts w:asciiTheme="minorHAnsi" w:hAnsiTheme="minorHAnsi" w:cstheme="minorHAnsi"/>
          <w:sz w:val="16"/>
          <w:szCs w:val="16"/>
        </w:rPr>
        <w:t xml:space="preserve">Klient může zrušit Objednávku prací pouze písemně, faxem nebo emailem. Klient společnosti </w:t>
      </w:r>
      <w:proofErr w:type="spellStart"/>
      <w:r w:rsidRPr="00344372">
        <w:rPr>
          <w:rFonts w:asciiTheme="minorHAnsi" w:hAnsiTheme="minorHAnsi" w:cstheme="minorHAnsi"/>
          <w:sz w:val="16"/>
          <w:szCs w:val="16"/>
        </w:rPr>
        <w:t>Deloitte</w:t>
      </w:r>
      <w:proofErr w:type="spellEnd"/>
      <w:r w:rsidRPr="00344372">
        <w:rPr>
          <w:rFonts w:asciiTheme="minorHAnsi" w:hAnsiTheme="minorHAnsi" w:cstheme="minorHAnsi"/>
          <w:sz w:val="16"/>
          <w:szCs w:val="16"/>
        </w:rPr>
        <w:t xml:space="preserve"> poskytne náhradu za realizované Služby a výdaje vzniklé do data účinnosti zrušení Objednávky prací</w:t>
      </w:r>
      <w:r w:rsidRPr="003D6B57">
        <w:rPr>
          <w:rFonts w:asciiTheme="minorHAnsi" w:hAnsiTheme="minorHAnsi" w:cstheme="minorHAnsi"/>
          <w:sz w:val="16"/>
          <w:szCs w:val="16"/>
        </w:rPr>
        <w:t xml:space="preserve">. </w:t>
      </w:r>
    </w:p>
    <w:p w14:paraId="2402332E" w14:textId="77777777" w:rsidR="001D56FF" w:rsidRPr="003D6B57" w:rsidRDefault="001D56FF" w:rsidP="009E1961">
      <w:pPr>
        <w:keepNext/>
        <w:keepLines w:val="0"/>
        <w:numPr>
          <w:ilvl w:val="0"/>
          <w:numId w:val="29"/>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Střet zájmů </w:t>
      </w:r>
    </w:p>
    <w:p w14:paraId="0372269C" w14:textId="77777777" w:rsidR="001D56FF" w:rsidRPr="003D6B57" w:rsidRDefault="001D56FF" w:rsidP="009D03D5">
      <w:pPr>
        <w:keepLines w:val="0"/>
        <w:widowControl w:val="0"/>
        <w:spacing w:before="60" w:after="240"/>
        <w:ind w:right="70"/>
        <w:rPr>
          <w:rFonts w:asciiTheme="minorHAnsi" w:hAnsiTheme="minorHAnsi" w:cstheme="minorHAnsi"/>
          <w:sz w:val="16"/>
          <w:szCs w:val="16"/>
        </w:rPr>
      </w:pPr>
      <w:r w:rsidRPr="003D6B57">
        <w:rPr>
          <w:rFonts w:asciiTheme="minorHAnsi" w:hAnsiTheme="minorHAnsi" w:cstheme="minorHAnsi"/>
          <w:sz w:val="16"/>
          <w:szCs w:val="16"/>
        </w:rPr>
        <w:t xml:space="preserve">Společnost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v přiměřené míře kontroluje možné střety zájmů před poskytnutím Služeb Klientovi. Jelikož však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poskytuje řadu různých odborných služeb </w:t>
      </w:r>
      <w:r w:rsidRPr="003D6B57">
        <w:rPr>
          <w:rFonts w:asciiTheme="minorHAnsi" w:hAnsiTheme="minorHAnsi" w:cstheme="minorHAnsi"/>
          <w:sz w:val="16"/>
          <w:szCs w:val="16"/>
        </w:rPr>
        <w:lastRenderedPageBreak/>
        <w:t xml:space="preserve">mnoha klientům, nemůže určit všechny situace, kde mohlo dojít ke střetu se zájmy Klienta. Klient proto bude bez zbytečného odkladu informovat společnost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o jakémkoli možném střetu zájmů ovlivňujícím Služby poskytované Klientovi. Pokud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nebo Klient odhalí možný střet zájmů a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předpokládá, že zájmy Klienta mohou být řádně chráněny implementací vhodných postupů,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tyto postupy s Klientem projedná a odsouhlasí. </w:t>
      </w:r>
    </w:p>
    <w:p w14:paraId="4D3FD94E" w14:textId="77777777" w:rsidR="001D56FF" w:rsidRPr="003D6B57" w:rsidRDefault="001D56FF" w:rsidP="009E1961">
      <w:pPr>
        <w:keepNext/>
        <w:keepLines w:val="0"/>
        <w:numPr>
          <w:ilvl w:val="0"/>
          <w:numId w:val="29"/>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lastRenderedPageBreak/>
        <w:t xml:space="preserve">Závěrečná ustanovení </w:t>
      </w:r>
    </w:p>
    <w:p w14:paraId="25806CBD" w14:textId="77777777" w:rsidR="001D56FF" w:rsidRDefault="001D56FF" w:rsidP="00015A9A">
      <w:pPr>
        <w:pStyle w:val="Odstavecseseznamem"/>
        <w:spacing w:before="60" w:after="60"/>
        <w:ind w:left="0"/>
        <w:rPr>
          <w:rFonts w:asciiTheme="minorHAnsi" w:hAnsiTheme="minorHAnsi" w:cstheme="minorHAnsi"/>
          <w:sz w:val="16"/>
          <w:szCs w:val="16"/>
        </w:rPr>
        <w:sectPr w:rsidR="001D56FF" w:rsidSect="00EA6043">
          <w:headerReference w:type="default" r:id="rId22"/>
          <w:footerReference w:type="default" r:id="rId23"/>
          <w:type w:val="continuous"/>
          <w:pgSz w:w="11906" w:h="16838" w:code="9"/>
          <w:pgMar w:top="1418" w:right="1418" w:bottom="1418" w:left="1418" w:header="709" w:footer="709" w:gutter="0"/>
          <w:paperSrc w:first="15" w:other="15"/>
          <w:cols w:num="2" w:space="708"/>
          <w:docGrid w:linePitch="360"/>
        </w:sectPr>
      </w:pPr>
      <w:r w:rsidRPr="003D6B57">
        <w:rPr>
          <w:rFonts w:asciiTheme="minorHAnsi" w:hAnsiTheme="minorHAnsi" w:cstheme="minorHAnsi"/>
          <w:sz w:val="16"/>
          <w:szCs w:val="16"/>
        </w:rPr>
        <w:t xml:space="preserve">Tyto Obchodní podmínky jsou platné a účinné k 1. </w:t>
      </w:r>
      <w:r>
        <w:rPr>
          <w:rFonts w:asciiTheme="minorHAnsi" w:hAnsiTheme="minorHAnsi" w:cstheme="minorHAnsi"/>
          <w:sz w:val="16"/>
          <w:szCs w:val="16"/>
        </w:rPr>
        <w:t>lednu</w:t>
      </w:r>
      <w:r w:rsidRPr="003D6B57">
        <w:rPr>
          <w:rFonts w:asciiTheme="minorHAnsi" w:hAnsiTheme="minorHAnsi" w:cstheme="minorHAnsi"/>
          <w:sz w:val="16"/>
          <w:szCs w:val="16"/>
        </w:rPr>
        <w:t xml:space="preserve"> 201</w:t>
      </w:r>
      <w:r>
        <w:rPr>
          <w:rFonts w:asciiTheme="minorHAnsi" w:hAnsiTheme="minorHAnsi" w:cstheme="minorHAnsi"/>
          <w:sz w:val="16"/>
          <w:szCs w:val="16"/>
        </w:rPr>
        <w:t>5</w:t>
      </w:r>
      <w:r w:rsidRPr="003D6B57">
        <w:rPr>
          <w:rFonts w:asciiTheme="minorHAnsi" w:hAnsiTheme="minorHAnsi" w:cstheme="minorHAnsi"/>
          <w:sz w:val="16"/>
          <w:szCs w:val="16"/>
        </w:rPr>
        <w:t xml:space="preserve">. Pro odstranění pochybností jsou tyto Obchodní podmínky účinné a závazné pro Klienta od data účinnosti Smluvního dopisu. Tato verze nahrazuje předcházející verze bez ohledu na jiné podmínky obsažené v jakýchkoli nabídkách nebo podobných dokumentech.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si vyhrazuje právo tyto Obchodní podmínky podle potřeby aktualizovat a/nebo je doplňovat o dodatečné podmínky specifické pro jednotlivé poradenské Služby. </w:t>
      </w:r>
      <w:r>
        <w:rPr>
          <w:rFonts w:asciiTheme="minorHAnsi" w:hAnsiTheme="minorHAnsi" w:cstheme="minorHAnsi"/>
          <w:sz w:val="16"/>
          <w:szCs w:val="16"/>
        </w:rPr>
        <w:t>Jakákoliv Objednávka prací</w:t>
      </w:r>
      <w:r w:rsidRPr="003D6B57">
        <w:rPr>
          <w:rFonts w:asciiTheme="minorHAnsi" w:hAnsiTheme="minorHAnsi" w:cstheme="minorHAnsi"/>
          <w:sz w:val="16"/>
          <w:szCs w:val="16"/>
        </w:rPr>
        <w:t xml:space="preserve"> schválen</w:t>
      </w:r>
      <w:r>
        <w:rPr>
          <w:rFonts w:asciiTheme="minorHAnsi" w:hAnsiTheme="minorHAnsi" w:cstheme="minorHAnsi"/>
          <w:sz w:val="16"/>
          <w:szCs w:val="16"/>
        </w:rPr>
        <w:t>á</w:t>
      </w:r>
      <w:r w:rsidRPr="003D6B57">
        <w:rPr>
          <w:rFonts w:asciiTheme="minorHAnsi" w:hAnsiTheme="minorHAnsi" w:cstheme="minorHAnsi"/>
          <w:sz w:val="16"/>
          <w:szCs w:val="16"/>
        </w:rPr>
        <w:t xml:space="preserve"> nebo podepsan</w:t>
      </w:r>
      <w:r>
        <w:rPr>
          <w:rFonts w:asciiTheme="minorHAnsi" w:hAnsiTheme="minorHAnsi" w:cstheme="minorHAnsi"/>
          <w:sz w:val="16"/>
          <w:szCs w:val="16"/>
        </w:rPr>
        <w:t>á</w:t>
      </w:r>
      <w:r w:rsidRPr="003D6B57">
        <w:rPr>
          <w:rFonts w:asciiTheme="minorHAnsi" w:hAnsiTheme="minorHAnsi" w:cstheme="minorHAnsi"/>
          <w:sz w:val="16"/>
          <w:szCs w:val="16"/>
        </w:rPr>
        <w:t xml:space="preserve"> Klientem pro společnost </w:t>
      </w:r>
      <w:proofErr w:type="spellStart"/>
      <w:r w:rsidRPr="003D6B57">
        <w:rPr>
          <w:rFonts w:asciiTheme="minorHAnsi" w:hAnsiTheme="minorHAnsi" w:cstheme="minorHAnsi"/>
          <w:sz w:val="16"/>
          <w:szCs w:val="16"/>
        </w:rPr>
        <w:t>Deloitte</w:t>
      </w:r>
      <w:proofErr w:type="spellEnd"/>
      <w:r w:rsidRPr="003D6B57">
        <w:rPr>
          <w:rFonts w:asciiTheme="minorHAnsi" w:hAnsiTheme="minorHAnsi" w:cstheme="minorHAnsi"/>
          <w:sz w:val="16"/>
          <w:szCs w:val="16"/>
        </w:rPr>
        <w:t xml:space="preserve"> následující po předchozím a včasném dodání aktualizovaných Obchodních podmínek je považováno za potvrzení a odsouhlasení změn Obchodních podmínek Klientem.</w:t>
      </w:r>
    </w:p>
    <w:p w14:paraId="4AD85B9C" w14:textId="77777777" w:rsidR="001D56FF" w:rsidRPr="00955DE6" w:rsidRDefault="001D56FF" w:rsidP="00015A9A">
      <w:pPr>
        <w:pStyle w:val="BodyText1"/>
      </w:pPr>
    </w:p>
    <w:p w14:paraId="4268460F" w14:textId="77777777" w:rsidR="00E82C6F" w:rsidRPr="00955DE6" w:rsidRDefault="00E82C6F" w:rsidP="00015A9A">
      <w:pPr>
        <w:pStyle w:val="BodyText1"/>
      </w:pPr>
    </w:p>
    <w:sectPr w:rsidR="00E82C6F" w:rsidRPr="00955DE6" w:rsidSect="00EA6043">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E092A" w14:textId="77777777" w:rsidR="00191224" w:rsidRDefault="00191224">
      <w:r>
        <w:separator/>
      </w:r>
    </w:p>
    <w:p w14:paraId="7FE23F62" w14:textId="77777777" w:rsidR="00191224" w:rsidRDefault="00191224"/>
  </w:endnote>
  <w:endnote w:type="continuationSeparator" w:id="0">
    <w:p w14:paraId="03CD89D4" w14:textId="77777777" w:rsidR="00191224" w:rsidRDefault="00191224">
      <w:r>
        <w:continuationSeparator/>
      </w:r>
    </w:p>
    <w:p w14:paraId="7F2D4282" w14:textId="77777777" w:rsidR="00191224" w:rsidRDefault="00191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93ABD" w14:textId="77777777" w:rsidR="001D56FF" w:rsidRDefault="001D56FF">
    <w:r>
      <w:fldChar w:fldCharType="begin"/>
    </w:r>
    <w:r>
      <w:instrText xml:space="preserve">PAGE  </w:instrText>
    </w:r>
    <w:r>
      <w:fldChar w:fldCharType="separate"/>
    </w:r>
    <w:r>
      <w:rPr>
        <w:noProof/>
      </w:rPr>
      <w:t>4</w:t>
    </w:r>
    <w:r>
      <w:rPr>
        <w:noProof/>
      </w:rPr>
      <w:fldChar w:fldCharType="end"/>
    </w:r>
  </w:p>
  <w:p w14:paraId="065F324A" w14:textId="77777777" w:rsidR="001D56FF" w:rsidRDefault="001D56FF"/>
  <w:p w14:paraId="0D18FB41" w14:textId="77777777" w:rsidR="001D56FF" w:rsidRDefault="001D56FF"/>
  <w:p w14:paraId="126BB333" w14:textId="77777777" w:rsidR="001D56FF" w:rsidRDefault="001D56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2B40C" w14:textId="77777777" w:rsidR="001D56FF" w:rsidRPr="00D0755D" w:rsidRDefault="001D56FF" w:rsidP="00D0755D">
    <w:pPr>
      <w:pStyle w:val="Zpat"/>
      <w:jc w:val="right"/>
      <w:rPr>
        <w:rFonts w:asciiTheme="minorHAnsi" w:hAnsiTheme="minorHAnsi" w:cstheme="minorHAnsi"/>
      </w:rPr>
    </w:pPr>
    <w:r w:rsidRPr="00D0755D">
      <w:rPr>
        <w:rFonts w:asciiTheme="minorHAnsi" w:hAnsiTheme="minorHAnsi" w:cstheme="minorHAnsi"/>
      </w:rPr>
      <w:fldChar w:fldCharType="begin"/>
    </w:r>
    <w:r w:rsidRPr="00D0755D">
      <w:rPr>
        <w:rFonts w:asciiTheme="minorHAnsi" w:hAnsiTheme="minorHAnsi" w:cstheme="minorHAnsi"/>
      </w:rPr>
      <w:instrText xml:space="preserve"> PAGE   \* MERGEFORMAT </w:instrText>
    </w:r>
    <w:r w:rsidRPr="00D0755D">
      <w:rPr>
        <w:rFonts w:asciiTheme="minorHAnsi" w:hAnsiTheme="minorHAnsi" w:cstheme="minorHAnsi"/>
      </w:rPr>
      <w:fldChar w:fldCharType="separate"/>
    </w:r>
    <w:r w:rsidR="003C3CE3">
      <w:rPr>
        <w:rFonts w:asciiTheme="minorHAnsi" w:hAnsiTheme="minorHAnsi" w:cstheme="minorHAnsi"/>
        <w:noProof/>
      </w:rPr>
      <w:t>1</w:t>
    </w:r>
    <w:r w:rsidRPr="00D0755D">
      <w:rPr>
        <w:rFonts w:asciiTheme="minorHAnsi" w:hAnsiTheme="minorHAnsi" w:cs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031FE" w14:textId="77777777" w:rsidR="001D56FF" w:rsidRPr="00D0755D" w:rsidRDefault="001D56FF" w:rsidP="00D0755D">
    <w:pPr>
      <w:pStyle w:val="Zpat"/>
      <w:jc w:val="right"/>
      <w:rPr>
        <w:rFonts w:asciiTheme="minorHAnsi" w:hAnsiTheme="minorHAnsi" w:cstheme="minorHAnsi"/>
      </w:rPr>
    </w:pPr>
    <w:r w:rsidRPr="00D0755D">
      <w:rPr>
        <w:rFonts w:asciiTheme="minorHAnsi" w:hAnsiTheme="minorHAnsi" w:cstheme="minorHAnsi"/>
      </w:rPr>
      <w:fldChar w:fldCharType="begin"/>
    </w:r>
    <w:r w:rsidRPr="00D0755D">
      <w:rPr>
        <w:rFonts w:asciiTheme="minorHAnsi" w:hAnsiTheme="minorHAnsi" w:cstheme="minorHAnsi"/>
      </w:rPr>
      <w:instrText xml:space="preserve"> PAGE   \* MERGEFORMAT </w:instrText>
    </w:r>
    <w:r w:rsidRPr="00D0755D">
      <w:rPr>
        <w:rFonts w:asciiTheme="minorHAnsi" w:hAnsiTheme="minorHAnsi" w:cstheme="minorHAnsi"/>
      </w:rPr>
      <w:fldChar w:fldCharType="separate"/>
    </w:r>
    <w:r w:rsidR="003C3CE3">
      <w:rPr>
        <w:rFonts w:asciiTheme="minorHAnsi" w:hAnsiTheme="minorHAnsi" w:cstheme="minorHAnsi"/>
        <w:noProof/>
      </w:rPr>
      <w:t>2</w:t>
    </w:r>
    <w:r w:rsidRPr="00D0755D">
      <w:rPr>
        <w:rFonts w:asciiTheme="minorHAnsi" w:hAnsiTheme="minorHAnsi" w:cstheme="minorHAns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C6BBB" w14:textId="77777777" w:rsidR="001D56FF" w:rsidRPr="00D0755D" w:rsidRDefault="001D56FF" w:rsidP="00D0755D">
    <w:pPr>
      <w:pStyle w:val="Zpat"/>
      <w:jc w:val="right"/>
      <w:rPr>
        <w:rFonts w:asciiTheme="minorHAnsi" w:hAnsiTheme="minorHAnsi" w:cstheme="minorHAnsi"/>
      </w:rPr>
    </w:pPr>
    <w:r w:rsidRPr="00D0755D">
      <w:rPr>
        <w:rFonts w:asciiTheme="minorHAnsi" w:hAnsiTheme="minorHAnsi" w:cstheme="minorHAnsi"/>
      </w:rPr>
      <w:fldChar w:fldCharType="begin"/>
    </w:r>
    <w:r w:rsidRPr="00D0755D">
      <w:rPr>
        <w:rFonts w:asciiTheme="minorHAnsi" w:hAnsiTheme="minorHAnsi" w:cstheme="minorHAnsi"/>
      </w:rPr>
      <w:instrText xml:space="preserve"> PAGE   \* MERGEFORMAT </w:instrText>
    </w:r>
    <w:r w:rsidRPr="00D0755D">
      <w:rPr>
        <w:rFonts w:asciiTheme="minorHAnsi" w:hAnsiTheme="minorHAnsi" w:cstheme="minorHAnsi"/>
      </w:rPr>
      <w:fldChar w:fldCharType="separate"/>
    </w:r>
    <w:r w:rsidR="003C3CE3">
      <w:rPr>
        <w:rFonts w:asciiTheme="minorHAnsi" w:hAnsiTheme="minorHAnsi" w:cstheme="minorHAnsi"/>
        <w:noProof/>
      </w:rPr>
      <w:t>8</w:t>
    </w:r>
    <w:r w:rsidRPr="00D0755D">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74AB3" w14:textId="77777777" w:rsidR="00191224" w:rsidRDefault="00191224">
      <w:r>
        <w:separator/>
      </w:r>
    </w:p>
    <w:p w14:paraId="51898D11" w14:textId="77777777" w:rsidR="00191224" w:rsidRDefault="00191224"/>
  </w:footnote>
  <w:footnote w:type="continuationSeparator" w:id="0">
    <w:p w14:paraId="0057B1CF" w14:textId="77777777" w:rsidR="00191224" w:rsidRDefault="00191224">
      <w:r>
        <w:continuationSeparator/>
      </w:r>
    </w:p>
    <w:p w14:paraId="3F4CF112" w14:textId="77777777" w:rsidR="00191224" w:rsidRDefault="001912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79A22" w14:textId="77777777" w:rsidR="001D56FF" w:rsidRDefault="001D56FF"/>
  <w:p w14:paraId="4BB0EDC8" w14:textId="77777777" w:rsidR="001D56FF" w:rsidRDefault="001D56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6B639" w14:textId="77777777" w:rsidR="001D56FF" w:rsidRPr="00890672" w:rsidRDefault="001D56FF" w:rsidP="000860F0">
    <w:pPr>
      <w:keepLines w:val="0"/>
      <w:tabs>
        <w:tab w:val="clear" w:pos="851"/>
      </w:tabs>
      <w:spacing w:before="0"/>
      <w:jc w:val="left"/>
      <w:rPr>
        <w:rFonts w:ascii="Times New Roman" w:hAnsi="Times New Roman"/>
        <w:sz w:val="20"/>
        <w:szCs w:val="20"/>
        <w:lang w:eastAsia="en-GB"/>
      </w:rPr>
    </w:pPr>
    <w:r w:rsidRPr="00890672">
      <w:rPr>
        <w:rFonts w:ascii="Times New Roman" w:hAnsi="Times New Roman"/>
        <w:sz w:val="20"/>
        <w:szCs w:val="20"/>
        <w:lang w:eastAsia="en-GB"/>
      </w:rPr>
      <w:t xml:space="preserve">SMLOUVA O POSKYTOVÁNÍ </w:t>
    </w:r>
  </w:p>
  <w:p w14:paraId="77B97C66" w14:textId="77777777" w:rsidR="001D56FF" w:rsidRPr="00890672" w:rsidRDefault="001D56FF" w:rsidP="000860F0">
    <w:pPr>
      <w:keepLines w:val="0"/>
      <w:tabs>
        <w:tab w:val="clear" w:pos="851"/>
      </w:tabs>
      <w:spacing w:before="0" w:after="120"/>
      <w:jc w:val="left"/>
      <w:rPr>
        <w:rFonts w:ascii="Times New Roman" w:hAnsi="Times New Roman"/>
        <w:sz w:val="20"/>
        <w:szCs w:val="20"/>
        <w:lang w:eastAsia="en-GB"/>
      </w:rPr>
    </w:pPr>
    <w:r w:rsidRPr="00890672">
      <w:rPr>
        <w:rFonts w:ascii="Times New Roman" w:hAnsi="Times New Roman"/>
        <w:sz w:val="20"/>
        <w:szCs w:val="20"/>
        <w:lang w:eastAsia="en-GB"/>
      </w:rPr>
      <w:t>PORADENSKÝCH SLUŽEB</w:t>
    </w:r>
  </w:p>
  <w:p w14:paraId="21E65123" w14:textId="77777777" w:rsidR="001D56FF" w:rsidRPr="00890672" w:rsidRDefault="001D56FF" w:rsidP="000860F0">
    <w:pPr>
      <w:keepLines w:val="0"/>
      <w:tabs>
        <w:tab w:val="clear" w:pos="851"/>
      </w:tabs>
      <w:spacing w:before="0"/>
      <w:jc w:val="right"/>
      <w:rPr>
        <w:rFonts w:ascii="Times New Roman" w:hAnsi="Times New Roman"/>
        <w:b/>
        <w:i/>
        <w:sz w:val="22"/>
        <w:szCs w:val="20"/>
      </w:rPr>
    </w:pPr>
    <w:r>
      <w:rPr>
        <w:rFonts w:ascii="Times New Roman" w:hAnsi="Times New Roman"/>
        <w:b/>
        <w:i/>
        <w:sz w:val="22"/>
        <w:szCs w:val="20"/>
      </w:rPr>
      <w:t>D</w:t>
    </w:r>
    <w:r w:rsidRPr="00890672">
      <w:rPr>
        <w:rFonts w:ascii="Times New Roman" w:hAnsi="Times New Roman"/>
        <w:b/>
        <w:i/>
        <w:sz w:val="22"/>
        <w:szCs w:val="20"/>
      </w:rPr>
      <w:t>ůvěrné</w:t>
    </w:r>
    <w:r>
      <w:rPr>
        <w:rFonts w:ascii="Times New Roman" w:hAnsi="Times New Roman"/>
        <w:b/>
        <w:i/>
        <w:sz w:val="22"/>
        <w:szCs w:val="20"/>
      </w:rPr>
      <w:t xml:space="preserve"> informace</w:t>
    </w:r>
  </w:p>
  <w:p w14:paraId="1BC37DC4" w14:textId="77777777" w:rsidR="001D56FF" w:rsidRDefault="001D56F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1C9A5" w14:textId="77777777" w:rsidR="001D56FF" w:rsidRDefault="001D56FF">
    <w:pPr>
      <w:pStyle w:val="Zhlav"/>
    </w:pPr>
    <w:r>
      <w:t>MC/ERS – ALL SERVICES</w:t>
    </w:r>
  </w:p>
  <w:p w14:paraId="39119350" w14:textId="77777777" w:rsidR="001D56FF" w:rsidRDefault="001D56FF">
    <w:pPr>
      <w:pStyle w:val="Zhlav"/>
    </w:pPr>
    <w:r>
      <w:t>ENGAGEMENT LETTER</w:t>
    </w:r>
  </w:p>
  <w:p w14:paraId="724D2BC4" w14:textId="77777777" w:rsidR="001D56FF" w:rsidRDefault="001D56FF">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698B5" w14:textId="77777777" w:rsidR="001D56FF" w:rsidRPr="00624DC2" w:rsidRDefault="001D56FF">
    <w:pPr>
      <w:pStyle w:val="Zhlav"/>
      <w:tabs>
        <w:tab w:val="left" w:pos="709"/>
      </w:tabs>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F5E6A" w14:textId="77777777" w:rsidR="001D56FF" w:rsidRDefault="001D56FF" w:rsidP="001D56FF">
    <w:pPr>
      <w:pStyle w:val="Zhlav"/>
      <w:jc w:val="right"/>
    </w:pPr>
    <w:r>
      <w:t>1. ledna 2015</w:t>
    </w:r>
  </w:p>
  <w:p w14:paraId="3F15F42E" w14:textId="77777777" w:rsidR="001D56FF" w:rsidRPr="00624DC2" w:rsidRDefault="001D56FF">
    <w:pPr>
      <w:pStyle w:val="Zhlav"/>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325"/>
    <w:multiLevelType w:val="hybridMultilevel"/>
    <w:tmpl w:val="1A4AF57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884B72"/>
    <w:multiLevelType w:val="hybridMultilevel"/>
    <w:tmpl w:val="6B262144"/>
    <w:lvl w:ilvl="0" w:tplc="11961C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1085695A"/>
    <w:multiLevelType w:val="hybridMultilevel"/>
    <w:tmpl w:val="BF0E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BC7CE6"/>
    <w:multiLevelType w:val="hybridMultilevel"/>
    <w:tmpl w:val="68B8DD30"/>
    <w:lvl w:ilvl="0" w:tplc="1980B53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nsid w:val="126C7DCF"/>
    <w:multiLevelType w:val="hybridMultilevel"/>
    <w:tmpl w:val="05026F7A"/>
    <w:lvl w:ilvl="0" w:tplc="6336A83E">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nsid w:val="15A2249F"/>
    <w:multiLevelType w:val="hybridMultilevel"/>
    <w:tmpl w:val="46CC8AFE"/>
    <w:lvl w:ilvl="0" w:tplc="107CB4BC">
      <w:start w:val="1"/>
      <w:numFmt w:val="bullet"/>
      <w:pStyle w:val="Bulletslevel2"/>
      <w:lvlText w:val=""/>
      <w:lvlJc w:val="left"/>
      <w:pPr>
        <w:ind w:left="1004" w:hanging="360"/>
      </w:pPr>
      <w:rPr>
        <w:rFonts w:ascii="Symbol" w:hAnsi="Symbol" w:hint="default"/>
      </w:rPr>
    </w:lvl>
    <w:lvl w:ilvl="1" w:tplc="22986CBC" w:tentative="1">
      <w:start w:val="1"/>
      <w:numFmt w:val="bullet"/>
      <w:lvlText w:val="o"/>
      <w:lvlJc w:val="left"/>
      <w:pPr>
        <w:ind w:left="1724" w:hanging="360"/>
      </w:pPr>
      <w:rPr>
        <w:rFonts w:ascii="Courier New" w:hAnsi="Courier New" w:cs="Courier New" w:hint="default"/>
      </w:rPr>
    </w:lvl>
    <w:lvl w:ilvl="2" w:tplc="F7680F9E" w:tentative="1">
      <w:start w:val="1"/>
      <w:numFmt w:val="bullet"/>
      <w:lvlText w:val=""/>
      <w:lvlJc w:val="left"/>
      <w:pPr>
        <w:ind w:left="2444" w:hanging="360"/>
      </w:pPr>
      <w:rPr>
        <w:rFonts w:ascii="Wingdings" w:hAnsi="Wingdings" w:hint="default"/>
      </w:rPr>
    </w:lvl>
    <w:lvl w:ilvl="3" w:tplc="7E90EDBC" w:tentative="1">
      <w:start w:val="1"/>
      <w:numFmt w:val="bullet"/>
      <w:lvlText w:val=""/>
      <w:lvlJc w:val="left"/>
      <w:pPr>
        <w:ind w:left="3164" w:hanging="360"/>
      </w:pPr>
      <w:rPr>
        <w:rFonts w:ascii="Symbol" w:hAnsi="Symbol" w:hint="default"/>
      </w:rPr>
    </w:lvl>
    <w:lvl w:ilvl="4" w:tplc="F6DE47B2" w:tentative="1">
      <w:start w:val="1"/>
      <w:numFmt w:val="bullet"/>
      <w:lvlText w:val="o"/>
      <w:lvlJc w:val="left"/>
      <w:pPr>
        <w:ind w:left="3884" w:hanging="360"/>
      </w:pPr>
      <w:rPr>
        <w:rFonts w:ascii="Courier New" w:hAnsi="Courier New" w:cs="Courier New" w:hint="default"/>
      </w:rPr>
    </w:lvl>
    <w:lvl w:ilvl="5" w:tplc="0CB034A6" w:tentative="1">
      <w:start w:val="1"/>
      <w:numFmt w:val="bullet"/>
      <w:lvlText w:val=""/>
      <w:lvlJc w:val="left"/>
      <w:pPr>
        <w:ind w:left="4604" w:hanging="360"/>
      </w:pPr>
      <w:rPr>
        <w:rFonts w:ascii="Wingdings" w:hAnsi="Wingdings" w:hint="default"/>
      </w:rPr>
    </w:lvl>
    <w:lvl w:ilvl="6" w:tplc="48C28E6E" w:tentative="1">
      <w:start w:val="1"/>
      <w:numFmt w:val="bullet"/>
      <w:lvlText w:val=""/>
      <w:lvlJc w:val="left"/>
      <w:pPr>
        <w:ind w:left="5324" w:hanging="360"/>
      </w:pPr>
      <w:rPr>
        <w:rFonts w:ascii="Symbol" w:hAnsi="Symbol" w:hint="default"/>
      </w:rPr>
    </w:lvl>
    <w:lvl w:ilvl="7" w:tplc="B616FECE" w:tentative="1">
      <w:start w:val="1"/>
      <w:numFmt w:val="bullet"/>
      <w:lvlText w:val="o"/>
      <w:lvlJc w:val="left"/>
      <w:pPr>
        <w:ind w:left="6044" w:hanging="360"/>
      </w:pPr>
      <w:rPr>
        <w:rFonts w:ascii="Courier New" w:hAnsi="Courier New" w:cs="Courier New" w:hint="default"/>
      </w:rPr>
    </w:lvl>
    <w:lvl w:ilvl="8" w:tplc="D116E8F8" w:tentative="1">
      <w:start w:val="1"/>
      <w:numFmt w:val="bullet"/>
      <w:lvlText w:val=""/>
      <w:lvlJc w:val="left"/>
      <w:pPr>
        <w:ind w:left="6764" w:hanging="360"/>
      </w:pPr>
      <w:rPr>
        <w:rFonts w:ascii="Wingdings" w:hAnsi="Wingdings" w:hint="default"/>
      </w:rPr>
    </w:lvl>
  </w:abstractNum>
  <w:abstractNum w:abstractNumId="6">
    <w:nsid w:val="19BC753A"/>
    <w:multiLevelType w:val="multilevel"/>
    <w:tmpl w:val="5462AEEA"/>
    <w:lvl w:ilvl="0">
      <w:start w:val="1"/>
      <w:numFmt w:val="decimal"/>
      <w:lvlText w:val="Článek %1"/>
      <w:lvlJc w:val="left"/>
      <w:pPr>
        <w:tabs>
          <w:tab w:val="num" w:pos="1440"/>
        </w:tabs>
        <w:ind w:left="0" w:firstLine="0"/>
      </w:pPr>
      <w:rPr>
        <w:rFonts w:ascii="Verdana" w:hAnsi="Verdana" w:hint="default"/>
        <w:b/>
        <w:i w:val="0"/>
        <w:caps w:val="0"/>
        <w:strike w:val="0"/>
        <w:dstrike w:val="0"/>
        <w:vanish w:val="0"/>
        <w:color w:val="00008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Verdana" w:hAnsi="Verdana" w:hint="default"/>
        <w:b/>
        <w:i w:val="0"/>
        <w:caps w:val="0"/>
        <w:strike w:val="0"/>
        <w:dstrike w:val="0"/>
        <w:vanish w:val="0"/>
        <w:color w:val="00008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Verdana" w:hAnsi="Verdana" w:hint="default"/>
        <w:b w:val="0"/>
        <w:i w:val="0"/>
        <w:caps w:val="0"/>
        <w:strike w:val="0"/>
        <w:dstrike w:val="0"/>
        <w:vanish w:val="0"/>
        <w:color w:val="000080"/>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061"/>
        </w:tabs>
        <w:ind w:left="1701" w:firstLine="0"/>
      </w:pPr>
      <w:rPr>
        <w:rFonts w:hint="default"/>
      </w:rPr>
    </w:lvl>
    <w:lvl w:ilvl="4">
      <w:start w:val="1"/>
      <w:numFmt w:val="none"/>
      <w:lvlRestart w:val="0"/>
      <w:lvlText w:val=""/>
      <w:lvlJc w:val="left"/>
      <w:pPr>
        <w:tabs>
          <w:tab w:val="num" w:pos="2628"/>
        </w:tabs>
        <w:ind w:left="2268" w:firstLine="0"/>
      </w:pPr>
      <w:rPr>
        <w:rFonts w:hint="default"/>
      </w:rPr>
    </w:lvl>
    <w:lvl w:ilvl="5">
      <w:start w:val="1"/>
      <w:numFmt w:val="none"/>
      <w:lvlText w:val=""/>
      <w:lvlJc w:val="left"/>
      <w:pPr>
        <w:tabs>
          <w:tab w:val="num" w:pos="3195"/>
        </w:tabs>
        <w:ind w:left="2835" w:firstLine="0"/>
      </w:pPr>
      <w:rPr>
        <w:rFonts w:hint="default"/>
      </w:rPr>
    </w:lvl>
    <w:lvl w:ilvl="6">
      <w:start w:val="1"/>
      <w:numFmt w:val="none"/>
      <w:lvlText w:val=""/>
      <w:lvlJc w:val="left"/>
      <w:pPr>
        <w:tabs>
          <w:tab w:val="num" w:pos="3762"/>
        </w:tabs>
        <w:ind w:left="3402" w:firstLine="0"/>
      </w:pPr>
      <w:rPr>
        <w:rFonts w:hint="default"/>
      </w:rPr>
    </w:lvl>
    <w:lvl w:ilvl="7">
      <w:start w:val="1"/>
      <w:numFmt w:val="none"/>
      <w:lvlText w:val=""/>
      <w:lvlJc w:val="left"/>
      <w:pPr>
        <w:tabs>
          <w:tab w:val="num" w:pos="4329"/>
        </w:tabs>
        <w:ind w:left="3969" w:firstLine="0"/>
      </w:pPr>
      <w:rPr>
        <w:rFonts w:hint="default"/>
      </w:rPr>
    </w:lvl>
    <w:lvl w:ilvl="8">
      <w:start w:val="1"/>
      <w:numFmt w:val="none"/>
      <w:lvlText w:val=""/>
      <w:lvlJc w:val="left"/>
      <w:pPr>
        <w:tabs>
          <w:tab w:val="num" w:pos="4896"/>
        </w:tabs>
        <w:ind w:left="4536" w:firstLine="0"/>
      </w:pPr>
      <w:rPr>
        <w:rFonts w:hint="default"/>
      </w:rPr>
    </w:lvl>
  </w:abstractNum>
  <w:abstractNum w:abstractNumId="7">
    <w:nsid w:val="1DCB27C6"/>
    <w:multiLevelType w:val="multilevel"/>
    <w:tmpl w:val="178A874C"/>
    <w:lvl w:ilvl="0">
      <w:start w:val="1"/>
      <w:numFmt w:val="decimal"/>
      <w:lvlText w:val="Article %1."/>
      <w:lvlJc w:val="left"/>
      <w:pPr>
        <w:ind w:left="360" w:hanging="360"/>
      </w:pPr>
      <w:rPr>
        <w:rFonts w:ascii="Arial" w:hAnsi="Arial" w:hint="default"/>
        <w:b/>
        <w:bCs w:val="0"/>
        <w:i w:val="0"/>
        <w:iCs w:val="0"/>
        <w:caps w:val="0"/>
        <w:smallCaps w:val="0"/>
        <w:strike w:val="0"/>
        <w:dstrike w:val="0"/>
        <w:noProof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54" w:hanging="454"/>
      </w:pPr>
      <w:rPr>
        <w:rFonts w:ascii="Arial" w:hAnsi="Arial" w:hint="default"/>
        <w:b w:val="0"/>
        <w:i w:val="0"/>
        <w:sz w:val="14"/>
      </w:rPr>
    </w:lvl>
    <w:lvl w:ilvl="2">
      <w:start w:val="1"/>
      <w:numFmt w:val="decimal"/>
      <w:lvlText w:val="%1.%2.%3"/>
      <w:lvlJc w:val="left"/>
      <w:pPr>
        <w:ind w:left="567" w:hanging="567"/>
      </w:pPr>
      <w:rPr>
        <w:rFonts w:ascii="Arial" w:hAnsi="Arial" w:hint="default"/>
        <w:b w:val="0"/>
        <w:i w:val="0"/>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75A5CDD"/>
    <w:multiLevelType w:val="multilevel"/>
    <w:tmpl w:val="A77EFCDC"/>
    <w:lvl w:ilvl="0">
      <w:start w:val="1"/>
      <w:numFmt w:val="decimal"/>
      <w:pStyle w:val="smlouvaobchodnipodminky1"/>
      <w:lvlText w:val="Article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louvaobchodnipodminky2"/>
      <w:lvlText w:val="%1.%2"/>
      <w:lvlJc w:val="left"/>
      <w:pPr>
        <w:ind w:left="454" w:hanging="454"/>
      </w:pPr>
      <w:rPr>
        <w:rFonts w:ascii="Arial" w:hAnsi="Arial" w:hint="default"/>
        <w:b w:val="0"/>
        <w:i w:val="0"/>
        <w:sz w:val="14"/>
      </w:rPr>
    </w:lvl>
    <w:lvl w:ilvl="2">
      <w:start w:val="1"/>
      <w:numFmt w:val="decimal"/>
      <w:pStyle w:val="smlouvaobchodnipodminky3"/>
      <w:lvlText w:val="%1.%2.%3"/>
      <w:lvlJc w:val="left"/>
      <w:pPr>
        <w:ind w:left="567" w:hanging="567"/>
      </w:pPr>
      <w:rPr>
        <w:rFonts w:ascii="Arial" w:hAnsi="Arial" w:hint="default"/>
        <w:b w:val="0"/>
        <w:i w:val="0"/>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7E9539E"/>
    <w:multiLevelType w:val="multilevel"/>
    <w:tmpl w:val="48044EBC"/>
    <w:lvl w:ilvl="0">
      <w:start w:val="1"/>
      <w:numFmt w:val="decimal"/>
      <w:lvlText w:val="Článek %1"/>
      <w:lvlJc w:val="left"/>
      <w:pPr>
        <w:tabs>
          <w:tab w:val="num" w:pos="2575"/>
        </w:tabs>
        <w:ind w:left="1135" w:firstLine="0"/>
      </w:pPr>
      <w:rPr>
        <w:rFonts w:ascii="Verdana" w:hAnsi="Verdana" w:hint="default"/>
        <w:b/>
        <w:i w:val="0"/>
        <w:caps w:val="0"/>
        <w:strike w:val="0"/>
        <w:dstrike w:val="0"/>
        <w:vanish w:val="0"/>
        <w:color w:val="00008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55"/>
        </w:tabs>
        <w:ind w:left="1135" w:firstLine="0"/>
      </w:pPr>
      <w:rPr>
        <w:rFonts w:ascii="Verdana" w:hAnsi="Verdana" w:hint="default"/>
        <w:b/>
        <w:i w:val="0"/>
        <w:caps w:val="0"/>
        <w:strike w:val="0"/>
        <w:dstrike w:val="0"/>
        <w:vanish w:val="0"/>
        <w:color w:val="00008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15"/>
        </w:tabs>
        <w:ind w:left="1135" w:firstLine="0"/>
      </w:pPr>
      <w:rPr>
        <w:rFonts w:ascii="Verdana" w:hAnsi="Verdana" w:hint="default"/>
        <w:b/>
        <w:i w:val="0"/>
        <w:caps w:val="0"/>
        <w:strike w:val="0"/>
        <w:dstrike w:val="0"/>
        <w:vanish w:val="0"/>
        <w:color w:val="00008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3196"/>
        </w:tabs>
        <w:ind w:left="2836" w:firstLine="0"/>
      </w:pPr>
      <w:rPr>
        <w:rFonts w:hint="default"/>
      </w:rPr>
    </w:lvl>
    <w:lvl w:ilvl="4">
      <w:start w:val="1"/>
      <w:numFmt w:val="none"/>
      <w:lvlRestart w:val="0"/>
      <w:lvlText w:val=""/>
      <w:lvlJc w:val="left"/>
      <w:pPr>
        <w:tabs>
          <w:tab w:val="num" w:pos="3763"/>
        </w:tabs>
        <w:ind w:left="3403" w:firstLine="0"/>
      </w:pPr>
      <w:rPr>
        <w:rFonts w:hint="default"/>
      </w:rPr>
    </w:lvl>
    <w:lvl w:ilvl="5">
      <w:start w:val="1"/>
      <w:numFmt w:val="none"/>
      <w:lvlText w:val=""/>
      <w:lvlJc w:val="left"/>
      <w:pPr>
        <w:tabs>
          <w:tab w:val="num" w:pos="4330"/>
        </w:tabs>
        <w:ind w:left="3970" w:firstLine="0"/>
      </w:pPr>
      <w:rPr>
        <w:rFonts w:hint="default"/>
      </w:rPr>
    </w:lvl>
    <w:lvl w:ilvl="6">
      <w:start w:val="1"/>
      <w:numFmt w:val="none"/>
      <w:lvlText w:val=""/>
      <w:lvlJc w:val="left"/>
      <w:pPr>
        <w:tabs>
          <w:tab w:val="num" w:pos="4897"/>
        </w:tabs>
        <w:ind w:left="4537" w:firstLine="0"/>
      </w:pPr>
      <w:rPr>
        <w:rFonts w:hint="default"/>
      </w:rPr>
    </w:lvl>
    <w:lvl w:ilvl="7">
      <w:start w:val="1"/>
      <w:numFmt w:val="none"/>
      <w:lvlText w:val=""/>
      <w:lvlJc w:val="left"/>
      <w:pPr>
        <w:tabs>
          <w:tab w:val="num" w:pos="5464"/>
        </w:tabs>
        <w:ind w:left="5104" w:firstLine="0"/>
      </w:pPr>
      <w:rPr>
        <w:rFonts w:hint="default"/>
      </w:rPr>
    </w:lvl>
    <w:lvl w:ilvl="8">
      <w:start w:val="1"/>
      <w:numFmt w:val="none"/>
      <w:lvlText w:val=""/>
      <w:lvlJc w:val="left"/>
      <w:pPr>
        <w:tabs>
          <w:tab w:val="num" w:pos="6031"/>
        </w:tabs>
        <w:ind w:left="5671" w:firstLine="0"/>
      </w:pPr>
      <w:rPr>
        <w:rFonts w:hint="default"/>
      </w:rPr>
    </w:lvl>
  </w:abstractNum>
  <w:abstractNum w:abstractNumId="10">
    <w:nsid w:val="2A484624"/>
    <w:multiLevelType w:val="hybridMultilevel"/>
    <w:tmpl w:val="4638212C"/>
    <w:lvl w:ilvl="0" w:tplc="7B6428C4">
      <w:start w:val="15"/>
      <w:numFmt w:val="decimal"/>
      <w:lvlText w:val="%1."/>
      <w:lvlJc w:val="left"/>
      <w:pPr>
        <w:ind w:left="644" w:hanging="360"/>
      </w:pPr>
      <w:rPr>
        <w:rFonts w:hint="default"/>
        <w:u w:color="92D400" w:themeColor="accent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641AE0"/>
    <w:multiLevelType w:val="multilevel"/>
    <w:tmpl w:val="464A0454"/>
    <w:lvl w:ilvl="0">
      <w:start w:val="1"/>
      <w:numFmt w:val="lowerLetter"/>
      <w:lvlText w:val="%1)"/>
      <w:lvlJc w:val="left"/>
      <w:pPr>
        <w:ind w:left="720" w:hanging="360"/>
      </w:pPr>
      <w:rPr>
        <w:rFonts w:ascii="Arial" w:hAnsi="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9D428F9"/>
    <w:multiLevelType w:val="hybridMultilevel"/>
    <w:tmpl w:val="79E600EE"/>
    <w:lvl w:ilvl="0" w:tplc="5E766134">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nsid w:val="4E4F6CC1"/>
    <w:multiLevelType w:val="hybridMultilevel"/>
    <w:tmpl w:val="476A3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3890591"/>
    <w:multiLevelType w:val="multilevel"/>
    <w:tmpl w:val="8DDA7526"/>
    <w:lvl w:ilvl="0">
      <w:start w:val="1"/>
      <w:numFmt w:val="lowerRoman"/>
      <w:lvlText w:val="%1."/>
      <w:lvlJc w:val="left"/>
      <w:pPr>
        <w:ind w:left="644" w:hanging="360"/>
      </w:pPr>
      <w:rPr>
        <w:rFonts w:hint="default"/>
        <w:b w:val="0"/>
        <w:bCs/>
        <w:i w:val="0"/>
        <w:iCs w:val="0"/>
        <w:caps w:val="0"/>
        <w:smallCaps w:val="0"/>
        <w:strike w:val="0"/>
        <w:dstrike w:val="0"/>
        <w:vanish w:val="0"/>
        <w:color w:val="auto"/>
        <w:spacing w:val="0"/>
        <w:w w:val="100"/>
        <w:kern w:val="0"/>
        <w:position w:val="0"/>
        <w:sz w:val="16"/>
        <w:szCs w:val="19"/>
        <w:u w:val="none" w:color="92D400" w:themeColor="accent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4645A8F"/>
    <w:multiLevelType w:val="hybridMultilevel"/>
    <w:tmpl w:val="F06ACDC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6E584F"/>
    <w:multiLevelType w:val="multilevel"/>
    <w:tmpl w:val="489AB7FC"/>
    <w:lvl w:ilvl="0">
      <w:start w:val="1"/>
      <w:numFmt w:val="decimal"/>
      <w:lvlText w:val="Article %1."/>
      <w:lvlJc w:val="left"/>
      <w:pPr>
        <w:ind w:left="360" w:hanging="360"/>
      </w:pPr>
      <w:rPr>
        <w:rFonts w:hint="default"/>
        <w:b/>
        <w:i w:val="0"/>
        <w:spacing w:val="0"/>
        <w:position w:val="0"/>
        <w:sz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96710D8"/>
    <w:multiLevelType w:val="hybridMultilevel"/>
    <w:tmpl w:val="C91608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0D75AB6"/>
    <w:multiLevelType w:val="hybridMultilevel"/>
    <w:tmpl w:val="B7F84608"/>
    <w:lvl w:ilvl="0" w:tplc="29D2D70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nsid w:val="61BF3AE8"/>
    <w:multiLevelType w:val="hybridMultilevel"/>
    <w:tmpl w:val="F04C331A"/>
    <w:lvl w:ilvl="0" w:tplc="01E4EAC4">
      <w:start w:val="1"/>
      <w:numFmt w:val="lowerLetter"/>
      <w:lvlText w:val="%1)"/>
      <w:lvlJc w:val="left"/>
      <w:pPr>
        <w:ind w:left="1081" w:hanging="360"/>
      </w:pPr>
      <w:rPr>
        <w:rFonts w:hint="default"/>
      </w:r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21">
    <w:nsid w:val="629D7AB3"/>
    <w:multiLevelType w:val="hybridMultilevel"/>
    <w:tmpl w:val="C90EBF80"/>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nsid w:val="62A4744F"/>
    <w:multiLevelType w:val="multilevel"/>
    <w:tmpl w:val="9836F326"/>
    <w:lvl w:ilvl="0">
      <w:start w:val="1"/>
      <w:numFmt w:val="decimal"/>
      <w:pStyle w:val="smlouvaheading1"/>
      <w:lvlText w:val="Článek %1."/>
      <w:lvlJc w:val="left"/>
      <w:pPr>
        <w:ind w:left="360" w:hanging="360"/>
      </w:pPr>
      <w:rPr>
        <w:rFonts w:ascii="Times New Roman" w:hAnsi="Times New Roman" w:cs="Times New Roman" w:hint="default"/>
        <w:b/>
        <w:i w:val="0"/>
        <w:sz w:val="22"/>
        <w:szCs w:val="22"/>
      </w:rPr>
    </w:lvl>
    <w:lvl w:ilvl="1">
      <w:start w:val="1"/>
      <w:numFmt w:val="decimal"/>
      <w:pStyle w:val="smlouvaheading2"/>
      <w:lvlText w:val="%1.%2"/>
      <w:lvlJc w:val="left"/>
      <w:pPr>
        <w:ind w:left="720" w:hanging="360"/>
      </w:pPr>
      <w:rPr>
        <w:rFonts w:ascii="Times New Roman" w:hAnsi="Times New Roman" w:cs="Times New Roman" w:hint="default"/>
        <w:b w:val="0"/>
        <w:i w:val="0"/>
        <w:sz w:val="22"/>
        <w:szCs w:val="22"/>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2B03963"/>
    <w:multiLevelType w:val="multilevel"/>
    <w:tmpl w:val="421E0A5E"/>
    <w:lvl w:ilvl="0">
      <w:start w:val="1"/>
      <w:numFmt w:val="decimal"/>
      <w:lvlText w:val="%1."/>
      <w:lvlJc w:val="left"/>
      <w:pPr>
        <w:ind w:left="644" w:hanging="360"/>
      </w:pPr>
      <w:rPr>
        <w:rFonts w:ascii="Arial" w:hAnsi="Arial" w:hint="default"/>
        <w:b/>
        <w:bCs/>
        <w:i w:val="0"/>
        <w:iCs w:val="0"/>
        <w:caps w:val="0"/>
        <w:smallCaps w:val="0"/>
        <w:strike w:val="0"/>
        <w:dstrike w:val="0"/>
        <w:vanish w:val="0"/>
        <w:color w:val="92D400" w:themeColor="accent2"/>
        <w:spacing w:val="0"/>
        <w:w w:val="100"/>
        <w:kern w:val="0"/>
        <w:position w:val="0"/>
        <w:sz w:val="16"/>
        <w:szCs w:val="19"/>
        <w:u w:val="none" w:color="92D400"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4">
    <w:nsid w:val="634935A9"/>
    <w:multiLevelType w:val="hybridMultilevel"/>
    <w:tmpl w:val="FDAA157A"/>
    <w:lvl w:ilvl="0" w:tplc="DE1C857C">
      <w:start w:val="1"/>
      <w:numFmt w:val="bullet"/>
      <w:pStyle w:val="Bulletslevel1"/>
      <w:lvlText w:val=""/>
      <w:lvlJc w:val="left"/>
      <w:pPr>
        <w:ind w:left="720" w:hanging="360"/>
      </w:pPr>
      <w:rPr>
        <w:rFonts w:ascii="Symbol" w:hAnsi="Symbol" w:hint="default"/>
        <w:b w:val="0"/>
        <w:i w:val="0"/>
        <w:sz w:val="19"/>
      </w:rPr>
    </w:lvl>
    <w:lvl w:ilvl="1" w:tplc="68469D24" w:tentative="1">
      <w:start w:val="1"/>
      <w:numFmt w:val="bullet"/>
      <w:lvlText w:val="o"/>
      <w:lvlJc w:val="left"/>
      <w:pPr>
        <w:ind w:left="1440" w:hanging="360"/>
      </w:pPr>
      <w:rPr>
        <w:rFonts w:ascii="Courier New" w:hAnsi="Courier New" w:cs="Courier New" w:hint="default"/>
      </w:rPr>
    </w:lvl>
    <w:lvl w:ilvl="2" w:tplc="DE5ADB00" w:tentative="1">
      <w:start w:val="1"/>
      <w:numFmt w:val="bullet"/>
      <w:lvlText w:val=""/>
      <w:lvlJc w:val="left"/>
      <w:pPr>
        <w:ind w:left="2160" w:hanging="360"/>
      </w:pPr>
      <w:rPr>
        <w:rFonts w:ascii="Wingdings" w:hAnsi="Wingdings" w:hint="default"/>
      </w:rPr>
    </w:lvl>
    <w:lvl w:ilvl="3" w:tplc="456CA936" w:tentative="1">
      <w:start w:val="1"/>
      <w:numFmt w:val="bullet"/>
      <w:lvlText w:val=""/>
      <w:lvlJc w:val="left"/>
      <w:pPr>
        <w:ind w:left="2880" w:hanging="360"/>
      </w:pPr>
      <w:rPr>
        <w:rFonts w:ascii="Symbol" w:hAnsi="Symbol" w:hint="default"/>
      </w:rPr>
    </w:lvl>
    <w:lvl w:ilvl="4" w:tplc="2574241E" w:tentative="1">
      <w:start w:val="1"/>
      <w:numFmt w:val="bullet"/>
      <w:lvlText w:val="o"/>
      <w:lvlJc w:val="left"/>
      <w:pPr>
        <w:ind w:left="3600" w:hanging="360"/>
      </w:pPr>
      <w:rPr>
        <w:rFonts w:ascii="Courier New" w:hAnsi="Courier New" w:cs="Courier New" w:hint="default"/>
      </w:rPr>
    </w:lvl>
    <w:lvl w:ilvl="5" w:tplc="FC169764" w:tentative="1">
      <w:start w:val="1"/>
      <w:numFmt w:val="bullet"/>
      <w:lvlText w:val=""/>
      <w:lvlJc w:val="left"/>
      <w:pPr>
        <w:ind w:left="4320" w:hanging="360"/>
      </w:pPr>
      <w:rPr>
        <w:rFonts w:ascii="Wingdings" w:hAnsi="Wingdings" w:hint="default"/>
      </w:rPr>
    </w:lvl>
    <w:lvl w:ilvl="6" w:tplc="3CAE34A6" w:tentative="1">
      <w:start w:val="1"/>
      <w:numFmt w:val="bullet"/>
      <w:lvlText w:val=""/>
      <w:lvlJc w:val="left"/>
      <w:pPr>
        <w:ind w:left="5040" w:hanging="360"/>
      </w:pPr>
      <w:rPr>
        <w:rFonts w:ascii="Symbol" w:hAnsi="Symbol" w:hint="default"/>
      </w:rPr>
    </w:lvl>
    <w:lvl w:ilvl="7" w:tplc="4DE4780C" w:tentative="1">
      <w:start w:val="1"/>
      <w:numFmt w:val="bullet"/>
      <w:lvlText w:val="o"/>
      <w:lvlJc w:val="left"/>
      <w:pPr>
        <w:ind w:left="5760" w:hanging="360"/>
      </w:pPr>
      <w:rPr>
        <w:rFonts w:ascii="Courier New" w:hAnsi="Courier New" w:cs="Courier New" w:hint="default"/>
      </w:rPr>
    </w:lvl>
    <w:lvl w:ilvl="8" w:tplc="D01C4A48" w:tentative="1">
      <w:start w:val="1"/>
      <w:numFmt w:val="bullet"/>
      <w:lvlText w:val=""/>
      <w:lvlJc w:val="left"/>
      <w:pPr>
        <w:ind w:left="6480" w:hanging="360"/>
      </w:pPr>
      <w:rPr>
        <w:rFonts w:ascii="Wingdings" w:hAnsi="Wingdings" w:hint="default"/>
      </w:rPr>
    </w:lvl>
  </w:abstractNum>
  <w:abstractNum w:abstractNumId="25">
    <w:nsid w:val="64E61953"/>
    <w:multiLevelType w:val="multilevel"/>
    <w:tmpl w:val="F32A53A8"/>
    <w:lvl w:ilvl="0">
      <w:start w:val="1"/>
      <w:numFmt w:val="lowerRoman"/>
      <w:lvlText w:val="%1."/>
      <w:lvlJc w:val="left"/>
      <w:pPr>
        <w:ind w:left="644" w:hanging="360"/>
      </w:pPr>
      <w:rPr>
        <w:rFonts w:ascii="Arial" w:hAnsi="Arial" w:hint="default"/>
        <w:b w:val="0"/>
        <w:bCs/>
        <w:i w:val="0"/>
        <w:iCs w:val="0"/>
        <w:caps w:val="0"/>
        <w:smallCaps w:val="0"/>
        <w:strike w:val="0"/>
        <w:dstrike w:val="0"/>
        <w:vanish w:val="0"/>
        <w:color w:val="auto"/>
        <w:spacing w:val="0"/>
        <w:w w:val="100"/>
        <w:kern w:val="0"/>
        <w:position w:val="0"/>
        <w:sz w:val="16"/>
        <w:szCs w:val="19"/>
        <w:u w:val="none" w:color="92D400"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6">
    <w:nsid w:val="65C61B04"/>
    <w:multiLevelType w:val="hybridMultilevel"/>
    <w:tmpl w:val="3BD857B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nsid w:val="670041A5"/>
    <w:multiLevelType w:val="multilevel"/>
    <w:tmpl w:val="39DACB12"/>
    <w:lvl w:ilvl="0">
      <w:start w:val="1"/>
      <w:numFmt w:val="decimal"/>
      <w:suff w:val="space"/>
      <w:lvlText w:val="Článek %1"/>
      <w:lvlJc w:val="left"/>
      <w:pPr>
        <w:ind w:left="447" w:hanging="448"/>
      </w:pPr>
      <w:rPr>
        <w:rFonts w:ascii="Times New Roman Bold" w:hAnsi="Times New Roman Bold" w:hint="default"/>
        <w:b/>
        <w:i w:val="0"/>
        <w:color w:val="auto"/>
        <w:sz w:val="24"/>
        <w:szCs w:val="32"/>
      </w:rPr>
    </w:lvl>
    <w:lvl w:ilvl="1">
      <w:start w:val="1"/>
      <w:numFmt w:val="decimal"/>
      <w:lvlText w:val="%1.%2"/>
      <w:lvlJc w:val="left"/>
      <w:pPr>
        <w:tabs>
          <w:tab w:val="num" w:pos="567"/>
        </w:tabs>
        <w:ind w:left="454" w:hanging="454"/>
      </w:pPr>
      <w:rPr>
        <w:rFonts w:ascii="Times New Roman Bold" w:hAnsi="Times New Roman Bold" w:hint="default"/>
        <w:b/>
        <w:i w:val="0"/>
        <w:color w:val="auto"/>
        <w:sz w:val="22"/>
        <w:szCs w:val="28"/>
      </w:rPr>
    </w:lvl>
    <w:lvl w:ilvl="2">
      <w:start w:val="1"/>
      <w:numFmt w:val="decimal"/>
      <w:lvlText w:val="%1.%2.%3"/>
      <w:lvlJc w:val="left"/>
      <w:pPr>
        <w:tabs>
          <w:tab w:val="num" w:pos="560"/>
        </w:tabs>
        <w:ind w:left="737" w:hanging="737"/>
      </w:pPr>
      <w:rPr>
        <w:rFonts w:ascii="Times New Roman Bold" w:hAnsi="Times New Roman Bold" w:hint="default"/>
        <w:b w:val="0"/>
        <w:i w:val="0"/>
        <w:color w:val="auto"/>
        <w:sz w:val="22"/>
        <w:szCs w:val="24"/>
      </w:rPr>
    </w:lvl>
    <w:lvl w:ilvl="3">
      <w:start w:val="1"/>
      <w:numFmt w:val="decimal"/>
      <w:lvlText w:val="%1.%2.%3.%4"/>
      <w:lvlJc w:val="left"/>
      <w:pPr>
        <w:tabs>
          <w:tab w:val="num" w:pos="744"/>
        </w:tabs>
        <w:ind w:left="744" w:hanging="864"/>
      </w:pPr>
    </w:lvl>
    <w:lvl w:ilvl="4">
      <w:start w:val="1"/>
      <w:numFmt w:val="decimal"/>
      <w:lvlText w:val="%1.%2.%3.%4.%5"/>
      <w:lvlJc w:val="left"/>
      <w:pPr>
        <w:tabs>
          <w:tab w:val="num" w:pos="888"/>
        </w:tabs>
        <w:ind w:left="888" w:hanging="1008"/>
      </w:pPr>
    </w:lvl>
    <w:lvl w:ilvl="5">
      <w:start w:val="1"/>
      <w:numFmt w:val="decimal"/>
      <w:lvlText w:val="%1.%2.%3.%4.%5.%6"/>
      <w:lvlJc w:val="left"/>
      <w:pPr>
        <w:tabs>
          <w:tab w:val="num" w:pos="1032"/>
        </w:tabs>
        <w:ind w:left="1032" w:hanging="1152"/>
      </w:pPr>
    </w:lvl>
    <w:lvl w:ilvl="6">
      <w:start w:val="1"/>
      <w:numFmt w:val="decimal"/>
      <w:lvlText w:val="%1.%2.%3.%4.%5.%6.%7"/>
      <w:lvlJc w:val="left"/>
      <w:pPr>
        <w:tabs>
          <w:tab w:val="num" w:pos="1176"/>
        </w:tabs>
        <w:ind w:left="1176" w:hanging="1296"/>
      </w:pPr>
    </w:lvl>
    <w:lvl w:ilvl="7">
      <w:start w:val="1"/>
      <w:numFmt w:val="decimal"/>
      <w:lvlText w:val="%1.%2.%3.%4.%5.%6.%7.%8"/>
      <w:lvlJc w:val="left"/>
      <w:pPr>
        <w:tabs>
          <w:tab w:val="num" w:pos="1320"/>
        </w:tabs>
        <w:ind w:left="1320" w:hanging="1440"/>
      </w:pPr>
    </w:lvl>
    <w:lvl w:ilvl="8">
      <w:start w:val="1"/>
      <w:numFmt w:val="decimal"/>
      <w:lvlText w:val="%1.%2.%3.%4.%5.%6.%7.%8.%9"/>
      <w:lvlJc w:val="left"/>
      <w:pPr>
        <w:tabs>
          <w:tab w:val="num" w:pos="1464"/>
        </w:tabs>
        <w:ind w:left="1464" w:hanging="1584"/>
      </w:pPr>
    </w:lvl>
  </w:abstractNum>
  <w:abstractNum w:abstractNumId="28">
    <w:nsid w:val="68251CBC"/>
    <w:multiLevelType w:val="multilevel"/>
    <w:tmpl w:val="464A0454"/>
    <w:lvl w:ilvl="0">
      <w:start w:val="1"/>
      <w:numFmt w:val="lowerLetter"/>
      <w:lvlText w:val="%1)"/>
      <w:lvlJc w:val="left"/>
      <w:pPr>
        <w:ind w:left="720" w:hanging="360"/>
      </w:pPr>
      <w:rPr>
        <w:rFonts w:ascii="Arial" w:hAnsi="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AE80D93"/>
    <w:multiLevelType w:val="hybridMultilevel"/>
    <w:tmpl w:val="A3021A44"/>
    <w:lvl w:ilvl="0" w:tplc="3632A6E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nsid w:val="70053B5D"/>
    <w:multiLevelType w:val="hybridMultilevel"/>
    <w:tmpl w:val="96585322"/>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1">
    <w:nsid w:val="73240104"/>
    <w:multiLevelType w:val="hybridMultilevel"/>
    <w:tmpl w:val="B5C03F38"/>
    <w:lvl w:ilvl="0" w:tplc="F4669294">
      <w:start w:val="1"/>
      <w:numFmt w:val="decimal"/>
      <w:lvlText w:val="Article %1."/>
      <w:lvlJc w:val="left"/>
      <w:pPr>
        <w:ind w:left="720" w:hanging="360"/>
      </w:pPr>
      <w:rPr>
        <w:rFonts w:hint="default"/>
        <w:b/>
        <w:i w:val="0"/>
        <w:spacing w:val="0"/>
        <w:position w:val="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8328FD"/>
    <w:multiLevelType w:val="hybridMultilevel"/>
    <w:tmpl w:val="F06ACDC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3"/>
  </w:num>
  <w:num w:numId="3">
    <w:abstractNumId w:val="5"/>
  </w:num>
  <w:num w:numId="4">
    <w:abstractNumId w:val="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8"/>
  </w:num>
  <w:num w:numId="26">
    <w:abstractNumId w:val="22"/>
  </w:num>
  <w:num w:numId="27">
    <w:abstractNumId w:val="15"/>
  </w:num>
  <w:num w:numId="28">
    <w:abstractNumId w:val="28"/>
  </w:num>
  <w:num w:numId="29">
    <w:abstractNumId w:val="23"/>
  </w:num>
  <w:num w:numId="30">
    <w:abstractNumId w:val="25"/>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0"/>
  </w:num>
  <w:num w:numId="47">
    <w:abstractNumId w:val="16"/>
  </w:num>
  <w:num w:numId="48">
    <w:abstractNumId w:val="32"/>
  </w:num>
  <w:num w:numId="49">
    <w:abstractNumId w:val="4"/>
  </w:num>
  <w:num w:numId="50">
    <w:abstractNumId w:val="20"/>
  </w:num>
  <w:num w:numId="51">
    <w:abstractNumId w:val="12"/>
  </w:num>
  <w:num w:numId="52">
    <w:abstractNumId w:val="14"/>
  </w:num>
  <w:num w:numId="53">
    <w:abstractNumId w:val="3"/>
  </w:num>
  <w:num w:numId="54">
    <w:abstractNumId w:val="19"/>
  </w:num>
  <w:num w:numId="55">
    <w:abstractNumId w:val="29"/>
  </w:num>
  <w:num w:numId="56">
    <w:abstractNumId w:val="30"/>
  </w:num>
  <w:num w:numId="57">
    <w:abstractNumId w:val="1"/>
  </w:num>
  <w:num w:numId="58">
    <w:abstractNumId w:val="11"/>
  </w:num>
  <w:num w:numId="59">
    <w:abstractNumId w:val="21"/>
  </w:num>
  <w:num w:numId="60">
    <w:abstractNumId w:val="22"/>
  </w:num>
  <w:num w:numId="61">
    <w:abstractNumId w:val="22"/>
  </w:num>
  <w:num w:numId="62">
    <w:abstractNumId w:val="22"/>
  </w:num>
  <w:num w:numId="63">
    <w:abstractNumId w:val="22"/>
  </w:num>
  <w:num w:numId="64">
    <w:abstractNumId w:val="26"/>
  </w:num>
  <w:num w:numId="65">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06"/>
    <w:rsid w:val="000016A5"/>
    <w:rsid w:val="00004DBB"/>
    <w:rsid w:val="00015A9A"/>
    <w:rsid w:val="00020A5B"/>
    <w:rsid w:val="000236B0"/>
    <w:rsid w:val="00030B4F"/>
    <w:rsid w:val="00030C5B"/>
    <w:rsid w:val="00031FAC"/>
    <w:rsid w:val="00036057"/>
    <w:rsid w:val="000608AD"/>
    <w:rsid w:val="00070FC4"/>
    <w:rsid w:val="00071987"/>
    <w:rsid w:val="00074D2F"/>
    <w:rsid w:val="0007555C"/>
    <w:rsid w:val="00075C1E"/>
    <w:rsid w:val="000860F0"/>
    <w:rsid w:val="0008794A"/>
    <w:rsid w:val="00090038"/>
    <w:rsid w:val="00095956"/>
    <w:rsid w:val="00095FE3"/>
    <w:rsid w:val="000A25AE"/>
    <w:rsid w:val="000A33A0"/>
    <w:rsid w:val="000A3642"/>
    <w:rsid w:val="000B024D"/>
    <w:rsid w:val="000B7751"/>
    <w:rsid w:val="000C05F6"/>
    <w:rsid w:val="000C07D2"/>
    <w:rsid w:val="000C2107"/>
    <w:rsid w:val="000D2299"/>
    <w:rsid w:val="000D444D"/>
    <w:rsid w:val="000D7DB9"/>
    <w:rsid w:val="000E39CC"/>
    <w:rsid w:val="00100347"/>
    <w:rsid w:val="001113ED"/>
    <w:rsid w:val="0011692E"/>
    <w:rsid w:val="00117D33"/>
    <w:rsid w:val="001206DA"/>
    <w:rsid w:val="001206DF"/>
    <w:rsid w:val="0012336B"/>
    <w:rsid w:val="00126056"/>
    <w:rsid w:val="00133E26"/>
    <w:rsid w:val="00137B33"/>
    <w:rsid w:val="00143572"/>
    <w:rsid w:val="00143AD7"/>
    <w:rsid w:val="001452B6"/>
    <w:rsid w:val="00146657"/>
    <w:rsid w:val="0016708B"/>
    <w:rsid w:val="0017198C"/>
    <w:rsid w:val="00173E01"/>
    <w:rsid w:val="00174AFE"/>
    <w:rsid w:val="00175937"/>
    <w:rsid w:val="00182989"/>
    <w:rsid w:val="00182C05"/>
    <w:rsid w:val="00190CAF"/>
    <w:rsid w:val="00191224"/>
    <w:rsid w:val="001A19F7"/>
    <w:rsid w:val="001A3801"/>
    <w:rsid w:val="001A4B95"/>
    <w:rsid w:val="001A4E24"/>
    <w:rsid w:val="001B6E17"/>
    <w:rsid w:val="001C26E2"/>
    <w:rsid w:val="001C2EF4"/>
    <w:rsid w:val="001C5FE2"/>
    <w:rsid w:val="001D162D"/>
    <w:rsid w:val="001D56FF"/>
    <w:rsid w:val="001E271C"/>
    <w:rsid w:val="001E2F87"/>
    <w:rsid w:val="001E3A43"/>
    <w:rsid w:val="001E6D9C"/>
    <w:rsid w:val="001E7CC2"/>
    <w:rsid w:val="001F0C13"/>
    <w:rsid w:val="001F1B4B"/>
    <w:rsid w:val="00200026"/>
    <w:rsid w:val="002066F3"/>
    <w:rsid w:val="00207FCC"/>
    <w:rsid w:val="00210E5E"/>
    <w:rsid w:val="00213203"/>
    <w:rsid w:val="00216C6A"/>
    <w:rsid w:val="00220010"/>
    <w:rsid w:val="00223E06"/>
    <w:rsid w:val="00223E10"/>
    <w:rsid w:val="00224AA8"/>
    <w:rsid w:val="00231794"/>
    <w:rsid w:val="00235D74"/>
    <w:rsid w:val="00236144"/>
    <w:rsid w:val="0024576C"/>
    <w:rsid w:val="00253BF6"/>
    <w:rsid w:val="002557C9"/>
    <w:rsid w:val="002567B5"/>
    <w:rsid w:val="00260A1D"/>
    <w:rsid w:val="0026603C"/>
    <w:rsid w:val="0027188E"/>
    <w:rsid w:val="00272EE5"/>
    <w:rsid w:val="00274E01"/>
    <w:rsid w:val="00282E8C"/>
    <w:rsid w:val="00285E26"/>
    <w:rsid w:val="00286BC9"/>
    <w:rsid w:val="002A053C"/>
    <w:rsid w:val="002A2D62"/>
    <w:rsid w:val="002A7A86"/>
    <w:rsid w:val="002B17D1"/>
    <w:rsid w:val="002B6BD6"/>
    <w:rsid w:val="002D38BC"/>
    <w:rsid w:val="002D5FCD"/>
    <w:rsid w:val="002D7602"/>
    <w:rsid w:val="002E1C3C"/>
    <w:rsid w:val="002E32BC"/>
    <w:rsid w:val="002F0CB1"/>
    <w:rsid w:val="00300EC5"/>
    <w:rsid w:val="003038D5"/>
    <w:rsid w:val="0031390F"/>
    <w:rsid w:val="00313B5C"/>
    <w:rsid w:val="003153CE"/>
    <w:rsid w:val="0031599A"/>
    <w:rsid w:val="00315DBD"/>
    <w:rsid w:val="00320535"/>
    <w:rsid w:val="003250FF"/>
    <w:rsid w:val="00333E3E"/>
    <w:rsid w:val="003340B8"/>
    <w:rsid w:val="00351104"/>
    <w:rsid w:val="003530AF"/>
    <w:rsid w:val="00360EB6"/>
    <w:rsid w:val="00362BC5"/>
    <w:rsid w:val="003655A2"/>
    <w:rsid w:val="0037010D"/>
    <w:rsid w:val="00374AD7"/>
    <w:rsid w:val="00375271"/>
    <w:rsid w:val="00376491"/>
    <w:rsid w:val="0037727D"/>
    <w:rsid w:val="00382B96"/>
    <w:rsid w:val="00385D59"/>
    <w:rsid w:val="00387B36"/>
    <w:rsid w:val="00390531"/>
    <w:rsid w:val="00392F8B"/>
    <w:rsid w:val="00392FE4"/>
    <w:rsid w:val="00394C79"/>
    <w:rsid w:val="003977EF"/>
    <w:rsid w:val="003A029F"/>
    <w:rsid w:val="003A1398"/>
    <w:rsid w:val="003A1919"/>
    <w:rsid w:val="003A6050"/>
    <w:rsid w:val="003A71B1"/>
    <w:rsid w:val="003B364C"/>
    <w:rsid w:val="003C3CE3"/>
    <w:rsid w:val="003C5BB9"/>
    <w:rsid w:val="003C7B2A"/>
    <w:rsid w:val="003D2CE7"/>
    <w:rsid w:val="003D3103"/>
    <w:rsid w:val="003D424B"/>
    <w:rsid w:val="003D6242"/>
    <w:rsid w:val="003D6630"/>
    <w:rsid w:val="003F18CD"/>
    <w:rsid w:val="003F22DC"/>
    <w:rsid w:val="003F75C5"/>
    <w:rsid w:val="0040246A"/>
    <w:rsid w:val="00402DEA"/>
    <w:rsid w:val="004040B0"/>
    <w:rsid w:val="004101F6"/>
    <w:rsid w:val="00411BBA"/>
    <w:rsid w:val="0041524D"/>
    <w:rsid w:val="004169EC"/>
    <w:rsid w:val="004202FF"/>
    <w:rsid w:val="0042148A"/>
    <w:rsid w:val="00422068"/>
    <w:rsid w:val="004257D7"/>
    <w:rsid w:val="00433D9D"/>
    <w:rsid w:val="00441746"/>
    <w:rsid w:val="004423D5"/>
    <w:rsid w:val="00445A43"/>
    <w:rsid w:val="00447617"/>
    <w:rsid w:val="004520A2"/>
    <w:rsid w:val="00460483"/>
    <w:rsid w:val="00472F02"/>
    <w:rsid w:val="004750A7"/>
    <w:rsid w:val="00482CD8"/>
    <w:rsid w:val="00486DBC"/>
    <w:rsid w:val="00496B11"/>
    <w:rsid w:val="00496CE1"/>
    <w:rsid w:val="004A0B42"/>
    <w:rsid w:val="004A531E"/>
    <w:rsid w:val="004A6C86"/>
    <w:rsid w:val="004B36CD"/>
    <w:rsid w:val="004B4FFD"/>
    <w:rsid w:val="004B53E6"/>
    <w:rsid w:val="004B67CC"/>
    <w:rsid w:val="004D487B"/>
    <w:rsid w:val="004D7B1F"/>
    <w:rsid w:val="004E125C"/>
    <w:rsid w:val="004F478B"/>
    <w:rsid w:val="0050366B"/>
    <w:rsid w:val="0050421C"/>
    <w:rsid w:val="005060B4"/>
    <w:rsid w:val="00532D0A"/>
    <w:rsid w:val="00542936"/>
    <w:rsid w:val="00550CC1"/>
    <w:rsid w:val="00551979"/>
    <w:rsid w:val="00561EAD"/>
    <w:rsid w:val="00563A54"/>
    <w:rsid w:val="00566DDD"/>
    <w:rsid w:val="0057284A"/>
    <w:rsid w:val="00582B72"/>
    <w:rsid w:val="00591681"/>
    <w:rsid w:val="005936FF"/>
    <w:rsid w:val="005B4CAD"/>
    <w:rsid w:val="005D670E"/>
    <w:rsid w:val="005F0693"/>
    <w:rsid w:val="005F1143"/>
    <w:rsid w:val="00600E74"/>
    <w:rsid w:val="006034BC"/>
    <w:rsid w:val="00605008"/>
    <w:rsid w:val="0060665A"/>
    <w:rsid w:val="00606BC7"/>
    <w:rsid w:val="00606D44"/>
    <w:rsid w:val="00607273"/>
    <w:rsid w:val="00610E17"/>
    <w:rsid w:val="00622950"/>
    <w:rsid w:val="00624DC2"/>
    <w:rsid w:val="006328F5"/>
    <w:rsid w:val="00635465"/>
    <w:rsid w:val="0064113C"/>
    <w:rsid w:val="00641DDA"/>
    <w:rsid w:val="006433AF"/>
    <w:rsid w:val="006436E3"/>
    <w:rsid w:val="00644D83"/>
    <w:rsid w:val="00646111"/>
    <w:rsid w:val="0065304C"/>
    <w:rsid w:val="00653F50"/>
    <w:rsid w:val="006620EF"/>
    <w:rsid w:val="0066263B"/>
    <w:rsid w:val="00670284"/>
    <w:rsid w:val="00670575"/>
    <w:rsid w:val="006837F5"/>
    <w:rsid w:val="0068463D"/>
    <w:rsid w:val="006859B7"/>
    <w:rsid w:val="00687B38"/>
    <w:rsid w:val="006A494E"/>
    <w:rsid w:val="006A5761"/>
    <w:rsid w:val="006C28E6"/>
    <w:rsid w:val="006C296C"/>
    <w:rsid w:val="006C7BEE"/>
    <w:rsid w:val="006D02FC"/>
    <w:rsid w:val="006D6107"/>
    <w:rsid w:val="006F2C90"/>
    <w:rsid w:val="006F52E2"/>
    <w:rsid w:val="006F627F"/>
    <w:rsid w:val="006F6C05"/>
    <w:rsid w:val="006F71E5"/>
    <w:rsid w:val="006F7350"/>
    <w:rsid w:val="007021D8"/>
    <w:rsid w:val="0070320A"/>
    <w:rsid w:val="00707B58"/>
    <w:rsid w:val="00711003"/>
    <w:rsid w:val="00711603"/>
    <w:rsid w:val="00726878"/>
    <w:rsid w:val="00726CE6"/>
    <w:rsid w:val="00726FE1"/>
    <w:rsid w:val="00750341"/>
    <w:rsid w:val="00750A85"/>
    <w:rsid w:val="00751DCB"/>
    <w:rsid w:val="00755063"/>
    <w:rsid w:val="00770164"/>
    <w:rsid w:val="0077319F"/>
    <w:rsid w:val="00774525"/>
    <w:rsid w:val="00777B34"/>
    <w:rsid w:val="0078250C"/>
    <w:rsid w:val="00783127"/>
    <w:rsid w:val="007877D4"/>
    <w:rsid w:val="007935E9"/>
    <w:rsid w:val="0079594D"/>
    <w:rsid w:val="007A1AEE"/>
    <w:rsid w:val="007A275B"/>
    <w:rsid w:val="007A44D3"/>
    <w:rsid w:val="007B3E51"/>
    <w:rsid w:val="007B4542"/>
    <w:rsid w:val="007B6C51"/>
    <w:rsid w:val="007B7740"/>
    <w:rsid w:val="007D22CE"/>
    <w:rsid w:val="007D3B89"/>
    <w:rsid w:val="007F11EE"/>
    <w:rsid w:val="00806329"/>
    <w:rsid w:val="00807D3E"/>
    <w:rsid w:val="00816E6D"/>
    <w:rsid w:val="008201A2"/>
    <w:rsid w:val="008227C2"/>
    <w:rsid w:val="00833C97"/>
    <w:rsid w:val="00842B8D"/>
    <w:rsid w:val="00847CA7"/>
    <w:rsid w:val="008503A8"/>
    <w:rsid w:val="00853CA3"/>
    <w:rsid w:val="00855EAC"/>
    <w:rsid w:val="00856B36"/>
    <w:rsid w:val="00860775"/>
    <w:rsid w:val="00862799"/>
    <w:rsid w:val="008728C0"/>
    <w:rsid w:val="00875E04"/>
    <w:rsid w:val="00890672"/>
    <w:rsid w:val="00892540"/>
    <w:rsid w:val="008A35F3"/>
    <w:rsid w:val="008A720B"/>
    <w:rsid w:val="008A7E44"/>
    <w:rsid w:val="008B232F"/>
    <w:rsid w:val="008B2E3C"/>
    <w:rsid w:val="008B3AF0"/>
    <w:rsid w:val="008B3E76"/>
    <w:rsid w:val="008B4AC0"/>
    <w:rsid w:val="008C35E7"/>
    <w:rsid w:val="008C3FA4"/>
    <w:rsid w:val="008C5EDC"/>
    <w:rsid w:val="008C75DD"/>
    <w:rsid w:val="008D2E17"/>
    <w:rsid w:val="008E0ABF"/>
    <w:rsid w:val="008E4E07"/>
    <w:rsid w:val="008E5686"/>
    <w:rsid w:val="008E6769"/>
    <w:rsid w:val="008E7ED1"/>
    <w:rsid w:val="008F215F"/>
    <w:rsid w:val="008F4C12"/>
    <w:rsid w:val="008F5F14"/>
    <w:rsid w:val="008F6219"/>
    <w:rsid w:val="0090214E"/>
    <w:rsid w:val="00907754"/>
    <w:rsid w:val="0091097D"/>
    <w:rsid w:val="0093353B"/>
    <w:rsid w:val="00935030"/>
    <w:rsid w:val="00945C6D"/>
    <w:rsid w:val="00955836"/>
    <w:rsid w:val="00955DE6"/>
    <w:rsid w:val="00956973"/>
    <w:rsid w:val="00962584"/>
    <w:rsid w:val="0096290C"/>
    <w:rsid w:val="0096340B"/>
    <w:rsid w:val="0096587D"/>
    <w:rsid w:val="0097328F"/>
    <w:rsid w:val="00976402"/>
    <w:rsid w:val="009835D3"/>
    <w:rsid w:val="0098407B"/>
    <w:rsid w:val="0098613E"/>
    <w:rsid w:val="00991839"/>
    <w:rsid w:val="00993320"/>
    <w:rsid w:val="009B0A13"/>
    <w:rsid w:val="009B0ABD"/>
    <w:rsid w:val="009B1B3D"/>
    <w:rsid w:val="009B1E18"/>
    <w:rsid w:val="009B4CA6"/>
    <w:rsid w:val="009C2540"/>
    <w:rsid w:val="009D03D5"/>
    <w:rsid w:val="009D0EC2"/>
    <w:rsid w:val="009D7ED9"/>
    <w:rsid w:val="009E1961"/>
    <w:rsid w:val="009E21D5"/>
    <w:rsid w:val="009F1009"/>
    <w:rsid w:val="009F568A"/>
    <w:rsid w:val="00A02405"/>
    <w:rsid w:val="00A035D2"/>
    <w:rsid w:val="00A0681B"/>
    <w:rsid w:val="00A06919"/>
    <w:rsid w:val="00A218FA"/>
    <w:rsid w:val="00A263A0"/>
    <w:rsid w:val="00A40230"/>
    <w:rsid w:val="00A40B9A"/>
    <w:rsid w:val="00A72120"/>
    <w:rsid w:val="00A81CF2"/>
    <w:rsid w:val="00A87170"/>
    <w:rsid w:val="00A9285C"/>
    <w:rsid w:val="00A9327C"/>
    <w:rsid w:val="00A9622D"/>
    <w:rsid w:val="00A97651"/>
    <w:rsid w:val="00AA5516"/>
    <w:rsid w:val="00AB7B70"/>
    <w:rsid w:val="00AC03B0"/>
    <w:rsid w:val="00AC292D"/>
    <w:rsid w:val="00AC7C5F"/>
    <w:rsid w:val="00AD1481"/>
    <w:rsid w:val="00AD2969"/>
    <w:rsid w:val="00AD41A1"/>
    <w:rsid w:val="00AD443E"/>
    <w:rsid w:val="00AE0D5E"/>
    <w:rsid w:val="00AE4A06"/>
    <w:rsid w:val="00AE4B77"/>
    <w:rsid w:val="00AE5FAD"/>
    <w:rsid w:val="00B00B5D"/>
    <w:rsid w:val="00B05757"/>
    <w:rsid w:val="00B12C89"/>
    <w:rsid w:val="00B2005F"/>
    <w:rsid w:val="00B20785"/>
    <w:rsid w:val="00B219B5"/>
    <w:rsid w:val="00B238EE"/>
    <w:rsid w:val="00B26704"/>
    <w:rsid w:val="00B2674F"/>
    <w:rsid w:val="00B26AB7"/>
    <w:rsid w:val="00B26B5C"/>
    <w:rsid w:val="00B325FE"/>
    <w:rsid w:val="00B3675D"/>
    <w:rsid w:val="00B46E51"/>
    <w:rsid w:val="00B50690"/>
    <w:rsid w:val="00B532D6"/>
    <w:rsid w:val="00B56763"/>
    <w:rsid w:val="00B60C55"/>
    <w:rsid w:val="00B61FE9"/>
    <w:rsid w:val="00B670CC"/>
    <w:rsid w:val="00B720C2"/>
    <w:rsid w:val="00B72B7B"/>
    <w:rsid w:val="00B775A9"/>
    <w:rsid w:val="00B8478F"/>
    <w:rsid w:val="00B85F78"/>
    <w:rsid w:val="00B90B7D"/>
    <w:rsid w:val="00BA08C0"/>
    <w:rsid w:val="00BA2B46"/>
    <w:rsid w:val="00BA6965"/>
    <w:rsid w:val="00BB2B77"/>
    <w:rsid w:val="00BB3322"/>
    <w:rsid w:val="00BB45CE"/>
    <w:rsid w:val="00BB57BF"/>
    <w:rsid w:val="00BB71C5"/>
    <w:rsid w:val="00BC7FFA"/>
    <w:rsid w:val="00BE5C52"/>
    <w:rsid w:val="00BE6734"/>
    <w:rsid w:val="00BF0911"/>
    <w:rsid w:val="00BF50F0"/>
    <w:rsid w:val="00BF66AD"/>
    <w:rsid w:val="00C01B50"/>
    <w:rsid w:val="00C04161"/>
    <w:rsid w:val="00C13F2C"/>
    <w:rsid w:val="00C20B62"/>
    <w:rsid w:val="00C30294"/>
    <w:rsid w:val="00C3039A"/>
    <w:rsid w:val="00C337F9"/>
    <w:rsid w:val="00C37A9C"/>
    <w:rsid w:val="00C444B3"/>
    <w:rsid w:val="00C4496F"/>
    <w:rsid w:val="00C560D5"/>
    <w:rsid w:val="00C60815"/>
    <w:rsid w:val="00C678EB"/>
    <w:rsid w:val="00C828CE"/>
    <w:rsid w:val="00C8490A"/>
    <w:rsid w:val="00C942E7"/>
    <w:rsid w:val="00C97A0D"/>
    <w:rsid w:val="00C97AC3"/>
    <w:rsid w:val="00CA01E2"/>
    <w:rsid w:val="00CA415C"/>
    <w:rsid w:val="00CB0293"/>
    <w:rsid w:val="00CB40D6"/>
    <w:rsid w:val="00CC08EE"/>
    <w:rsid w:val="00CC49E4"/>
    <w:rsid w:val="00CD1B8A"/>
    <w:rsid w:val="00CD44BA"/>
    <w:rsid w:val="00CD78B4"/>
    <w:rsid w:val="00CD7E26"/>
    <w:rsid w:val="00CE00BE"/>
    <w:rsid w:val="00CE5338"/>
    <w:rsid w:val="00CE60B8"/>
    <w:rsid w:val="00CE77E6"/>
    <w:rsid w:val="00D03E46"/>
    <w:rsid w:val="00D0755D"/>
    <w:rsid w:val="00D1104D"/>
    <w:rsid w:val="00D14094"/>
    <w:rsid w:val="00D26CBD"/>
    <w:rsid w:val="00D327AA"/>
    <w:rsid w:val="00D331ED"/>
    <w:rsid w:val="00D468C8"/>
    <w:rsid w:val="00D52966"/>
    <w:rsid w:val="00D56AA9"/>
    <w:rsid w:val="00D6247D"/>
    <w:rsid w:val="00D66BC1"/>
    <w:rsid w:val="00D66FBD"/>
    <w:rsid w:val="00D670DA"/>
    <w:rsid w:val="00D72FFD"/>
    <w:rsid w:val="00D87654"/>
    <w:rsid w:val="00D975ED"/>
    <w:rsid w:val="00DA284C"/>
    <w:rsid w:val="00DB7DF6"/>
    <w:rsid w:val="00DC30F5"/>
    <w:rsid w:val="00DC362D"/>
    <w:rsid w:val="00DC4BD3"/>
    <w:rsid w:val="00DC6C4A"/>
    <w:rsid w:val="00DC7839"/>
    <w:rsid w:val="00DC7EDE"/>
    <w:rsid w:val="00DD6A5D"/>
    <w:rsid w:val="00DE2D54"/>
    <w:rsid w:val="00DE50F2"/>
    <w:rsid w:val="00DF10AD"/>
    <w:rsid w:val="00DF1310"/>
    <w:rsid w:val="00DF18D0"/>
    <w:rsid w:val="00DF22A0"/>
    <w:rsid w:val="00DF3A2D"/>
    <w:rsid w:val="00E0719B"/>
    <w:rsid w:val="00E11176"/>
    <w:rsid w:val="00E23F79"/>
    <w:rsid w:val="00E2425D"/>
    <w:rsid w:val="00E2580A"/>
    <w:rsid w:val="00E25E6F"/>
    <w:rsid w:val="00E26C63"/>
    <w:rsid w:val="00E343CB"/>
    <w:rsid w:val="00E37160"/>
    <w:rsid w:val="00E421C0"/>
    <w:rsid w:val="00E42428"/>
    <w:rsid w:val="00E42491"/>
    <w:rsid w:val="00E425C2"/>
    <w:rsid w:val="00E4734A"/>
    <w:rsid w:val="00E5379F"/>
    <w:rsid w:val="00E5446A"/>
    <w:rsid w:val="00E65A60"/>
    <w:rsid w:val="00E70644"/>
    <w:rsid w:val="00E70FC7"/>
    <w:rsid w:val="00E76C6A"/>
    <w:rsid w:val="00E8151A"/>
    <w:rsid w:val="00E82C6F"/>
    <w:rsid w:val="00E85EFB"/>
    <w:rsid w:val="00E91EAE"/>
    <w:rsid w:val="00E92073"/>
    <w:rsid w:val="00E96D84"/>
    <w:rsid w:val="00EA04E8"/>
    <w:rsid w:val="00EA0654"/>
    <w:rsid w:val="00EA1E36"/>
    <w:rsid w:val="00EA6043"/>
    <w:rsid w:val="00EA7D7F"/>
    <w:rsid w:val="00EB109E"/>
    <w:rsid w:val="00EC13BE"/>
    <w:rsid w:val="00EC2FA4"/>
    <w:rsid w:val="00EC5CA2"/>
    <w:rsid w:val="00ED12DA"/>
    <w:rsid w:val="00ED39F8"/>
    <w:rsid w:val="00ED4CC8"/>
    <w:rsid w:val="00ED6B25"/>
    <w:rsid w:val="00EE0B0C"/>
    <w:rsid w:val="00EE673A"/>
    <w:rsid w:val="00EE67A7"/>
    <w:rsid w:val="00EE7FF0"/>
    <w:rsid w:val="00EF0807"/>
    <w:rsid w:val="00EF11E7"/>
    <w:rsid w:val="00EF6BCD"/>
    <w:rsid w:val="00F00B0A"/>
    <w:rsid w:val="00F03FA2"/>
    <w:rsid w:val="00F04D1C"/>
    <w:rsid w:val="00F055B2"/>
    <w:rsid w:val="00F06DA9"/>
    <w:rsid w:val="00F1784D"/>
    <w:rsid w:val="00F17F4C"/>
    <w:rsid w:val="00F24971"/>
    <w:rsid w:val="00F2676F"/>
    <w:rsid w:val="00F339A0"/>
    <w:rsid w:val="00F35321"/>
    <w:rsid w:val="00F35BBB"/>
    <w:rsid w:val="00F42AA2"/>
    <w:rsid w:val="00F433F7"/>
    <w:rsid w:val="00F5608D"/>
    <w:rsid w:val="00F60038"/>
    <w:rsid w:val="00F62292"/>
    <w:rsid w:val="00F62D0B"/>
    <w:rsid w:val="00F65BCE"/>
    <w:rsid w:val="00F663CD"/>
    <w:rsid w:val="00F7521B"/>
    <w:rsid w:val="00F768F4"/>
    <w:rsid w:val="00F814BC"/>
    <w:rsid w:val="00F84C8D"/>
    <w:rsid w:val="00F85DDA"/>
    <w:rsid w:val="00F87C25"/>
    <w:rsid w:val="00F91C5E"/>
    <w:rsid w:val="00F93335"/>
    <w:rsid w:val="00F943BA"/>
    <w:rsid w:val="00FA6BB7"/>
    <w:rsid w:val="00FB533A"/>
    <w:rsid w:val="00FC2858"/>
    <w:rsid w:val="00FC3FE5"/>
    <w:rsid w:val="00FC41B7"/>
    <w:rsid w:val="00FD6587"/>
    <w:rsid w:val="00FE07E4"/>
    <w:rsid w:val="00FE1685"/>
    <w:rsid w:val="00FE46AF"/>
    <w:rsid w:val="00FE586A"/>
    <w:rsid w:val="00FE682D"/>
    <w:rsid w:val="00FF5734"/>
    <w:rsid w:val="00FF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7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5060B4"/>
    <w:pPr>
      <w:keepLines/>
      <w:tabs>
        <w:tab w:val="left" w:pos="851"/>
      </w:tabs>
      <w:spacing w:before="120"/>
      <w:jc w:val="both"/>
    </w:pPr>
    <w:rPr>
      <w:rFonts w:ascii="Arial" w:hAnsi="Arial"/>
      <w:sz w:val="18"/>
      <w:szCs w:val="18"/>
      <w:lang w:val="cs-CZ"/>
    </w:rPr>
  </w:style>
  <w:style w:type="paragraph" w:styleId="Nadpis1">
    <w:name w:val="heading 1"/>
    <w:next w:val="Nadpis2"/>
    <w:qFormat/>
    <w:rsid w:val="005060B4"/>
    <w:pPr>
      <w:keepNext/>
      <w:pageBreakBefore/>
      <w:numPr>
        <w:numId w:val="24"/>
      </w:numPr>
      <w:spacing w:after="800"/>
      <w:outlineLvl w:val="0"/>
    </w:pPr>
    <w:rPr>
      <w:rFonts w:ascii="Times New Roman Bold" w:hAnsi="Times New Roman Bold" w:cs="Arial"/>
      <w:bCs/>
      <w:color w:val="002776"/>
      <w:kern w:val="32"/>
      <w:sz w:val="60"/>
      <w:szCs w:val="32"/>
    </w:rPr>
  </w:style>
  <w:style w:type="paragraph" w:styleId="Nadpis2">
    <w:name w:val="heading 2"/>
    <w:basedOn w:val="Nadpis1"/>
    <w:next w:val="Nadpis3"/>
    <w:qFormat/>
    <w:rsid w:val="005060B4"/>
    <w:pPr>
      <w:pageBreakBefore w:val="0"/>
      <w:numPr>
        <w:ilvl w:val="1"/>
      </w:numPr>
      <w:spacing w:before="240" w:after="240"/>
      <w:outlineLvl w:val="1"/>
    </w:pPr>
    <w:rPr>
      <w:rFonts w:ascii="Arial" w:hAnsi="Arial"/>
      <w:b/>
      <w:bCs w:val="0"/>
      <w:iCs/>
      <w:color w:val="92D400" w:themeColor="accent2"/>
      <w:sz w:val="24"/>
      <w:szCs w:val="24"/>
    </w:rPr>
  </w:style>
  <w:style w:type="paragraph" w:styleId="Nadpis3">
    <w:name w:val="heading 3"/>
    <w:basedOn w:val="Nadpis2"/>
    <w:next w:val="Normln"/>
    <w:qFormat/>
    <w:rsid w:val="005060B4"/>
    <w:pPr>
      <w:numPr>
        <w:ilvl w:val="2"/>
      </w:numPr>
      <w:outlineLvl w:val="2"/>
    </w:pPr>
    <w:rPr>
      <w:bCs/>
      <w:color w:val="3C8A2E" w:themeColor="accent5"/>
      <w:szCs w:val="26"/>
    </w:rPr>
  </w:style>
  <w:style w:type="paragraph" w:styleId="Nadpis4">
    <w:name w:val="heading 4"/>
    <w:basedOn w:val="Normln"/>
    <w:next w:val="Normln"/>
    <w:link w:val="Nadpis4Char"/>
    <w:unhideWhenUsed/>
    <w:qFormat/>
    <w:rsid w:val="005060B4"/>
    <w:pPr>
      <w:keepNext/>
      <w:numPr>
        <w:ilvl w:val="3"/>
        <w:numId w:val="24"/>
      </w:numPr>
      <w:tabs>
        <w:tab w:val="clear" w:pos="851"/>
      </w:tabs>
      <w:spacing w:before="240" w:after="240"/>
      <w:jc w:val="left"/>
      <w:outlineLvl w:val="3"/>
    </w:pPr>
    <w:rPr>
      <w:rFonts w:eastAsiaTheme="majorEastAsia" w:cstheme="majorBidi"/>
      <w:b/>
      <w:bCs/>
      <w:iCs/>
      <w:sz w:val="24"/>
      <w:szCs w:val="24"/>
      <w:lang w:val="en-US"/>
    </w:rPr>
  </w:style>
  <w:style w:type="paragraph" w:styleId="Nadpis5">
    <w:name w:val="heading 5"/>
    <w:basedOn w:val="Normln"/>
    <w:next w:val="Normln"/>
    <w:link w:val="Nadpis5Char"/>
    <w:unhideWhenUsed/>
    <w:qFormat/>
    <w:rsid w:val="005060B4"/>
    <w:pPr>
      <w:keepNext/>
      <w:numPr>
        <w:ilvl w:val="4"/>
        <w:numId w:val="24"/>
      </w:numPr>
      <w:tabs>
        <w:tab w:val="clear" w:pos="851"/>
      </w:tabs>
      <w:spacing w:before="240" w:after="240"/>
      <w:jc w:val="left"/>
      <w:outlineLvl w:val="4"/>
    </w:pPr>
    <w:rPr>
      <w:rFonts w:eastAsiaTheme="majorEastAsia" w:cstheme="majorBidi"/>
      <w:b/>
      <w:i/>
      <w:color w:val="00133A" w:themeColor="accent1" w:themeShade="7F"/>
      <w:sz w:val="24"/>
      <w:szCs w:val="24"/>
      <w:lang w:val="en-US"/>
    </w:rPr>
  </w:style>
  <w:style w:type="paragraph" w:styleId="Nadpis6">
    <w:name w:val="heading 6"/>
    <w:basedOn w:val="Normln"/>
    <w:next w:val="Normln"/>
    <w:link w:val="Nadpis6Char"/>
    <w:unhideWhenUsed/>
    <w:qFormat/>
    <w:rsid w:val="005060B4"/>
    <w:pPr>
      <w:keepNext/>
      <w:numPr>
        <w:ilvl w:val="5"/>
        <w:numId w:val="24"/>
      </w:numPr>
      <w:tabs>
        <w:tab w:val="clear" w:pos="851"/>
      </w:tabs>
      <w:spacing w:before="240" w:after="240"/>
      <w:jc w:val="left"/>
      <w:outlineLvl w:val="5"/>
    </w:pPr>
    <w:rPr>
      <w:rFonts w:eastAsiaTheme="majorEastAsia" w:cstheme="majorBidi"/>
      <w:i/>
      <w:iCs/>
      <w:color w:val="00133A" w:themeColor="accent1" w:themeShade="7F"/>
      <w:sz w:val="24"/>
      <w:szCs w:val="24"/>
      <w:lang w:val="en-US"/>
    </w:rPr>
  </w:style>
  <w:style w:type="paragraph" w:styleId="Nadpis7">
    <w:name w:val="heading 7"/>
    <w:basedOn w:val="Normln"/>
    <w:next w:val="Normln"/>
    <w:link w:val="Nadpis7Char"/>
    <w:unhideWhenUsed/>
    <w:qFormat/>
    <w:rsid w:val="005060B4"/>
    <w:pPr>
      <w:keepNext/>
      <w:numPr>
        <w:ilvl w:val="6"/>
        <w:numId w:val="24"/>
      </w:numPr>
      <w:tabs>
        <w:tab w:val="clear" w:pos="851"/>
      </w:tabs>
      <w:spacing w:before="240" w:after="240"/>
      <w:jc w:val="left"/>
      <w:outlineLvl w:val="6"/>
    </w:pPr>
    <w:rPr>
      <w:rFonts w:eastAsiaTheme="majorEastAsia" w:cstheme="majorBidi"/>
      <w:i/>
      <w:iCs/>
      <w:color w:val="404040" w:themeColor="text1" w:themeTint="BF"/>
      <w:sz w:val="22"/>
      <w:szCs w:val="24"/>
      <w:lang w:val="en-US"/>
    </w:rPr>
  </w:style>
  <w:style w:type="paragraph" w:styleId="Nadpis8">
    <w:name w:val="heading 8"/>
    <w:aliases w:val="(Appendici)"/>
    <w:basedOn w:val="Normln"/>
    <w:next w:val="Normln"/>
    <w:link w:val="Nadpis8Char"/>
    <w:unhideWhenUsed/>
    <w:qFormat/>
    <w:rsid w:val="005060B4"/>
    <w:pPr>
      <w:keepNext/>
      <w:numPr>
        <w:ilvl w:val="7"/>
        <w:numId w:val="24"/>
      </w:numPr>
      <w:tabs>
        <w:tab w:val="clear" w:pos="851"/>
      </w:tabs>
      <w:spacing w:before="240" w:after="240"/>
      <w:jc w:val="left"/>
      <w:outlineLvl w:val="7"/>
    </w:pPr>
    <w:rPr>
      <w:rFonts w:eastAsiaTheme="majorEastAsia" w:cstheme="majorBidi"/>
      <w:i/>
      <w:color w:val="404040" w:themeColor="text1" w:themeTint="BF"/>
      <w:sz w:val="20"/>
      <w:szCs w:val="20"/>
      <w:lang w:val="en-US"/>
    </w:rPr>
  </w:style>
  <w:style w:type="paragraph" w:styleId="Nadpis9">
    <w:name w:val="heading 9"/>
    <w:aliases w:val="(Bibliografia)"/>
    <w:basedOn w:val="Normln"/>
    <w:next w:val="Normln"/>
    <w:link w:val="Nadpis9Char"/>
    <w:unhideWhenUsed/>
    <w:qFormat/>
    <w:rsid w:val="005060B4"/>
    <w:pPr>
      <w:keepNext/>
      <w:numPr>
        <w:ilvl w:val="8"/>
        <w:numId w:val="24"/>
      </w:numPr>
      <w:tabs>
        <w:tab w:val="clear" w:pos="851"/>
      </w:tabs>
      <w:spacing w:before="240" w:after="240"/>
      <w:jc w:val="left"/>
      <w:outlineLvl w:val="8"/>
    </w:pPr>
    <w:rPr>
      <w:rFonts w:eastAsiaTheme="majorEastAsia" w:cstheme="majorBidi"/>
      <w:i/>
      <w:iCs/>
      <w:color w:val="404040" w:themeColor="text1" w:themeTint="BF"/>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uiPriority w:val="99"/>
    <w:rsid w:val="00E421C0"/>
    <w:pPr>
      <w:tabs>
        <w:tab w:val="center" w:pos="4703"/>
        <w:tab w:val="right" w:pos="9406"/>
      </w:tabs>
    </w:pPr>
    <w:rPr>
      <w:sz w:val="16"/>
    </w:rPr>
  </w:style>
  <w:style w:type="paragraph" w:styleId="Zpat">
    <w:name w:val="footer"/>
    <w:basedOn w:val="Normln"/>
    <w:link w:val="ZpatChar"/>
    <w:rsid w:val="006F71E5"/>
    <w:pPr>
      <w:tabs>
        <w:tab w:val="center" w:pos="4703"/>
        <w:tab w:val="right" w:pos="9406"/>
      </w:tabs>
    </w:pPr>
    <w:rPr>
      <w:sz w:val="16"/>
    </w:rPr>
  </w:style>
  <w:style w:type="character" w:styleId="slostrnky">
    <w:name w:val="page number"/>
    <w:basedOn w:val="Standardnpsmoodstavce"/>
    <w:rsid w:val="00E421C0"/>
    <w:rPr>
      <w:rFonts w:ascii="Arial" w:hAnsi="Arial"/>
      <w:sz w:val="16"/>
    </w:rPr>
  </w:style>
  <w:style w:type="paragraph" w:styleId="Obsah1">
    <w:name w:val="toc 1"/>
    <w:basedOn w:val="Normln"/>
    <w:next w:val="Normln"/>
    <w:autoRedefine/>
    <w:uiPriority w:val="39"/>
    <w:rsid w:val="0008794A"/>
    <w:pPr>
      <w:spacing w:after="240"/>
    </w:pPr>
    <w:rPr>
      <w:sz w:val="24"/>
    </w:rPr>
  </w:style>
  <w:style w:type="paragraph" w:styleId="Obsah2">
    <w:name w:val="toc 2"/>
    <w:basedOn w:val="Normln"/>
    <w:next w:val="Normln"/>
    <w:autoRedefine/>
    <w:uiPriority w:val="39"/>
    <w:rsid w:val="0008794A"/>
    <w:pPr>
      <w:spacing w:after="240"/>
      <w:ind w:left="238"/>
    </w:pPr>
    <w:rPr>
      <w:sz w:val="24"/>
    </w:rPr>
  </w:style>
  <w:style w:type="paragraph" w:styleId="Obsah3">
    <w:name w:val="toc 3"/>
    <w:basedOn w:val="Normln"/>
    <w:next w:val="Normln"/>
    <w:autoRedefine/>
    <w:uiPriority w:val="39"/>
    <w:rsid w:val="0008794A"/>
    <w:pPr>
      <w:spacing w:after="240"/>
      <w:ind w:left="482"/>
    </w:pPr>
    <w:rPr>
      <w:sz w:val="24"/>
    </w:rPr>
  </w:style>
  <w:style w:type="character" w:styleId="Hypertextovodkaz">
    <w:name w:val="Hyperlink"/>
    <w:basedOn w:val="Standardnpsmoodstavce"/>
    <w:rsid w:val="006F71E5"/>
    <w:rPr>
      <w:rFonts w:ascii="Arial" w:hAnsi="Arial"/>
      <w:color w:val="00A1DE" w:themeColor="accent3"/>
      <w:sz w:val="19"/>
      <w:u w:val="single"/>
    </w:rPr>
  </w:style>
  <w:style w:type="paragraph" w:styleId="Textbubliny">
    <w:name w:val="Balloon Text"/>
    <w:basedOn w:val="Normln"/>
    <w:semiHidden/>
    <w:rsid w:val="00392FE4"/>
    <w:rPr>
      <w:rFonts w:ascii="Tahoma" w:hAnsi="Tahoma" w:cs="Tahoma"/>
      <w:sz w:val="16"/>
      <w:szCs w:val="16"/>
    </w:rPr>
  </w:style>
  <w:style w:type="character" w:customStyle="1" w:styleId="ZhlavChar">
    <w:name w:val="Záhlaví Char"/>
    <w:basedOn w:val="Standardnpsmoodstavce"/>
    <w:link w:val="Zhlav"/>
    <w:uiPriority w:val="99"/>
    <w:rsid w:val="00E421C0"/>
    <w:rPr>
      <w:rFonts w:ascii="Arial" w:hAnsi="Arial"/>
      <w:sz w:val="16"/>
      <w:szCs w:val="24"/>
    </w:rPr>
  </w:style>
  <w:style w:type="character" w:customStyle="1" w:styleId="ZpatChar">
    <w:name w:val="Zápatí Char"/>
    <w:basedOn w:val="Standardnpsmoodstavce"/>
    <w:link w:val="Zpat"/>
    <w:uiPriority w:val="99"/>
    <w:rsid w:val="006F71E5"/>
    <w:rPr>
      <w:rFonts w:ascii="Arial" w:hAnsi="Arial"/>
      <w:sz w:val="16"/>
      <w:szCs w:val="24"/>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8F5F14"/>
    <w:pPr>
      <w:numPr>
        <w:numId w:val="9"/>
      </w:numPr>
      <w:spacing w:before="240" w:after="120"/>
    </w:pPr>
    <w:rPr>
      <w:rFonts w:ascii="Arial" w:hAnsi="Arial"/>
      <w:b/>
      <w:noProof/>
      <w:color w:val="000000" w:themeColor="text1"/>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8F5F14"/>
    <w:pPr>
      <w:numPr>
        <w:ilvl w:val="1"/>
        <w:numId w:val="9"/>
      </w:numPr>
      <w:tabs>
        <w:tab w:val="left" w:pos="567"/>
      </w:tabs>
      <w:spacing w:before="120"/>
      <w:jc w:val="both"/>
    </w:pPr>
    <w:rPr>
      <w:b w:val="0"/>
      <w:color w:val="000000" w:themeColor="text1"/>
      <w:sz w:val="19"/>
    </w:rPr>
  </w:style>
  <w:style w:type="paragraph" w:customStyle="1" w:styleId="smlouvaheading3">
    <w:name w:val="smlouva heading 3"/>
    <w:basedOn w:val="smlouvaheading2"/>
    <w:next w:val="BodyText1"/>
    <w:qFormat/>
    <w:rsid w:val="008F5F14"/>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F5F14"/>
    <w:pPr>
      <w:numPr>
        <w:ilvl w:val="3"/>
      </w:numPr>
      <w:tabs>
        <w:tab w:val="clear" w:pos="794"/>
      </w:tabs>
      <w:ind w:left="794" w:hanging="794"/>
    </w:pPr>
    <w:rPr>
      <w:color w:val="auto"/>
    </w:rPr>
  </w:style>
  <w:style w:type="paragraph" w:customStyle="1" w:styleId="smlouvabodytextbold">
    <w:name w:val="smlouva body text bold"/>
    <w:basedOn w:val="smlouvaheading4"/>
    <w:next w:val="BodyText1"/>
    <w:qFormat/>
    <w:rsid w:val="00A72120"/>
    <w:pPr>
      <w:numPr>
        <w:ilvl w:val="0"/>
        <w:numId w:val="0"/>
      </w:numPr>
    </w:pPr>
    <w:rPr>
      <w:b/>
    </w:rPr>
  </w:style>
  <w:style w:type="paragraph" w:customStyle="1" w:styleId="Bodytextbold">
    <w:name w:val="Body text bold"/>
    <w:basedOn w:val="smlouvabodytextbold"/>
    <w:next w:val="BodyText1"/>
    <w:qFormat/>
    <w:rsid w:val="00D0755D"/>
    <w:pPr>
      <w:tabs>
        <w:tab w:val="left" w:pos="1134"/>
      </w:tabs>
      <w:spacing w:before="0"/>
    </w:pPr>
    <w:rPr>
      <w:color w:val="000000"/>
    </w:rPr>
  </w:style>
  <w:style w:type="character" w:customStyle="1" w:styleId="CaptionbodyChar">
    <w:name w:val="Caption body Char"/>
    <w:basedOn w:val="Standardnpsmoodstavce"/>
    <w:link w:val="Captionbody"/>
    <w:rsid w:val="005B4CAD"/>
    <w:rPr>
      <w:rFonts w:ascii="Arial" w:hAnsi="Arial"/>
      <w:color w:val="000000"/>
      <w:sz w:val="18"/>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
    <w:rsid w:val="00F433F7"/>
    <w:rPr>
      <w:rFonts w:eastAsia="Times"/>
      <w:noProof/>
    </w:rPr>
  </w:style>
  <w:style w:type="paragraph" w:customStyle="1" w:styleId="Bulletslevel1">
    <w:name w:val="Bullets level 1"/>
    <w:basedOn w:val="Normln"/>
    <w:link w:val="Bulletslevel1Char"/>
    <w:qFormat/>
    <w:rsid w:val="008E5686"/>
    <w:pPr>
      <w:numPr>
        <w:numId w:val="1"/>
      </w:numPr>
      <w:ind w:left="360"/>
    </w:pPr>
    <w:rPr>
      <w:rFonts w:eastAsia="Times"/>
      <w:color w:val="000000"/>
      <w:szCs w:val="20"/>
      <w:lang w:val="en-GB"/>
    </w:rPr>
  </w:style>
  <w:style w:type="character" w:customStyle="1" w:styleId="Bulletslevel1Char">
    <w:name w:val="Bullets level 1 Char"/>
    <w:basedOn w:val="Standardnpsmoodstavce"/>
    <w:link w:val="Bulletslevel1"/>
    <w:rsid w:val="008E5686"/>
    <w:rPr>
      <w:rFonts w:ascii="Arial" w:eastAsia="Times" w:hAnsi="Arial"/>
      <w:color w:val="000000"/>
      <w:sz w:val="18"/>
      <w:lang w:val="en-GB"/>
    </w:rPr>
  </w:style>
  <w:style w:type="paragraph" w:customStyle="1" w:styleId="Bulletslevel2">
    <w:name w:val="Bullets level 2"/>
    <w:basedOn w:val="Normln"/>
    <w:link w:val="Bulletslevel2Char"/>
    <w:qFormat/>
    <w:rsid w:val="008E5686"/>
    <w:pPr>
      <w:numPr>
        <w:numId w:val="3"/>
      </w:numPr>
      <w:tabs>
        <w:tab w:val="left" w:pos="567"/>
      </w:tabs>
    </w:pPr>
    <w:rPr>
      <w:rFonts w:eastAsia="Times"/>
      <w:color w:val="000000"/>
      <w:szCs w:val="20"/>
      <w:lang w:val="en-GB"/>
    </w:rPr>
  </w:style>
  <w:style w:type="character" w:customStyle="1" w:styleId="Bulletslevel2Char">
    <w:name w:val="Bullets level 2 Char"/>
    <w:basedOn w:val="Bulletslevel1Char"/>
    <w:link w:val="Bulletslevel2"/>
    <w:rsid w:val="008E5686"/>
    <w:rPr>
      <w:rFonts w:ascii="Arial" w:eastAsia="Times" w:hAnsi="Arial"/>
      <w:color w:val="000000"/>
      <w:sz w:val="18"/>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
    <w:qFormat/>
    <w:rsid w:val="005060B4"/>
    <w:rPr>
      <w:b/>
      <w:color w:val="3C8A2E" w:themeColor="accent5"/>
      <w:sz w:val="20"/>
      <w:szCs w:val="16"/>
    </w:rPr>
  </w:style>
  <w:style w:type="paragraph" w:customStyle="1" w:styleId="Highlight2">
    <w:name w:val="Highlight 2"/>
    <w:basedOn w:val="Highlight1"/>
    <w:qFormat/>
    <w:rsid w:val="00146657"/>
    <w:rPr>
      <w:color w:val="92D400" w:themeColor="accent2"/>
    </w:rPr>
  </w:style>
  <w:style w:type="table" w:customStyle="1" w:styleId="Deloittetable1">
    <w:name w:val="Deloitte table 1"/>
    <w:basedOn w:val="Normlntabul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style>
  <w:style w:type="table" w:customStyle="1" w:styleId="Deloittetable6">
    <w:name w:val="Deloitte table 6"/>
    <w:basedOn w:val="Normlntabul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themeColor="background2"/>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8E5686"/>
    <w:rPr>
      <w:rFonts w:ascii="Arial" w:eastAsiaTheme="majorEastAsia" w:hAnsi="Arial" w:cstheme="majorBidi"/>
      <w:b/>
      <w:bCs/>
      <w:iCs/>
      <w:sz w:val="24"/>
      <w:szCs w:val="24"/>
    </w:rPr>
  </w:style>
  <w:style w:type="character" w:customStyle="1" w:styleId="Nadpis5Char">
    <w:name w:val="Nadpis 5 Char"/>
    <w:basedOn w:val="Standardnpsmoodstavce"/>
    <w:link w:val="Nadpis5"/>
    <w:rsid w:val="008E5686"/>
    <w:rPr>
      <w:rFonts w:ascii="Arial" w:eastAsiaTheme="majorEastAsia" w:hAnsi="Arial" w:cstheme="majorBidi"/>
      <w:b/>
      <w:i/>
      <w:color w:val="00133A" w:themeColor="accent1" w:themeShade="7F"/>
      <w:sz w:val="24"/>
      <w:szCs w:val="24"/>
    </w:rPr>
  </w:style>
  <w:style w:type="character" w:customStyle="1" w:styleId="Nadpis6Char">
    <w:name w:val="Nadpis 6 Char"/>
    <w:basedOn w:val="Standardnpsmoodstavce"/>
    <w:link w:val="Nadpis6"/>
    <w:rsid w:val="008E5686"/>
    <w:rPr>
      <w:rFonts w:ascii="Arial" w:eastAsiaTheme="majorEastAsia" w:hAnsi="Arial" w:cstheme="majorBidi"/>
      <w:i/>
      <w:iCs/>
      <w:color w:val="00133A" w:themeColor="accent1" w:themeShade="7F"/>
      <w:sz w:val="24"/>
      <w:szCs w:val="24"/>
    </w:rPr>
  </w:style>
  <w:style w:type="character" w:customStyle="1" w:styleId="Nadpis7Char">
    <w:name w:val="Nadpis 7 Char"/>
    <w:basedOn w:val="Standardnpsmoodstavce"/>
    <w:link w:val="Nadpis7"/>
    <w:rsid w:val="00E421C0"/>
    <w:rPr>
      <w:rFonts w:ascii="Arial" w:eastAsiaTheme="majorEastAsia" w:hAnsi="Arial" w:cstheme="majorBidi"/>
      <w:i/>
      <w:iCs/>
      <w:color w:val="404040" w:themeColor="text1" w:themeTint="BF"/>
      <w:sz w:val="22"/>
      <w:szCs w:val="24"/>
    </w:rPr>
  </w:style>
  <w:style w:type="character" w:customStyle="1" w:styleId="Nadpis8Char">
    <w:name w:val="Nadpis 8 Char"/>
    <w:aliases w:val="(Appendici) Char"/>
    <w:basedOn w:val="Standardnpsmoodstavce"/>
    <w:link w:val="Nadpis8"/>
    <w:rsid w:val="00E421C0"/>
    <w:rPr>
      <w:rFonts w:ascii="Arial" w:eastAsiaTheme="majorEastAsia" w:hAnsi="Arial" w:cstheme="majorBidi"/>
      <w:i/>
      <w:color w:val="404040" w:themeColor="text1" w:themeTint="BF"/>
    </w:rPr>
  </w:style>
  <w:style w:type="character" w:customStyle="1" w:styleId="Nadpis9Char">
    <w:name w:val="Nadpis 9 Char"/>
    <w:aliases w:val="(Bibliografia) Char"/>
    <w:basedOn w:val="Standardnpsmoodstavce"/>
    <w:link w:val="Nadpis9"/>
    <w:rsid w:val="00E421C0"/>
    <w:rPr>
      <w:rFonts w:ascii="Arial" w:eastAsiaTheme="majorEastAsia" w:hAnsi="Arial" w:cstheme="majorBidi"/>
      <w:i/>
      <w:iCs/>
      <w:color w:val="404040" w:themeColor="text1" w:themeTint="BF"/>
      <w:sz w:val="18"/>
    </w:rPr>
  </w:style>
  <w:style w:type="paragraph" w:styleId="Obsah5">
    <w:name w:val="toc 5"/>
    <w:basedOn w:val="Normln"/>
    <w:next w:val="Normln"/>
    <w:autoRedefine/>
    <w:uiPriority w:val="39"/>
    <w:rsid w:val="00210E5E"/>
    <w:pPr>
      <w:spacing w:after="100"/>
      <w:ind w:left="960"/>
    </w:pPr>
  </w:style>
  <w:style w:type="character" w:styleId="Znakapoznpodarou">
    <w:name w:val="footnote reference"/>
    <w:basedOn w:val="Standardnpsmoodstavce"/>
    <w:rsid w:val="00E421C0"/>
    <w:rPr>
      <w:rFonts w:ascii="Arial" w:hAnsi="Arial"/>
      <w:sz w:val="16"/>
      <w:vertAlign w:val="superscript"/>
    </w:rPr>
  </w:style>
  <w:style w:type="paragraph" w:styleId="Textpoznpodarou">
    <w:name w:val="footnote text"/>
    <w:basedOn w:val="Normln"/>
    <w:link w:val="TextpoznpodarouChar"/>
    <w:rsid w:val="00E421C0"/>
    <w:rPr>
      <w:sz w:val="16"/>
      <w:szCs w:val="20"/>
    </w:rPr>
  </w:style>
  <w:style w:type="character" w:customStyle="1" w:styleId="TextpoznpodarouChar">
    <w:name w:val="Text pozn. pod čarou Char"/>
    <w:basedOn w:val="Standardnpsmoodstavce"/>
    <w:link w:val="Textpoznpodarou"/>
    <w:rsid w:val="00E421C0"/>
    <w:rPr>
      <w:rFonts w:ascii="Arial" w:hAnsi="Arial"/>
      <w:sz w:val="16"/>
    </w:rPr>
  </w:style>
  <w:style w:type="paragraph" w:customStyle="1" w:styleId="Highlight3">
    <w:name w:val="Highlight 3"/>
    <w:basedOn w:val="Highlight2"/>
    <w:qFormat/>
    <w:rsid w:val="00146657"/>
    <w:rPr>
      <w:color w:val="00A1DE" w:themeColor="accent3"/>
    </w:rPr>
  </w:style>
  <w:style w:type="paragraph" w:styleId="Nadpisobsahu">
    <w:name w:val="TOC Heading"/>
    <w:basedOn w:val="Nadpis1"/>
    <w:next w:val="Normln"/>
    <w:uiPriority w:val="39"/>
    <w:semiHidden/>
    <w:unhideWhenUsed/>
    <w:qFormat/>
    <w:rsid w:val="00146657"/>
    <w:pPr>
      <w:keepLines/>
      <w:pageBreakBefore w:val="0"/>
      <w:numPr>
        <w:numId w:val="0"/>
      </w:numPr>
      <w:spacing w:before="480" w:after="0" w:line="276" w:lineRule="auto"/>
      <w:outlineLvl w:val="9"/>
    </w:pPr>
    <w:rPr>
      <w:rFonts w:asciiTheme="majorHAnsi" w:eastAsiaTheme="majorEastAsia" w:hAnsiTheme="majorHAnsi" w:cstheme="majorBidi"/>
      <w:b/>
      <w:color w:val="001D58" w:themeColor="accent1" w:themeShade="BF"/>
      <w:kern w:val="0"/>
      <w:sz w:val="28"/>
      <w:szCs w:val="28"/>
    </w:rPr>
  </w:style>
  <w:style w:type="paragraph" w:styleId="Zkladntext">
    <w:name w:val="Body Text"/>
    <w:basedOn w:val="Normln"/>
    <w:link w:val="ZkladntextChar"/>
    <w:rsid w:val="00CE5338"/>
    <w:rPr>
      <w:sz w:val="16"/>
      <w:lang w:val="en-GB"/>
    </w:rPr>
  </w:style>
  <w:style w:type="character" w:customStyle="1" w:styleId="ZkladntextChar">
    <w:name w:val="Základní text Char"/>
    <w:basedOn w:val="Standardnpsmoodstavce"/>
    <w:link w:val="Zkladntext"/>
    <w:rsid w:val="00CE5338"/>
    <w:rPr>
      <w:rFonts w:ascii="Arial" w:hAnsi="Arial"/>
      <w:sz w:val="16"/>
      <w:szCs w:val="24"/>
      <w:lang w:val="en-GB"/>
    </w:rPr>
  </w:style>
  <w:style w:type="paragraph" w:customStyle="1" w:styleId="Table">
    <w:name w:val="Table"/>
    <w:basedOn w:val="Normln"/>
    <w:rsid w:val="00CE5338"/>
  </w:style>
  <w:style w:type="character" w:customStyle="1" w:styleId="platne1">
    <w:name w:val="platne1"/>
    <w:basedOn w:val="Standardnpsmoodstavce"/>
    <w:rsid w:val="00CE5338"/>
  </w:style>
  <w:style w:type="paragraph" w:customStyle="1" w:styleId="ABLOCKPARA">
    <w:name w:val="A BLOCK PARA"/>
    <w:basedOn w:val="Normln"/>
    <w:rsid w:val="00CE5338"/>
    <w:rPr>
      <w:rFonts w:ascii="Book Antiqua" w:hAnsi="Book Antiqua"/>
      <w:sz w:val="20"/>
      <w:lang w:val="en-GB"/>
    </w:rPr>
  </w:style>
  <w:style w:type="character" w:styleId="Odkaznakoment">
    <w:name w:val="annotation reference"/>
    <w:basedOn w:val="Standardnpsmoodstavce"/>
    <w:rsid w:val="00CE5338"/>
    <w:rPr>
      <w:sz w:val="16"/>
      <w:szCs w:val="16"/>
    </w:rPr>
  </w:style>
  <w:style w:type="paragraph" w:styleId="Textkomente">
    <w:name w:val="annotation text"/>
    <w:basedOn w:val="Normln"/>
    <w:link w:val="TextkomenteChar"/>
    <w:rsid w:val="00CE5338"/>
    <w:pPr>
      <w:spacing w:after="120"/>
    </w:pPr>
    <w:rPr>
      <w:rFonts w:ascii="Times New Roman" w:hAnsi="Times New Roman"/>
      <w:sz w:val="20"/>
      <w:szCs w:val="20"/>
    </w:rPr>
  </w:style>
  <w:style w:type="character" w:customStyle="1" w:styleId="TextkomenteChar">
    <w:name w:val="Text komentáře Char"/>
    <w:basedOn w:val="Standardnpsmoodstavce"/>
    <w:link w:val="Textkomente"/>
    <w:rsid w:val="00CE5338"/>
  </w:style>
  <w:style w:type="paragraph" w:styleId="Normlnweb">
    <w:name w:val="Normal (Web)"/>
    <w:basedOn w:val="Normln"/>
    <w:uiPriority w:val="99"/>
    <w:unhideWhenUsed/>
    <w:rsid w:val="00CE5338"/>
    <w:pPr>
      <w:spacing w:after="100" w:afterAutospacing="1"/>
    </w:pPr>
    <w:rPr>
      <w:rFonts w:cs="Arial"/>
      <w:color w:val="333333"/>
      <w:sz w:val="24"/>
    </w:rPr>
  </w:style>
  <w:style w:type="paragraph" w:customStyle="1" w:styleId="StyleHeading1">
    <w:name w:val="Style Heading 1"/>
    <w:basedOn w:val="Nadpis1"/>
    <w:next w:val="Normln"/>
    <w:rsid w:val="00CE5338"/>
    <w:pPr>
      <w:pageBreakBefore w:val="0"/>
      <w:numPr>
        <w:numId w:val="0"/>
      </w:numPr>
      <w:spacing w:before="240" w:after="160"/>
      <w:ind w:left="720" w:hanging="360"/>
    </w:pPr>
    <w:rPr>
      <w:rFonts w:ascii="Times New Roman" w:hAnsi="Times New Roman"/>
      <w:bCs w:val="0"/>
      <w:color w:val="000066"/>
    </w:rPr>
  </w:style>
  <w:style w:type="paragraph" w:styleId="Odstavecseseznamem">
    <w:name w:val="List Paragraph"/>
    <w:basedOn w:val="Normln"/>
    <w:uiPriority w:val="34"/>
    <w:qFormat/>
    <w:rsid w:val="00CE5338"/>
    <w:pPr>
      <w:ind w:left="720"/>
    </w:pPr>
  </w:style>
  <w:style w:type="paragraph" w:customStyle="1" w:styleId="smlouvaobchodnipodminky1">
    <w:name w:val="smlouva obchodni podminky 1"/>
    <w:basedOn w:val="smlouvaheading3"/>
    <w:qFormat/>
    <w:rsid w:val="00D0755D"/>
    <w:pPr>
      <w:numPr>
        <w:ilvl w:val="0"/>
        <w:numId w:val="15"/>
      </w:numPr>
      <w:tabs>
        <w:tab w:val="clear" w:pos="794"/>
        <w:tab w:val="left" w:pos="567"/>
      </w:tabs>
      <w:spacing w:before="240" w:after="120"/>
      <w:ind w:left="737" w:hanging="737"/>
    </w:pPr>
    <w:rPr>
      <w:b/>
      <w:sz w:val="14"/>
    </w:rPr>
  </w:style>
  <w:style w:type="paragraph" w:customStyle="1" w:styleId="smlouvaobchodnipodminky2">
    <w:name w:val="smlouva obchodni podminky 2"/>
    <w:basedOn w:val="smlouvaheading2"/>
    <w:qFormat/>
    <w:rsid w:val="00385D59"/>
    <w:pPr>
      <w:numPr>
        <w:numId w:val="15"/>
      </w:numPr>
    </w:pPr>
    <w:rPr>
      <w:sz w:val="14"/>
    </w:rPr>
  </w:style>
  <w:style w:type="paragraph" w:customStyle="1" w:styleId="smlouvaobchodnipodminky3">
    <w:name w:val="smlouva obchodni podminky 3"/>
    <w:basedOn w:val="smlouvaheading3"/>
    <w:qFormat/>
    <w:rsid w:val="003D6242"/>
    <w:pPr>
      <w:numPr>
        <w:numId w:val="15"/>
      </w:numPr>
      <w:tabs>
        <w:tab w:val="clear" w:pos="794"/>
      </w:tabs>
    </w:pPr>
    <w:rPr>
      <w:sz w:val="14"/>
    </w:rPr>
  </w:style>
  <w:style w:type="numbering" w:customStyle="1" w:styleId="NoList1">
    <w:name w:val="No List1"/>
    <w:next w:val="Bezseznamu"/>
    <w:semiHidden/>
    <w:rsid w:val="00E0719B"/>
  </w:style>
  <w:style w:type="paragraph" w:customStyle="1" w:styleId="StyleOdstavecItalic">
    <w:name w:val="Style Odstavec + Italic"/>
    <w:basedOn w:val="Normln"/>
    <w:link w:val="StyleOdstavecItalicChar"/>
    <w:rsid w:val="00D0755D"/>
    <w:pPr>
      <w:tabs>
        <w:tab w:val="left" w:pos="1701"/>
      </w:tabs>
      <w:spacing w:before="240" w:line="280" w:lineRule="exact"/>
      <w:ind w:left="1724" w:hanging="360"/>
      <w:outlineLvl w:val="0"/>
    </w:pPr>
    <w:rPr>
      <w:i/>
      <w:iCs/>
    </w:rPr>
  </w:style>
  <w:style w:type="character" w:customStyle="1" w:styleId="StyleOdstavecItalicChar">
    <w:name w:val="Style Odstavec + Italic Char"/>
    <w:basedOn w:val="Standardnpsmoodstavce"/>
    <w:link w:val="StyleOdstavecItalic"/>
    <w:rsid w:val="00D0755D"/>
    <w:rPr>
      <w:rFonts w:ascii="Verdana" w:hAnsi="Verdana"/>
      <w:i/>
      <w:iCs/>
      <w:sz w:val="18"/>
      <w:szCs w:val="18"/>
      <w:lang w:val="cs-CZ"/>
    </w:rPr>
  </w:style>
  <w:style w:type="paragraph" w:customStyle="1" w:styleId="Odstavec">
    <w:name w:val="Odstavec"/>
    <w:basedOn w:val="Normln"/>
    <w:link w:val="OdstavecChar"/>
    <w:rsid w:val="007935E9"/>
    <w:pPr>
      <w:tabs>
        <w:tab w:val="num" w:pos="1288"/>
        <w:tab w:val="left" w:pos="1701"/>
      </w:tabs>
      <w:spacing w:before="240" w:line="280" w:lineRule="exact"/>
      <w:ind w:left="568"/>
      <w:outlineLvl w:val="0"/>
    </w:pPr>
    <w:rPr>
      <w:rFonts w:ascii="Verdana" w:hAnsi="Verdana"/>
    </w:rPr>
  </w:style>
  <w:style w:type="character" w:customStyle="1" w:styleId="OdstavecChar">
    <w:name w:val="Odstavec Char"/>
    <w:basedOn w:val="Standardnpsmoodstavce"/>
    <w:link w:val="Odstavec"/>
    <w:rsid w:val="007935E9"/>
    <w:rPr>
      <w:rFonts w:ascii="Verdana" w:hAnsi="Verdana"/>
      <w:sz w:val="18"/>
      <w:szCs w:val="18"/>
      <w:lang w:val="cs-CZ"/>
    </w:rPr>
  </w:style>
  <w:style w:type="paragraph" w:customStyle="1" w:styleId="Odstavec2">
    <w:name w:val="Odstavec 2"/>
    <w:basedOn w:val="Normln"/>
    <w:rsid w:val="0066263B"/>
    <w:pPr>
      <w:tabs>
        <w:tab w:val="clear" w:pos="851"/>
        <w:tab w:val="num" w:pos="720"/>
      </w:tabs>
      <w:spacing w:line="240" w:lineRule="exact"/>
    </w:pPr>
    <w:rPr>
      <w:rFonts w:ascii="Verdana" w:hAnsi="Verdana"/>
    </w:rPr>
  </w:style>
  <w:style w:type="paragraph" w:styleId="Pedmtkomente">
    <w:name w:val="annotation subject"/>
    <w:basedOn w:val="Textkomente"/>
    <w:next w:val="Textkomente"/>
    <w:link w:val="PedmtkomenteChar"/>
    <w:rsid w:val="007A275B"/>
    <w:pPr>
      <w:spacing w:after="0"/>
    </w:pPr>
    <w:rPr>
      <w:rFonts w:ascii="Arial" w:hAnsi="Arial"/>
      <w:b/>
      <w:bCs/>
    </w:rPr>
  </w:style>
  <w:style w:type="character" w:customStyle="1" w:styleId="PedmtkomenteChar">
    <w:name w:val="Předmět komentáře Char"/>
    <w:basedOn w:val="TextkomenteChar"/>
    <w:link w:val="Pedmtkomente"/>
    <w:rsid w:val="007A275B"/>
    <w:rPr>
      <w:rFonts w:ascii="Arial" w:hAnsi="Arial"/>
      <w:b/>
      <w:bCs/>
      <w:lang w:val="cs-CZ"/>
    </w:rPr>
  </w:style>
  <w:style w:type="paragraph" w:styleId="Prosttext">
    <w:name w:val="Plain Text"/>
    <w:basedOn w:val="Normln"/>
    <w:link w:val="ProsttextChar"/>
    <w:uiPriority w:val="99"/>
    <w:semiHidden/>
    <w:unhideWhenUsed/>
    <w:rsid w:val="00E5446A"/>
    <w:pPr>
      <w:keepLines w:val="0"/>
      <w:tabs>
        <w:tab w:val="clear" w:pos="851"/>
      </w:tabs>
      <w:spacing w:before="0"/>
      <w:jc w:val="left"/>
    </w:pPr>
    <w:rPr>
      <w:rFonts w:ascii="Calibri" w:eastAsiaTheme="minorHAnsi" w:hAnsi="Calibri" w:cs="Consolas"/>
      <w:sz w:val="22"/>
      <w:szCs w:val="21"/>
    </w:rPr>
  </w:style>
  <w:style w:type="character" w:customStyle="1" w:styleId="ProsttextChar">
    <w:name w:val="Prostý text Char"/>
    <w:basedOn w:val="Standardnpsmoodstavce"/>
    <w:link w:val="Prosttext"/>
    <w:uiPriority w:val="99"/>
    <w:semiHidden/>
    <w:rsid w:val="00E5446A"/>
    <w:rPr>
      <w:rFonts w:ascii="Calibri" w:eastAsiaTheme="minorHAnsi" w:hAnsi="Calibri" w:cs="Consolas"/>
      <w:sz w:val="22"/>
      <w:szCs w:val="21"/>
      <w:lang w:val="cs-CZ"/>
    </w:rPr>
  </w:style>
  <w:style w:type="paragraph" w:styleId="Revize">
    <w:name w:val="Revision"/>
    <w:hidden/>
    <w:uiPriority w:val="99"/>
    <w:semiHidden/>
    <w:rsid w:val="0090214E"/>
    <w:rPr>
      <w:rFonts w:ascii="Arial" w:hAnsi="Arial"/>
      <w:sz w:val="18"/>
      <w:szCs w:val="18"/>
      <w:lang w:val="cs-CZ"/>
    </w:rPr>
  </w:style>
  <w:style w:type="paragraph" w:styleId="Zkladntextodsazen2">
    <w:name w:val="Body Text Indent 2"/>
    <w:basedOn w:val="Normln"/>
    <w:link w:val="Zkladntextodsazen2Char"/>
    <w:semiHidden/>
    <w:unhideWhenUsed/>
    <w:rsid w:val="00CA415C"/>
    <w:pPr>
      <w:spacing w:after="120" w:line="480" w:lineRule="auto"/>
      <w:ind w:left="283"/>
    </w:pPr>
  </w:style>
  <w:style w:type="character" w:customStyle="1" w:styleId="Zkladntextodsazen2Char">
    <w:name w:val="Základní text odsazený 2 Char"/>
    <w:basedOn w:val="Standardnpsmoodstavce"/>
    <w:link w:val="Zkladntextodsazen2"/>
    <w:semiHidden/>
    <w:rsid w:val="00CA415C"/>
    <w:rPr>
      <w:rFonts w:ascii="Arial" w:hAnsi="Arial"/>
      <w:sz w:val="18"/>
      <w:szCs w:val="18"/>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5060B4"/>
    <w:pPr>
      <w:keepLines/>
      <w:tabs>
        <w:tab w:val="left" w:pos="851"/>
      </w:tabs>
      <w:spacing w:before="120"/>
      <w:jc w:val="both"/>
    </w:pPr>
    <w:rPr>
      <w:rFonts w:ascii="Arial" w:hAnsi="Arial"/>
      <w:sz w:val="18"/>
      <w:szCs w:val="18"/>
      <w:lang w:val="cs-CZ"/>
    </w:rPr>
  </w:style>
  <w:style w:type="paragraph" w:styleId="Nadpis1">
    <w:name w:val="heading 1"/>
    <w:next w:val="Nadpis2"/>
    <w:qFormat/>
    <w:rsid w:val="005060B4"/>
    <w:pPr>
      <w:keepNext/>
      <w:pageBreakBefore/>
      <w:numPr>
        <w:numId w:val="24"/>
      </w:numPr>
      <w:spacing w:after="800"/>
      <w:outlineLvl w:val="0"/>
    </w:pPr>
    <w:rPr>
      <w:rFonts w:ascii="Times New Roman Bold" w:hAnsi="Times New Roman Bold" w:cs="Arial"/>
      <w:bCs/>
      <w:color w:val="002776"/>
      <w:kern w:val="32"/>
      <w:sz w:val="60"/>
      <w:szCs w:val="32"/>
    </w:rPr>
  </w:style>
  <w:style w:type="paragraph" w:styleId="Nadpis2">
    <w:name w:val="heading 2"/>
    <w:basedOn w:val="Nadpis1"/>
    <w:next w:val="Nadpis3"/>
    <w:qFormat/>
    <w:rsid w:val="005060B4"/>
    <w:pPr>
      <w:pageBreakBefore w:val="0"/>
      <w:numPr>
        <w:ilvl w:val="1"/>
      </w:numPr>
      <w:spacing w:before="240" w:after="240"/>
      <w:outlineLvl w:val="1"/>
    </w:pPr>
    <w:rPr>
      <w:rFonts w:ascii="Arial" w:hAnsi="Arial"/>
      <w:b/>
      <w:bCs w:val="0"/>
      <w:iCs/>
      <w:color w:val="92D400" w:themeColor="accent2"/>
      <w:sz w:val="24"/>
      <w:szCs w:val="24"/>
    </w:rPr>
  </w:style>
  <w:style w:type="paragraph" w:styleId="Nadpis3">
    <w:name w:val="heading 3"/>
    <w:basedOn w:val="Nadpis2"/>
    <w:next w:val="Normln"/>
    <w:qFormat/>
    <w:rsid w:val="005060B4"/>
    <w:pPr>
      <w:numPr>
        <w:ilvl w:val="2"/>
      </w:numPr>
      <w:outlineLvl w:val="2"/>
    </w:pPr>
    <w:rPr>
      <w:bCs/>
      <w:color w:val="3C8A2E" w:themeColor="accent5"/>
      <w:szCs w:val="26"/>
    </w:rPr>
  </w:style>
  <w:style w:type="paragraph" w:styleId="Nadpis4">
    <w:name w:val="heading 4"/>
    <w:basedOn w:val="Normln"/>
    <w:next w:val="Normln"/>
    <w:link w:val="Nadpis4Char"/>
    <w:unhideWhenUsed/>
    <w:qFormat/>
    <w:rsid w:val="005060B4"/>
    <w:pPr>
      <w:keepNext/>
      <w:numPr>
        <w:ilvl w:val="3"/>
        <w:numId w:val="24"/>
      </w:numPr>
      <w:tabs>
        <w:tab w:val="clear" w:pos="851"/>
      </w:tabs>
      <w:spacing w:before="240" w:after="240"/>
      <w:jc w:val="left"/>
      <w:outlineLvl w:val="3"/>
    </w:pPr>
    <w:rPr>
      <w:rFonts w:eastAsiaTheme="majorEastAsia" w:cstheme="majorBidi"/>
      <w:b/>
      <w:bCs/>
      <w:iCs/>
      <w:sz w:val="24"/>
      <w:szCs w:val="24"/>
      <w:lang w:val="en-US"/>
    </w:rPr>
  </w:style>
  <w:style w:type="paragraph" w:styleId="Nadpis5">
    <w:name w:val="heading 5"/>
    <w:basedOn w:val="Normln"/>
    <w:next w:val="Normln"/>
    <w:link w:val="Nadpis5Char"/>
    <w:unhideWhenUsed/>
    <w:qFormat/>
    <w:rsid w:val="005060B4"/>
    <w:pPr>
      <w:keepNext/>
      <w:numPr>
        <w:ilvl w:val="4"/>
        <w:numId w:val="24"/>
      </w:numPr>
      <w:tabs>
        <w:tab w:val="clear" w:pos="851"/>
      </w:tabs>
      <w:spacing w:before="240" w:after="240"/>
      <w:jc w:val="left"/>
      <w:outlineLvl w:val="4"/>
    </w:pPr>
    <w:rPr>
      <w:rFonts w:eastAsiaTheme="majorEastAsia" w:cstheme="majorBidi"/>
      <w:b/>
      <w:i/>
      <w:color w:val="00133A" w:themeColor="accent1" w:themeShade="7F"/>
      <w:sz w:val="24"/>
      <w:szCs w:val="24"/>
      <w:lang w:val="en-US"/>
    </w:rPr>
  </w:style>
  <w:style w:type="paragraph" w:styleId="Nadpis6">
    <w:name w:val="heading 6"/>
    <w:basedOn w:val="Normln"/>
    <w:next w:val="Normln"/>
    <w:link w:val="Nadpis6Char"/>
    <w:unhideWhenUsed/>
    <w:qFormat/>
    <w:rsid w:val="005060B4"/>
    <w:pPr>
      <w:keepNext/>
      <w:numPr>
        <w:ilvl w:val="5"/>
        <w:numId w:val="24"/>
      </w:numPr>
      <w:tabs>
        <w:tab w:val="clear" w:pos="851"/>
      </w:tabs>
      <w:spacing w:before="240" w:after="240"/>
      <w:jc w:val="left"/>
      <w:outlineLvl w:val="5"/>
    </w:pPr>
    <w:rPr>
      <w:rFonts w:eastAsiaTheme="majorEastAsia" w:cstheme="majorBidi"/>
      <w:i/>
      <w:iCs/>
      <w:color w:val="00133A" w:themeColor="accent1" w:themeShade="7F"/>
      <w:sz w:val="24"/>
      <w:szCs w:val="24"/>
      <w:lang w:val="en-US"/>
    </w:rPr>
  </w:style>
  <w:style w:type="paragraph" w:styleId="Nadpis7">
    <w:name w:val="heading 7"/>
    <w:basedOn w:val="Normln"/>
    <w:next w:val="Normln"/>
    <w:link w:val="Nadpis7Char"/>
    <w:unhideWhenUsed/>
    <w:qFormat/>
    <w:rsid w:val="005060B4"/>
    <w:pPr>
      <w:keepNext/>
      <w:numPr>
        <w:ilvl w:val="6"/>
        <w:numId w:val="24"/>
      </w:numPr>
      <w:tabs>
        <w:tab w:val="clear" w:pos="851"/>
      </w:tabs>
      <w:spacing w:before="240" w:after="240"/>
      <w:jc w:val="left"/>
      <w:outlineLvl w:val="6"/>
    </w:pPr>
    <w:rPr>
      <w:rFonts w:eastAsiaTheme="majorEastAsia" w:cstheme="majorBidi"/>
      <w:i/>
      <w:iCs/>
      <w:color w:val="404040" w:themeColor="text1" w:themeTint="BF"/>
      <w:sz w:val="22"/>
      <w:szCs w:val="24"/>
      <w:lang w:val="en-US"/>
    </w:rPr>
  </w:style>
  <w:style w:type="paragraph" w:styleId="Nadpis8">
    <w:name w:val="heading 8"/>
    <w:aliases w:val="(Appendici)"/>
    <w:basedOn w:val="Normln"/>
    <w:next w:val="Normln"/>
    <w:link w:val="Nadpis8Char"/>
    <w:unhideWhenUsed/>
    <w:qFormat/>
    <w:rsid w:val="005060B4"/>
    <w:pPr>
      <w:keepNext/>
      <w:numPr>
        <w:ilvl w:val="7"/>
        <w:numId w:val="24"/>
      </w:numPr>
      <w:tabs>
        <w:tab w:val="clear" w:pos="851"/>
      </w:tabs>
      <w:spacing w:before="240" w:after="240"/>
      <w:jc w:val="left"/>
      <w:outlineLvl w:val="7"/>
    </w:pPr>
    <w:rPr>
      <w:rFonts w:eastAsiaTheme="majorEastAsia" w:cstheme="majorBidi"/>
      <w:i/>
      <w:color w:val="404040" w:themeColor="text1" w:themeTint="BF"/>
      <w:sz w:val="20"/>
      <w:szCs w:val="20"/>
      <w:lang w:val="en-US"/>
    </w:rPr>
  </w:style>
  <w:style w:type="paragraph" w:styleId="Nadpis9">
    <w:name w:val="heading 9"/>
    <w:aliases w:val="(Bibliografia)"/>
    <w:basedOn w:val="Normln"/>
    <w:next w:val="Normln"/>
    <w:link w:val="Nadpis9Char"/>
    <w:unhideWhenUsed/>
    <w:qFormat/>
    <w:rsid w:val="005060B4"/>
    <w:pPr>
      <w:keepNext/>
      <w:numPr>
        <w:ilvl w:val="8"/>
        <w:numId w:val="24"/>
      </w:numPr>
      <w:tabs>
        <w:tab w:val="clear" w:pos="851"/>
      </w:tabs>
      <w:spacing w:before="240" w:after="240"/>
      <w:jc w:val="left"/>
      <w:outlineLvl w:val="8"/>
    </w:pPr>
    <w:rPr>
      <w:rFonts w:eastAsiaTheme="majorEastAsia" w:cstheme="majorBidi"/>
      <w:i/>
      <w:iCs/>
      <w:color w:val="404040" w:themeColor="text1" w:themeTint="BF"/>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uiPriority w:val="99"/>
    <w:rsid w:val="00E421C0"/>
    <w:pPr>
      <w:tabs>
        <w:tab w:val="center" w:pos="4703"/>
        <w:tab w:val="right" w:pos="9406"/>
      </w:tabs>
    </w:pPr>
    <w:rPr>
      <w:sz w:val="16"/>
    </w:rPr>
  </w:style>
  <w:style w:type="paragraph" w:styleId="Zpat">
    <w:name w:val="footer"/>
    <w:basedOn w:val="Normln"/>
    <w:link w:val="ZpatChar"/>
    <w:rsid w:val="006F71E5"/>
    <w:pPr>
      <w:tabs>
        <w:tab w:val="center" w:pos="4703"/>
        <w:tab w:val="right" w:pos="9406"/>
      </w:tabs>
    </w:pPr>
    <w:rPr>
      <w:sz w:val="16"/>
    </w:rPr>
  </w:style>
  <w:style w:type="character" w:styleId="slostrnky">
    <w:name w:val="page number"/>
    <w:basedOn w:val="Standardnpsmoodstavce"/>
    <w:rsid w:val="00E421C0"/>
    <w:rPr>
      <w:rFonts w:ascii="Arial" w:hAnsi="Arial"/>
      <w:sz w:val="16"/>
    </w:rPr>
  </w:style>
  <w:style w:type="paragraph" w:styleId="Obsah1">
    <w:name w:val="toc 1"/>
    <w:basedOn w:val="Normln"/>
    <w:next w:val="Normln"/>
    <w:autoRedefine/>
    <w:uiPriority w:val="39"/>
    <w:rsid w:val="0008794A"/>
    <w:pPr>
      <w:spacing w:after="240"/>
    </w:pPr>
    <w:rPr>
      <w:sz w:val="24"/>
    </w:rPr>
  </w:style>
  <w:style w:type="paragraph" w:styleId="Obsah2">
    <w:name w:val="toc 2"/>
    <w:basedOn w:val="Normln"/>
    <w:next w:val="Normln"/>
    <w:autoRedefine/>
    <w:uiPriority w:val="39"/>
    <w:rsid w:val="0008794A"/>
    <w:pPr>
      <w:spacing w:after="240"/>
      <w:ind w:left="238"/>
    </w:pPr>
    <w:rPr>
      <w:sz w:val="24"/>
    </w:rPr>
  </w:style>
  <w:style w:type="paragraph" w:styleId="Obsah3">
    <w:name w:val="toc 3"/>
    <w:basedOn w:val="Normln"/>
    <w:next w:val="Normln"/>
    <w:autoRedefine/>
    <w:uiPriority w:val="39"/>
    <w:rsid w:val="0008794A"/>
    <w:pPr>
      <w:spacing w:after="240"/>
      <w:ind w:left="482"/>
    </w:pPr>
    <w:rPr>
      <w:sz w:val="24"/>
    </w:rPr>
  </w:style>
  <w:style w:type="character" w:styleId="Hypertextovodkaz">
    <w:name w:val="Hyperlink"/>
    <w:basedOn w:val="Standardnpsmoodstavce"/>
    <w:rsid w:val="006F71E5"/>
    <w:rPr>
      <w:rFonts w:ascii="Arial" w:hAnsi="Arial"/>
      <w:color w:val="00A1DE" w:themeColor="accent3"/>
      <w:sz w:val="19"/>
      <w:u w:val="single"/>
    </w:rPr>
  </w:style>
  <w:style w:type="paragraph" w:styleId="Textbubliny">
    <w:name w:val="Balloon Text"/>
    <w:basedOn w:val="Normln"/>
    <w:semiHidden/>
    <w:rsid w:val="00392FE4"/>
    <w:rPr>
      <w:rFonts w:ascii="Tahoma" w:hAnsi="Tahoma" w:cs="Tahoma"/>
      <w:sz w:val="16"/>
      <w:szCs w:val="16"/>
    </w:rPr>
  </w:style>
  <w:style w:type="character" w:customStyle="1" w:styleId="ZhlavChar">
    <w:name w:val="Záhlaví Char"/>
    <w:basedOn w:val="Standardnpsmoodstavce"/>
    <w:link w:val="Zhlav"/>
    <w:uiPriority w:val="99"/>
    <w:rsid w:val="00E421C0"/>
    <w:rPr>
      <w:rFonts w:ascii="Arial" w:hAnsi="Arial"/>
      <w:sz w:val="16"/>
      <w:szCs w:val="24"/>
    </w:rPr>
  </w:style>
  <w:style w:type="character" w:customStyle="1" w:styleId="ZpatChar">
    <w:name w:val="Zápatí Char"/>
    <w:basedOn w:val="Standardnpsmoodstavce"/>
    <w:link w:val="Zpat"/>
    <w:uiPriority w:val="99"/>
    <w:rsid w:val="006F71E5"/>
    <w:rPr>
      <w:rFonts w:ascii="Arial" w:hAnsi="Arial"/>
      <w:sz w:val="16"/>
      <w:szCs w:val="24"/>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8F5F14"/>
    <w:pPr>
      <w:numPr>
        <w:numId w:val="9"/>
      </w:numPr>
      <w:spacing w:before="240" w:after="120"/>
    </w:pPr>
    <w:rPr>
      <w:rFonts w:ascii="Arial" w:hAnsi="Arial"/>
      <w:b/>
      <w:noProof/>
      <w:color w:val="000000" w:themeColor="text1"/>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8F5F14"/>
    <w:pPr>
      <w:numPr>
        <w:ilvl w:val="1"/>
        <w:numId w:val="9"/>
      </w:numPr>
      <w:tabs>
        <w:tab w:val="left" w:pos="567"/>
      </w:tabs>
      <w:spacing w:before="120"/>
      <w:jc w:val="both"/>
    </w:pPr>
    <w:rPr>
      <w:b w:val="0"/>
      <w:color w:val="000000" w:themeColor="text1"/>
      <w:sz w:val="19"/>
    </w:rPr>
  </w:style>
  <w:style w:type="paragraph" w:customStyle="1" w:styleId="smlouvaheading3">
    <w:name w:val="smlouva heading 3"/>
    <w:basedOn w:val="smlouvaheading2"/>
    <w:next w:val="BodyText1"/>
    <w:qFormat/>
    <w:rsid w:val="008F5F14"/>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F5F14"/>
    <w:pPr>
      <w:numPr>
        <w:ilvl w:val="3"/>
      </w:numPr>
      <w:tabs>
        <w:tab w:val="clear" w:pos="794"/>
      </w:tabs>
      <w:ind w:left="794" w:hanging="794"/>
    </w:pPr>
    <w:rPr>
      <w:color w:val="auto"/>
    </w:rPr>
  </w:style>
  <w:style w:type="paragraph" w:customStyle="1" w:styleId="smlouvabodytextbold">
    <w:name w:val="smlouva body text bold"/>
    <w:basedOn w:val="smlouvaheading4"/>
    <w:next w:val="BodyText1"/>
    <w:qFormat/>
    <w:rsid w:val="00A72120"/>
    <w:pPr>
      <w:numPr>
        <w:ilvl w:val="0"/>
        <w:numId w:val="0"/>
      </w:numPr>
    </w:pPr>
    <w:rPr>
      <w:b/>
    </w:rPr>
  </w:style>
  <w:style w:type="paragraph" w:customStyle="1" w:styleId="Bodytextbold">
    <w:name w:val="Body text bold"/>
    <w:basedOn w:val="smlouvabodytextbold"/>
    <w:next w:val="BodyText1"/>
    <w:qFormat/>
    <w:rsid w:val="00D0755D"/>
    <w:pPr>
      <w:tabs>
        <w:tab w:val="left" w:pos="1134"/>
      </w:tabs>
      <w:spacing w:before="0"/>
    </w:pPr>
    <w:rPr>
      <w:color w:val="000000"/>
    </w:rPr>
  </w:style>
  <w:style w:type="character" w:customStyle="1" w:styleId="CaptionbodyChar">
    <w:name w:val="Caption body Char"/>
    <w:basedOn w:val="Standardnpsmoodstavce"/>
    <w:link w:val="Captionbody"/>
    <w:rsid w:val="005B4CAD"/>
    <w:rPr>
      <w:rFonts w:ascii="Arial" w:hAnsi="Arial"/>
      <w:color w:val="000000"/>
      <w:sz w:val="18"/>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
    <w:rsid w:val="00F433F7"/>
    <w:rPr>
      <w:rFonts w:eastAsia="Times"/>
      <w:noProof/>
    </w:rPr>
  </w:style>
  <w:style w:type="paragraph" w:customStyle="1" w:styleId="Bulletslevel1">
    <w:name w:val="Bullets level 1"/>
    <w:basedOn w:val="Normln"/>
    <w:link w:val="Bulletslevel1Char"/>
    <w:qFormat/>
    <w:rsid w:val="008E5686"/>
    <w:pPr>
      <w:numPr>
        <w:numId w:val="1"/>
      </w:numPr>
      <w:ind w:left="360"/>
    </w:pPr>
    <w:rPr>
      <w:rFonts w:eastAsia="Times"/>
      <w:color w:val="000000"/>
      <w:szCs w:val="20"/>
      <w:lang w:val="en-GB"/>
    </w:rPr>
  </w:style>
  <w:style w:type="character" w:customStyle="1" w:styleId="Bulletslevel1Char">
    <w:name w:val="Bullets level 1 Char"/>
    <w:basedOn w:val="Standardnpsmoodstavce"/>
    <w:link w:val="Bulletslevel1"/>
    <w:rsid w:val="008E5686"/>
    <w:rPr>
      <w:rFonts w:ascii="Arial" w:eastAsia="Times" w:hAnsi="Arial"/>
      <w:color w:val="000000"/>
      <w:sz w:val="18"/>
      <w:lang w:val="en-GB"/>
    </w:rPr>
  </w:style>
  <w:style w:type="paragraph" w:customStyle="1" w:styleId="Bulletslevel2">
    <w:name w:val="Bullets level 2"/>
    <w:basedOn w:val="Normln"/>
    <w:link w:val="Bulletslevel2Char"/>
    <w:qFormat/>
    <w:rsid w:val="008E5686"/>
    <w:pPr>
      <w:numPr>
        <w:numId w:val="3"/>
      </w:numPr>
      <w:tabs>
        <w:tab w:val="left" w:pos="567"/>
      </w:tabs>
    </w:pPr>
    <w:rPr>
      <w:rFonts w:eastAsia="Times"/>
      <w:color w:val="000000"/>
      <w:szCs w:val="20"/>
      <w:lang w:val="en-GB"/>
    </w:rPr>
  </w:style>
  <w:style w:type="character" w:customStyle="1" w:styleId="Bulletslevel2Char">
    <w:name w:val="Bullets level 2 Char"/>
    <w:basedOn w:val="Bulletslevel1Char"/>
    <w:link w:val="Bulletslevel2"/>
    <w:rsid w:val="008E5686"/>
    <w:rPr>
      <w:rFonts w:ascii="Arial" w:eastAsia="Times" w:hAnsi="Arial"/>
      <w:color w:val="000000"/>
      <w:sz w:val="18"/>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
    <w:qFormat/>
    <w:rsid w:val="005060B4"/>
    <w:rPr>
      <w:b/>
      <w:color w:val="3C8A2E" w:themeColor="accent5"/>
      <w:sz w:val="20"/>
      <w:szCs w:val="16"/>
    </w:rPr>
  </w:style>
  <w:style w:type="paragraph" w:customStyle="1" w:styleId="Highlight2">
    <w:name w:val="Highlight 2"/>
    <w:basedOn w:val="Highlight1"/>
    <w:qFormat/>
    <w:rsid w:val="00146657"/>
    <w:rPr>
      <w:color w:val="92D400" w:themeColor="accent2"/>
    </w:rPr>
  </w:style>
  <w:style w:type="table" w:customStyle="1" w:styleId="Deloittetable1">
    <w:name w:val="Deloitte table 1"/>
    <w:basedOn w:val="Normlntabul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style>
  <w:style w:type="table" w:customStyle="1" w:styleId="Deloittetable6">
    <w:name w:val="Deloitte table 6"/>
    <w:basedOn w:val="Normlntabul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themeColor="background2"/>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8E5686"/>
    <w:rPr>
      <w:rFonts w:ascii="Arial" w:eastAsiaTheme="majorEastAsia" w:hAnsi="Arial" w:cstheme="majorBidi"/>
      <w:b/>
      <w:bCs/>
      <w:iCs/>
      <w:sz w:val="24"/>
      <w:szCs w:val="24"/>
    </w:rPr>
  </w:style>
  <w:style w:type="character" w:customStyle="1" w:styleId="Nadpis5Char">
    <w:name w:val="Nadpis 5 Char"/>
    <w:basedOn w:val="Standardnpsmoodstavce"/>
    <w:link w:val="Nadpis5"/>
    <w:rsid w:val="008E5686"/>
    <w:rPr>
      <w:rFonts w:ascii="Arial" w:eastAsiaTheme="majorEastAsia" w:hAnsi="Arial" w:cstheme="majorBidi"/>
      <w:b/>
      <w:i/>
      <w:color w:val="00133A" w:themeColor="accent1" w:themeShade="7F"/>
      <w:sz w:val="24"/>
      <w:szCs w:val="24"/>
    </w:rPr>
  </w:style>
  <w:style w:type="character" w:customStyle="1" w:styleId="Nadpis6Char">
    <w:name w:val="Nadpis 6 Char"/>
    <w:basedOn w:val="Standardnpsmoodstavce"/>
    <w:link w:val="Nadpis6"/>
    <w:rsid w:val="008E5686"/>
    <w:rPr>
      <w:rFonts w:ascii="Arial" w:eastAsiaTheme="majorEastAsia" w:hAnsi="Arial" w:cstheme="majorBidi"/>
      <w:i/>
      <w:iCs/>
      <w:color w:val="00133A" w:themeColor="accent1" w:themeShade="7F"/>
      <w:sz w:val="24"/>
      <w:szCs w:val="24"/>
    </w:rPr>
  </w:style>
  <w:style w:type="character" w:customStyle="1" w:styleId="Nadpis7Char">
    <w:name w:val="Nadpis 7 Char"/>
    <w:basedOn w:val="Standardnpsmoodstavce"/>
    <w:link w:val="Nadpis7"/>
    <w:rsid w:val="00E421C0"/>
    <w:rPr>
      <w:rFonts w:ascii="Arial" w:eastAsiaTheme="majorEastAsia" w:hAnsi="Arial" w:cstheme="majorBidi"/>
      <w:i/>
      <w:iCs/>
      <w:color w:val="404040" w:themeColor="text1" w:themeTint="BF"/>
      <w:sz w:val="22"/>
      <w:szCs w:val="24"/>
    </w:rPr>
  </w:style>
  <w:style w:type="character" w:customStyle="1" w:styleId="Nadpis8Char">
    <w:name w:val="Nadpis 8 Char"/>
    <w:aliases w:val="(Appendici) Char"/>
    <w:basedOn w:val="Standardnpsmoodstavce"/>
    <w:link w:val="Nadpis8"/>
    <w:rsid w:val="00E421C0"/>
    <w:rPr>
      <w:rFonts w:ascii="Arial" w:eastAsiaTheme="majorEastAsia" w:hAnsi="Arial" w:cstheme="majorBidi"/>
      <w:i/>
      <w:color w:val="404040" w:themeColor="text1" w:themeTint="BF"/>
    </w:rPr>
  </w:style>
  <w:style w:type="character" w:customStyle="1" w:styleId="Nadpis9Char">
    <w:name w:val="Nadpis 9 Char"/>
    <w:aliases w:val="(Bibliografia) Char"/>
    <w:basedOn w:val="Standardnpsmoodstavce"/>
    <w:link w:val="Nadpis9"/>
    <w:rsid w:val="00E421C0"/>
    <w:rPr>
      <w:rFonts w:ascii="Arial" w:eastAsiaTheme="majorEastAsia" w:hAnsi="Arial" w:cstheme="majorBidi"/>
      <w:i/>
      <w:iCs/>
      <w:color w:val="404040" w:themeColor="text1" w:themeTint="BF"/>
      <w:sz w:val="18"/>
    </w:rPr>
  </w:style>
  <w:style w:type="paragraph" w:styleId="Obsah5">
    <w:name w:val="toc 5"/>
    <w:basedOn w:val="Normln"/>
    <w:next w:val="Normln"/>
    <w:autoRedefine/>
    <w:uiPriority w:val="39"/>
    <w:rsid w:val="00210E5E"/>
    <w:pPr>
      <w:spacing w:after="100"/>
      <w:ind w:left="960"/>
    </w:pPr>
  </w:style>
  <w:style w:type="character" w:styleId="Znakapoznpodarou">
    <w:name w:val="footnote reference"/>
    <w:basedOn w:val="Standardnpsmoodstavce"/>
    <w:rsid w:val="00E421C0"/>
    <w:rPr>
      <w:rFonts w:ascii="Arial" w:hAnsi="Arial"/>
      <w:sz w:val="16"/>
      <w:vertAlign w:val="superscript"/>
    </w:rPr>
  </w:style>
  <w:style w:type="paragraph" w:styleId="Textpoznpodarou">
    <w:name w:val="footnote text"/>
    <w:basedOn w:val="Normln"/>
    <w:link w:val="TextpoznpodarouChar"/>
    <w:rsid w:val="00E421C0"/>
    <w:rPr>
      <w:sz w:val="16"/>
      <w:szCs w:val="20"/>
    </w:rPr>
  </w:style>
  <w:style w:type="character" w:customStyle="1" w:styleId="TextpoznpodarouChar">
    <w:name w:val="Text pozn. pod čarou Char"/>
    <w:basedOn w:val="Standardnpsmoodstavce"/>
    <w:link w:val="Textpoznpodarou"/>
    <w:rsid w:val="00E421C0"/>
    <w:rPr>
      <w:rFonts w:ascii="Arial" w:hAnsi="Arial"/>
      <w:sz w:val="16"/>
    </w:rPr>
  </w:style>
  <w:style w:type="paragraph" w:customStyle="1" w:styleId="Highlight3">
    <w:name w:val="Highlight 3"/>
    <w:basedOn w:val="Highlight2"/>
    <w:qFormat/>
    <w:rsid w:val="00146657"/>
    <w:rPr>
      <w:color w:val="00A1DE" w:themeColor="accent3"/>
    </w:rPr>
  </w:style>
  <w:style w:type="paragraph" w:styleId="Nadpisobsahu">
    <w:name w:val="TOC Heading"/>
    <w:basedOn w:val="Nadpis1"/>
    <w:next w:val="Normln"/>
    <w:uiPriority w:val="39"/>
    <w:semiHidden/>
    <w:unhideWhenUsed/>
    <w:qFormat/>
    <w:rsid w:val="00146657"/>
    <w:pPr>
      <w:keepLines/>
      <w:pageBreakBefore w:val="0"/>
      <w:numPr>
        <w:numId w:val="0"/>
      </w:numPr>
      <w:spacing w:before="480" w:after="0" w:line="276" w:lineRule="auto"/>
      <w:outlineLvl w:val="9"/>
    </w:pPr>
    <w:rPr>
      <w:rFonts w:asciiTheme="majorHAnsi" w:eastAsiaTheme="majorEastAsia" w:hAnsiTheme="majorHAnsi" w:cstheme="majorBidi"/>
      <w:b/>
      <w:color w:val="001D58" w:themeColor="accent1" w:themeShade="BF"/>
      <w:kern w:val="0"/>
      <w:sz w:val="28"/>
      <w:szCs w:val="28"/>
    </w:rPr>
  </w:style>
  <w:style w:type="paragraph" w:styleId="Zkladntext">
    <w:name w:val="Body Text"/>
    <w:basedOn w:val="Normln"/>
    <w:link w:val="ZkladntextChar"/>
    <w:rsid w:val="00CE5338"/>
    <w:rPr>
      <w:sz w:val="16"/>
      <w:lang w:val="en-GB"/>
    </w:rPr>
  </w:style>
  <w:style w:type="character" w:customStyle="1" w:styleId="ZkladntextChar">
    <w:name w:val="Základní text Char"/>
    <w:basedOn w:val="Standardnpsmoodstavce"/>
    <w:link w:val="Zkladntext"/>
    <w:rsid w:val="00CE5338"/>
    <w:rPr>
      <w:rFonts w:ascii="Arial" w:hAnsi="Arial"/>
      <w:sz w:val="16"/>
      <w:szCs w:val="24"/>
      <w:lang w:val="en-GB"/>
    </w:rPr>
  </w:style>
  <w:style w:type="paragraph" w:customStyle="1" w:styleId="Table">
    <w:name w:val="Table"/>
    <w:basedOn w:val="Normln"/>
    <w:rsid w:val="00CE5338"/>
  </w:style>
  <w:style w:type="character" w:customStyle="1" w:styleId="platne1">
    <w:name w:val="platne1"/>
    <w:basedOn w:val="Standardnpsmoodstavce"/>
    <w:rsid w:val="00CE5338"/>
  </w:style>
  <w:style w:type="paragraph" w:customStyle="1" w:styleId="ABLOCKPARA">
    <w:name w:val="A BLOCK PARA"/>
    <w:basedOn w:val="Normln"/>
    <w:rsid w:val="00CE5338"/>
    <w:rPr>
      <w:rFonts w:ascii="Book Antiqua" w:hAnsi="Book Antiqua"/>
      <w:sz w:val="20"/>
      <w:lang w:val="en-GB"/>
    </w:rPr>
  </w:style>
  <w:style w:type="character" w:styleId="Odkaznakoment">
    <w:name w:val="annotation reference"/>
    <w:basedOn w:val="Standardnpsmoodstavce"/>
    <w:rsid w:val="00CE5338"/>
    <w:rPr>
      <w:sz w:val="16"/>
      <w:szCs w:val="16"/>
    </w:rPr>
  </w:style>
  <w:style w:type="paragraph" w:styleId="Textkomente">
    <w:name w:val="annotation text"/>
    <w:basedOn w:val="Normln"/>
    <w:link w:val="TextkomenteChar"/>
    <w:rsid w:val="00CE5338"/>
    <w:pPr>
      <w:spacing w:after="120"/>
    </w:pPr>
    <w:rPr>
      <w:rFonts w:ascii="Times New Roman" w:hAnsi="Times New Roman"/>
      <w:sz w:val="20"/>
      <w:szCs w:val="20"/>
    </w:rPr>
  </w:style>
  <w:style w:type="character" w:customStyle="1" w:styleId="TextkomenteChar">
    <w:name w:val="Text komentáře Char"/>
    <w:basedOn w:val="Standardnpsmoodstavce"/>
    <w:link w:val="Textkomente"/>
    <w:rsid w:val="00CE5338"/>
  </w:style>
  <w:style w:type="paragraph" w:styleId="Normlnweb">
    <w:name w:val="Normal (Web)"/>
    <w:basedOn w:val="Normln"/>
    <w:uiPriority w:val="99"/>
    <w:unhideWhenUsed/>
    <w:rsid w:val="00CE5338"/>
    <w:pPr>
      <w:spacing w:after="100" w:afterAutospacing="1"/>
    </w:pPr>
    <w:rPr>
      <w:rFonts w:cs="Arial"/>
      <w:color w:val="333333"/>
      <w:sz w:val="24"/>
    </w:rPr>
  </w:style>
  <w:style w:type="paragraph" w:customStyle="1" w:styleId="StyleHeading1">
    <w:name w:val="Style Heading 1"/>
    <w:basedOn w:val="Nadpis1"/>
    <w:next w:val="Normln"/>
    <w:rsid w:val="00CE5338"/>
    <w:pPr>
      <w:pageBreakBefore w:val="0"/>
      <w:numPr>
        <w:numId w:val="0"/>
      </w:numPr>
      <w:spacing w:before="240" w:after="160"/>
      <w:ind w:left="720" w:hanging="360"/>
    </w:pPr>
    <w:rPr>
      <w:rFonts w:ascii="Times New Roman" w:hAnsi="Times New Roman"/>
      <w:bCs w:val="0"/>
      <w:color w:val="000066"/>
    </w:rPr>
  </w:style>
  <w:style w:type="paragraph" w:styleId="Odstavecseseznamem">
    <w:name w:val="List Paragraph"/>
    <w:basedOn w:val="Normln"/>
    <w:uiPriority w:val="34"/>
    <w:qFormat/>
    <w:rsid w:val="00CE5338"/>
    <w:pPr>
      <w:ind w:left="720"/>
    </w:pPr>
  </w:style>
  <w:style w:type="paragraph" w:customStyle="1" w:styleId="smlouvaobchodnipodminky1">
    <w:name w:val="smlouva obchodni podminky 1"/>
    <w:basedOn w:val="smlouvaheading3"/>
    <w:qFormat/>
    <w:rsid w:val="00D0755D"/>
    <w:pPr>
      <w:numPr>
        <w:ilvl w:val="0"/>
        <w:numId w:val="15"/>
      </w:numPr>
      <w:tabs>
        <w:tab w:val="clear" w:pos="794"/>
        <w:tab w:val="left" w:pos="567"/>
      </w:tabs>
      <w:spacing w:before="240" w:after="120"/>
      <w:ind w:left="737" w:hanging="737"/>
    </w:pPr>
    <w:rPr>
      <w:b/>
      <w:sz w:val="14"/>
    </w:rPr>
  </w:style>
  <w:style w:type="paragraph" w:customStyle="1" w:styleId="smlouvaobchodnipodminky2">
    <w:name w:val="smlouva obchodni podminky 2"/>
    <w:basedOn w:val="smlouvaheading2"/>
    <w:qFormat/>
    <w:rsid w:val="00385D59"/>
    <w:pPr>
      <w:numPr>
        <w:numId w:val="15"/>
      </w:numPr>
    </w:pPr>
    <w:rPr>
      <w:sz w:val="14"/>
    </w:rPr>
  </w:style>
  <w:style w:type="paragraph" w:customStyle="1" w:styleId="smlouvaobchodnipodminky3">
    <w:name w:val="smlouva obchodni podminky 3"/>
    <w:basedOn w:val="smlouvaheading3"/>
    <w:qFormat/>
    <w:rsid w:val="003D6242"/>
    <w:pPr>
      <w:numPr>
        <w:numId w:val="15"/>
      </w:numPr>
      <w:tabs>
        <w:tab w:val="clear" w:pos="794"/>
      </w:tabs>
    </w:pPr>
    <w:rPr>
      <w:sz w:val="14"/>
    </w:rPr>
  </w:style>
  <w:style w:type="numbering" w:customStyle="1" w:styleId="NoList1">
    <w:name w:val="No List1"/>
    <w:next w:val="Bezseznamu"/>
    <w:semiHidden/>
    <w:rsid w:val="00E0719B"/>
  </w:style>
  <w:style w:type="paragraph" w:customStyle="1" w:styleId="StyleOdstavecItalic">
    <w:name w:val="Style Odstavec + Italic"/>
    <w:basedOn w:val="Normln"/>
    <w:link w:val="StyleOdstavecItalicChar"/>
    <w:rsid w:val="00D0755D"/>
    <w:pPr>
      <w:tabs>
        <w:tab w:val="left" w:pos="1701"/>
      </w:tabs>
      <w:spacing w:before="240" w:line="280" w:lineRule="exact"/>
      <w:ind w:left="1724" w:hanging="360"/>
      <w:outlineLvl w:val="0"/>
    </w:pPr>
    <w:rPr>
      <w:i/>
      <w:iCs/>
    </w:rPr>
  </w:style>
  <w:style w:type="character" w:customStyle="1" w:styleId="StyleOdstavecItalicChar">
    <w:name w:val="Style Odstavec + Italic Char"/>
    <w:basedOn w:val="Standardnpsmoodstavce"/>
    <w:link w:val="StyleOdstavecItalic"/>
    <w:rsid w:val="00D0755D"/>
    <w:rPr>
      <w:rFonts w:ascii="Verdana" w:hAnsi="Verdana"/>
      <w:i/>
      <w:iCs/>
      <w:sz w:val="18"/>
      <w:szCs w:val="18"/>
      <w:lang w:val="cs-CZ"/>
    </w:rPr>
  </w:style>
  <w:style w:type="paragraph" w:customStyle="1" w:styleId="Odstavec">
    <w:name w:val="Odstavec"/>
    <w:basedOn w:val="Normln"/>
    <w:link w:val="OdstavecChar"/>
    <w:rsid w:val="007935E9"/>
    <w:pPr>
      <w:tabs>
        <w:tab w:val="num" w:pos="1288"/>
        <w:tab w:val="left" w:pos="1701"/>
      </w:tabs>
      <w:spacing w:before="240" w:line="280" w:lineRule="exact"/>
      <w:ind w:left="568"/>
      <w:outlineLvl w:val="0"/>
    </w:pPr>
    <w:rPr>
      <w:rFonts w:ascii="Verdana" w:hAnsi="Verdana"/>
    </w:rPr>
  </w:style>
  <w:style w:type="character" w:customStyle="1" w:styleId="OdstavecChar">
    <w:name w:val="Odstavec Char"/>
    <w:basedOn w:val="Standardnpsmoodstavce"/>
    <w:link w:val="Odstavec"/>
    <w:rsid w:val="007935E9"/>
    <w:rPr>
      <w:rFonts w:ascii="Verdana" w:hAnsi="Verdana"/>
      <w:sz w:val="18"/>
      <w:szCs w:val="18"/>
      <w:lang w:val="cs-CZ"/>
    </w:rPr>
  </w:style>
  <w:style w:type="paragraph" w:customStyle="1" w:styleId="Odstavec2">
    <w:name w:val="Odstavec 2"/>
    <w:basedOn w:val="Normln"/>
    <w:rsid w:val="0066263B"/>
    <w:pPr>
      <w:tabs>
        <w:tab w:val="clear" w:pos="851"/>
        <w:tab w:val="num" w:pos="720"/>
      </w:tabs>
      <w:spacing w:line="240" w:lineRule="exact"/>
    </w:pPr>
    <w:rPr>
      <w:rFonts w:ascii="Verdana" w:hAnsi="Verdana"/>
    </w:rPr>
  </w:style>
  <w:style w:type="paragraph" w:styleId="Pedmtkomente">
    <w:name w:val="annotation subject"/>
    <w:basedOn w:val="Textkomente"/>
    <w:next w:val="Textkomente"/>
    <w:link w:val="PedmtkomenteChar"/>
    <w:rsid w:val="007A275B"/>
    <w:pPr>
      <w:spacing w:after="0"/>
    </w:pPr>
    <w:rPr>
      <w:rFonts w:ascii="Arial" w:hAnsi="Arial"/>
      <w:b/>
      <w:bCs/>
    </w:rPr>
  </w:style>
  <w:style w:type="character" w:customStyle="1" w:styleId="PedmtkomenteChar">
    <w:name w:val="Předmět komentáře Char"/>
    <w:basedOn w:val="TextkomenteChar"/>
    <w:link w:val="Pedmtkomente"/>
    <w:rsid w:val="007A275B"/>
    <w:rPr>
      <w:rFonts w:ascii="Arial" w:hAnsi="Arial"/>
      <w:b/>
      <w:bCs/>
      <w:lang w:val="cs-CZ"/>
    </w:rPr>
  </w:style>
  <w:style w:type="paragraph" w:styleId="Prosttext">
    <w:name w:val="Plain Text"/>
    <w:basedOn w:val="Normln"/>
    <w:link w:val="ProsttextChar"/>
    <w:uiPriority w:val="99"/>
    <w:semiHidden/>
    <w:unhideWhenUsed/>
    <w:rsid w:val="00E5446A"/>
    <w:pPr>
      <w:keepLines w:val="0"/>
      <w:tabs>
        <w:tab w:val="clear" w:pos="851"/>
      </w:tabs>
      <w:spacing w:before="0"/>
      <w:jc w:val="left"/>
    </w:pPr>
    <w:rPr>
      <w:rFonts w:ascii="Calibri" w:eastAsiaTheme="minorHAnsi" w:hAnsi="Calibri" w:cs="Consolas"/>
      <w:sz w:val="22"/>
      <w:szCs w:val="21"/>
    </w:rPr>
  </w:style>
  <w:style w:type="character" w:customStyle="1" w:styleId="ProsttextChar">
    <w:name w:val="Prostý text Char"/>
    <w:basedOn w:val="Standardnpsmoodstavce"/>
    <w:link w:val="Prosttext"/>
    <w:uiPriority w:val="99"/>
    <w:semiHidden/>
    <w:rsid w:val="00E5446A"/>
    <w:rPr>
      <w:rFonts w:ascii="Calibri" w:eastAsiaTheme="minorHAnsi" w:hAnsi="Calibri" w:cs="Consolas"/>
      <w:sz w:val="22"/>
      <w:szCs w:val="21"/>
      <w:lang w:val="cs-CZ"/>
    </w:rPr>
  </w:style>
  <w:style w:type="paragraph" w:styleId="Revize">
    <w:name w:val="Revision"/>
    <w:hidden/>
    <w:uiPriority w:val="99"/>
    <w:semiHidden/>
    <w:rsid w:val="0090214E"/>
    <w:rPr>
      <w:rFonts w:ascii="Arial" w:hAnsi="Arial"/>
      <w:sz w:val="18"/>
      <w:szCs w:val="18"/>
      <w:lang w:val="cs-CZ"/>
    </w:rPr>
  </w:style>
  <w:style w:type="paragraph" w:styleId="Zkladntextodsazen2">
    <w:name w:val="Body Text Indent 2"/>
    <w:basedOn w:val="Normln"/>
    <w:link w:val="Zkladntextodsazen2Char"/>
    <w:semiHidden/>
    <w:unhideWhenUsed/>
    <w:rsid w:val="00CA415C"/>
    <w:pPr>
      <w:spacing w:after="120" w:line="480" w:lineRule="auto"/>
      <w:ind w:left="283"/>
    </w:pPr>
  </w:style>
  <w:style w:type="character" w:customStyle="1" w:styleId="Zkladntextodsazen2Char">
    <w:name w:val="Základní text odsazený 2 Char"/>
    <w:basedOn w:val="Standardnpsmoodstavce"/>
    <w:link w:val="Zkladntextodsazen2"/>
    <w:semiHidden/>
    <w:rsid w:val="00CA415C"/>
    <w:rPr>
      <w:rFonts w:ascii="Arial" w:hAnsi="Arial"/>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07125817">
      <w:bodyDiv w:val="1"/>
      <w:marLeft w:val="0"/>
      <w:marRight w:val="0"/>
      <w:marTop w:val="0"/>
      <w:marBottom w:val="0"/>
      <w:divBdr>
        <w:top w:val="none" w:sz="0" w:space="0" w:color="auto"/>
        <w:left w:val="none" w:sz="0" w:space="0" w:color="auto"/>
        <w:bottom w:val="none" w:sz="0" w:space="0" w:color="auto"/>
        <w:right w:val="none" w:sz="0" w:space="0" w:color="auto"/>
      </w:divBdr>
    </w:div>
    <w:div w:id="644042434">
      <w:bodyDiv w:val="1"/>
      <w:marLeft w:val="0"/>
      <w:marRight w:val="0"/>
      <w:marTop w:val="0"/>
      <w:marBottom w:val="0"/>
      <w:divBdr>
        <w:top w:val="none" w:sz="0" w:space="0" w:color="auto"/>
        <w:left w:val="none" w:sz="0" w:space="0" w:color="auto"/>
        <w:bottom w:val="none" w:sz="0" w:space="0" w:color="auto"/>
        <w:right w:val="none" w:sz="0" w:space="0" w:color="auto"/>
      </w:divBdr>
    </w:div>
    <w:div w:id="1285382455">
      <w:bodyDiv w:val="1"/>
      <w:marLeft w:val="0"/>
      <w:marRight w:val="0"/>
      <w:marTop w:val="0"/>
      <w:marBottom w:val="0"/>
      <w:divBdr>
        <w:top w:val="none" w:sz="0" w:space="0" w:color="auto"/>
        <w:left w:val="none" w:sz="0" w:space="0" w:color="auto"/>
        <w:bottom w:val="none" w:sz="0" w:space="0" w:color="auto"/>
        <w:right w:val="none" w:sz="0" w:space="0" w:color="auto"/>
      </w:divBdr>
    </w:div>
    <w:div w:id="1898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2.deloitte.com/global/en/pages/about-deloitte/articles/about-deloitte-central-europe.html" TargetMode="External"/><Relationship Id="rId3" Type="http://schemas.openxmlformats.org/officeDocument/2006/relationships/styles" Target="styles.xml"/><Relationship Id="rId21" Type="http://schemas.openxmlformats.org/officeDocument/2006/relationships/hyperlink" Target="http://www2.deloitte.com/global/en/get-connected/global-office-directory.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2.deloitte.com/global/en/pages/about-deloitte/articles/ce_list_of_clients_personal_dat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odatelna@zcu.cz"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2.deloitte.com/global/en/get-connected/global-office-directory.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odatelna@zcu.cz" TargetMode="External"/><Relationship Id="rId22" Type="http://schemas.openxmlformats.org/officeDocument/2006/relationships/header" Target="header5.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306EF-3A83-47F2-8296-040B8507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9587</Words>
  <Characters>56568</Characters>
  <Application>Microsoft Office Word</Application>
  <DocSecurity>0</DocSecurity>
  <Lines>471</Lines>
  <Paragraphs>132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66023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Horackova</dc:creator>
  <cp:lastModifiedBy>Mgr. Jitka GAMMONS</cp:lastModifiedBy>
  <cp:revision>2</cp:revision>
  <cp:lastPrinted>2016-09-13T06:31:00Z</cp:lastPrinted>
  <dcterms:created xsi:type="dcterms:W3CDTF">2016-09-19T06:15:00Z</dcterms:created>
  <dcterms:modified xsi:type="dcterms:W3CDTF">2016-09-19T06:15:00Z</dcterms:modified>
</cp:coreProperties>
</file>