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Á J E M N Í S M L O U V 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505/2024-POH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MP/N/DZ/23/300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 dle vlastního prohlášení k právnímu jednání způsobilí účastníci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 zapsán v obchodním rejstříku vedeném Krajským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soudem v Ústí nad Labem, oddíl A, vložka č. 13052 dále jen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na straně jedné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814" w:val="left"/>
        </w:tabs>
        <w:bidi w:val="0"/>
        <w:spacing w:before="0" w:after="0" w:line="338" w:lineRule="auto"/>
        <w:ind w:left="44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Ředitelství silnic a dálnic s. p.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sídlem: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Čerčanská 2023/12, 140 00 Praha 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74" w:val="left"/>
        </w:tabs>
        <w:bidi w:val="0"/>
        <w:spacing w:before="0" w:line="262" w:lineRule="auto"/>
        <w:ind w:left="0" w:right="0" w:firstLine="4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IČO: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65993390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zapsaný v obchodním rejstříku vedeném u Městského soudu v Praze, oddíl A, vložka 80478 dále jen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nájemce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straně druhé se dohodly níže uvedeného dne, měsíce a roku na změně shora uvedené smlouvy tímto Dodatkem č. 1 k Nájemní smlouvě č. 505/2024-POH, č. MP/N/DZ/23/300 (dále jen Dodatek č. 1). Tento Dodatek č. 1 je uzavírán z důvodu změny v předmětu nájmu. Mění se výměry dočasného záboru do 1 roka a dočasného záboru nad 1 rok. Rozsah zůstává stejný.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Článek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I. Předmět smlouvy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 zní takto: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bookmarkStart w:id="0" w:name="bookmark0"/>
      <w:bookmarkEnd w:id="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Při realizaci veřejně prospěšné stavby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D6 Petrohrad - Lubenec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nutné dle záborového elaborátu použít následující pozemky či jejich části k dočasnému záboru (DZ) do jednoho roku a nad jeden rok k realizaci stavebních objektů (SO):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305.4 - Odpad od RN a ORL v km 66,5-66,6 D6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411 - Přeložka nadzemního vedení VN 22kV ČEZ-Distribuce, km 66,1-km 66,9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820 - Rekultivace ploch skládek a manipulačních pásů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831 - Technické a biologické rekultivace stávajících komunikací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494 - Systém DIS-SOS - trubky pro optické kabely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342 - Úpravy meliorací v km 66,374-66,677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332 - Přeložka Podvineckého potoka v km 66,376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304 - Dešťová kanalizace km 65,490-km 66,285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204 - Most přes Podvinecký potok v km 66,355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122 - Přeložka silnice I/6 v km 65,300-66,300</w:t>
      </w:r>
    </w:p>
    <w:tbl>
      <w:tblPr>
        <w:tblOverlap w:val="never"/>
        <w:jc w:val="center"/>
        <w:tblLayout w:type="fixed"/>
      </w:tblPr>
      <w:tblGrid>
        <w:gridCol w:w="720"/>
        <w:gridCol w:w="1560"/>
        <w:gridCol w:w="1142"/>
        <w:gridCol w:w="710"/>
        <w:gridCol w:w="1560"/>
        <w:gridCol w:w="1411"/>
        <w:gridCol w:w="2150"/>
      </w:tblGrid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LV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Katastrální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území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parc. č.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 nájmu</w:t>
            </w: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DZ nad 1r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DZ do 1r - 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SO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820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720"/>
        <w:gridCol w:w="1560"/>
        <w:gridCol w:w="1142"/>
        <w:gridCol w:w="710"/>
        <w:gridCol w:w="1560"/>
        <w:gridCol w:w="1411"/>
        <w:gridCol w:w="2150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1029/2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122, 411, 820, 3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411, 820, 342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494,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1058/2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820, 332, 3050.4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1067/1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820, 3050.4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Černčice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1077/1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332,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Petrohradu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204</w:t>
            </w:r>
          </w:p>
        </w:tc>
      </w:tr>
      <w:tr>
        <w:trPr>
          <w:trHeight w:val="288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665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bookmarkStart w:id="1" w:name="bookmark1"/>
      <w:bookmarkEnd w:id="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Tímto Dodatkem č. 1 se mění článek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III. Výše nájemného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takto: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nájemného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left"/>
      </w:pPr>
      <w:bookmarkStart w:id="2" w:name="bookmark2"/>
      <w:bookmarkEnd w:id="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Výše nájemného se sjednává v souladu s Výměrem Ministerstva financí České republiky č. 15/2025 ze dne 30. října 2025, a to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Kč za 1 m² a rok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nájemného za užívání 6651 m² Předmětu smlouvy na LV č. 281 činí 199 530 Kč/rok ,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jedno sto devadesát devět tisíc pět set třicet korun českých).</w:t>
      </w:r>
    </w:p>
    <w:p>
      <w:pPr>
        <w:pStyle w:val="Style1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Nájemní smlouvy č. 505/2024-POH, č. MP/N/DZ/23/300 ze dne 8.7.2024 zůstávají v platnosti.</w:t>
      </w:r>
      <w:bookmarkEnd w:id="3"/>
      <w:bookmarkEnd w:id="4"/>
      <w:bookmarkEnd w:id="6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platný dnem podpisu oběma smluvními stranami a nabývá účinnosti zveřejněním prostřednictvím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tato Smlouva bude uveřejněna v registru smluv dle zákona č. 340/2015 Sb., o zvláštních podmínkách účinnosti některých smluv, uveřejňování těchto smluv a o registru smluv (zákon o registru smluv), ve znění pozdějších předpisů. Smluvní strany se dohodly, že tuto Smlouvu v souladu s citovaným zákonem uveřejní nájemce. Při uveřejnění Smlouvy nebudou uveřejněny informace, které nelze uveřejnit podle platných právních předpisů, a dále budou znečitelněny podpisy osob zastupujících Smluvní strany.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stvrzují, že si tento Dodatek č. 1 před jeho podpisem přečetli, že byl uzavřen po vzájemném projednání podle jejich pravé a svobodné vůle, určitě, vážně a srozumitelně, nikoli v tísni nebo za nápadně nevýhodných podmínek.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858" w:left="1052" w:right="958" w:bottom="881" w:header="430" w:footer="3" w:gutter="0"/>
          <w:pgNumType w:start="1"/>
          <w:cols w:space="720"/>
          <w:noEndnote/>
          <w:rtlGutter w:val="0"/>
          <w:docGrid w:linePitch="360"/>
        </w:sectPr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vyhotoven ve třech stejnopisech, z nichž pronajímatel obdrží dvě vyhotovení a nájemce jedno vyhotovení.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0" w:after="4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89" w:left="0" w:right="0" w:bottom="989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89" w:left="1087" w:right="2359" w:bottom="989" w:header="0" w:footer="3" w:gutter="0"/>
          <w:cols w:num="2" w:space="2943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Teplicích dne ……………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89" w:left="1087" w:right="2359" w:bottom="989" w:header="0" w:footer="3" w:gutter="0"/>
          <w:cols w:num="2" w:space="2943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………………………………….</w:t>
        <w:br/>
        <w:t>Povodí Ohře, státní podnik</w:t>
        <w:br/>
        <w:t>pronajímatel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Ředitelství silnic a dálnic s. p.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8"/>
          <w:pgMar w:top="2630" w:left="1605" w:right="1726" w:bottom="2630" w:header="2202" w:footer="3" w:gutter="0"/>
          <w:cols w:num="2" w:space="720" w:equalWidth="0">
            <w:col w:w="2976" w:space="2899"/>
            <w:col w:w="2702"/>
          </w:cols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630" w:left="1605" w:right="1726" w:bottom="2630" w:header="0" w:footer="3" w:gutter="0"/>
      <w:cols w:num="2" w:space="720" w:equalWidth="0">
        <w:col w:w="2976" w:space="2899"/>
        <w:col w:w="2702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6817360</wp:posOffset>
              </wp:positionH>
              <wp:positionV relativeFrom="page">
                <wp:posOffset>10196195</wp:posOffset>
              </wp:positionV>
              <wp:extent cx="64135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6.79999999999995pt;margin-top:802.85000000000002pt;width:5.0499999999999998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4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4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140"/>
      <w:outlineLvl w:val="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Lövingerová Gabriela</dc:creator>
  <cp:keywords/>
</cp:coreProperties>
</file>