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4471036C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070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522B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1ABB2A24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70643DD8" w:rsidR="00723981" w:rsidRPr="00F00EA5" w:rsidRDefault="00522B26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22B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Oprava fasády - začištění nových prvků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63C7EE5C" w:rsidR="00BB1E6D" w:rsidRPr="00723981" w:rsidRDefault="005A6144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Soupis prací nezohledňoval</w:t>
            </w:r>
            <w:r w:rsidR="00522B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neobsahoval práce spojené se začištěním nových zámečnických konstrukcí (schodiště), výplní otvorů a poruch na fasádě.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0A492015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5A614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opravou </w:t>
            </w:r>
            <w:r w:rsidR="00522B26">
              <w:rPr>
                <w:rFonts w:ascii="Calibri" w:eastAsia="Times New Roman" w:hAnsi="Calibri" w:cs="Times New Roman"/>
                <w:color w:val="000000"/>
                <w:lang w:eastAsia="cs-CZ"/>
              </w:rPr>
              <w:t>fasády, vnějších omítek a začištění kotevních míst zámečnických konstrukcí, které nebyl obsaženy v soupisu prací a jsou nutné pro provedení celkového díla.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643FC5DF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5A6144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789B5E77" w:rsidR="00723981" w:rsidRPr="00723981" w:rsidRDefault="005A6144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0,00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260980DC" w:rsidR="00723981" w:rsidRPr="00723981" w:rsidRDefault="00E20E08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24 804,28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5C652B44" w:rsidR="00723981" w:rsidRPr="00B91641" w:rsidRDefault="00E20E08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</w:rPr>
              <w:t>24 804,28</w:t>
            </w:r>
            <w:r w:rsidR="00522B26">
              <w:rPr>
                <w:rFonts w:ascii="Calibri" w:hAnsi="Calibri" w:cs="Calibri"/>
                <w:b/>
                <w:bCs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66881"/>
    <w:rsid w:val="00070BE7"/>
    <w:rsid w:val="000A3689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42A2A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22B26"/>
    <w:rsid w:val="005332C1"/>
    <w:rsid w:val="00533E55"/>
    <w:rsid w:val="005576E7"/>
    <w:rsid w:val="00587789"/>
    <w:rsid w:val="005A6144"/>
    <w:rsid w:val="005A7D95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13EC7"/>
    <w:rsid w:val="00723981"/>
    <w:rsid w:val="00754CD7"/>
    <w:rsid w:val="00783EE4"/>
    <w:rsid w:val="007A6901"/>
    <w:rsid w:val="007C3D8B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67CE6"/>
    <w:rsid w:val="00993DEF"/>
    <w:rsid w:val="00995F97"/>
    <w:rsid w:val="009B63EF"/>
    <w:rsid w:val="009D0056"/>
    <w:rsid w:val="00A21710"/>
    <w:rsid w:val="00A36E22"/>
    <w:rsid w:val="00A80CE6"/>
    <w:rsid w:val="00AA5331"/>
    <w:rsid w:val="00AC6C10"/>
    <w:rsid w:val="00AD384B"/>
    <w:rsid w:val="00AF0A67"/>
    <w:rsid w:val="00B075FD"/>
    <w:rsid w:val="00B1114B"/>
    <w:rsid w:val="00B269D0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20E08"/>
    <w:rsid w:val="00E507BF"/>
    <w:rsid w:val="00EA07A5"/>
    <w:rsid w:val="00EB62C1"/>
    <w:rsid w:val="00EB6CBC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D6D46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FB46-5DC4-41A7-A3FF-D2F803FD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6</cp:revision>
  <dcterms:created xsi:type="dcterms:W3CDTF">2026-01-29T13:54:00Z</dcterms:created>
  <dcterms:modified xsi:type="dcterms:W3CDTF">2026-03-06T10:40:00Z</dcterms:modified>
</cp:coreProperties>
</file>