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CE84C41" w:rsidR="00DF1A6D" w:rsidRDefault="00182AA5">
      <w:pPr>
        <w:tabs>
          <w:tab w:val="right" w:pos="9638"/>
        </w:tabs>
        <w:spacing w:after="0"/>
        <w:jc w:val="right"/>
        <w:rPr>
          <w:rFonts w:ascii="Arial" w:eastAsia="Arial" w:hAnsi="Arial" w:cs="Arial"/>
        </w:rPr>
      </w:pPr>
      <w:r>
        <w:rPr>
          <w:rFonts w:ascii="Arial" w:eastAsia="Arial" w:hAnsi="Arial" w:cs="Arial"/>
        </w:rPr>
        <w:t>Smlouva č. 260108</w:t>
      </w:r>
    </w:p>
    <w:p w14:paraId="00000002" w14:textId="1AEB3D56" w:rsidR="00DF1A6D" w:rsidRDefault="00A46B68">
      <w:pPr>
        <w:tabs>
          <w:tab w:val="right" w:pos="9638"/>
        </w:tabs>
        <w:spacing w:after="240"/>
        <w:jc w:val="right"/>
        <w:rPr>
          <w:rFonts w:ascii="Arial" w:eastAsia="Arial" w:hAnsi="Arial" w:cs="Arial"/>
        </w:rPr>
      </w:pPr>
      <w:r>
        <w:rPr>
          <w:rFonts w:ascii="Arial" w:eastAsia="Arial" w:hAnsi="Arial" w:cs="Arial"/>
        </w:rPr>
        <w:t xml:space="preserve">Čj. </w:t>
      </w:r>
      <w:r w:rsidR="00182AA5">
        <w:rPr>
          <w:rFonts w:ascii="Arial" w:eastAsia="Arial" w:hAnsi="Arial" w:cs="Arial"/>
        </w:rPr>
        <w:t>2026/437/NM</w:t>
      </w:r>
    </w:p>
    <w:p w14:paraId="00000004" w14:textId="77777777" w:rsidR="00DF1A6D" w:rsidRDefault="00A46B68">
      <w:pPr>
        <w:keepNext/>
        <w:spacing w:before="240" w:after="240"/>
        <w:jc w:val="center"/>
        <w:rPr>
          <w:rFonts w:ascii="Arial" w:eastAsia="Arial" w:hAnsi="Arial" w:cs="Arial"/>
          <w:b/>
          <w:smallCaps/>
          <w:sz w:val="28"/>
          <w:szCs w:val="28"/>
        </w:rPr>
      </w:pPr>
      <w:r>
        <w:rPr>
          <w:rFonts w:ascii="Arial" w:eastAsia="Arial" w:hAnsi="Arial" w:cs="Arial"/>
          <w:b/>
          <w:smallCaps/>
          <w:sz w:val="28"/>
          <w:szCs w:val="28"/>
        </w:rPr>
        <w:t>SMLOUVA O POSKYTOVÁNÍ SLUŽEB</w:t>
      </w:r>
    </w:p>
    <w:p w14:paraId="00000005" w14:textId="34758C3A" w:rsidR="00DF1A6D" w:rsidRDefault="00A46B68">
      <w:pPr>
        <w:spacing w:after="240"/>
        <w:jc w:val="center"/>
        <w:rPr>
          <w:rFonts w:ascii="Arial" w:eastAsia="Arial" w:hAnsi="Arial" w:cs="Arial"/>
        </w:rPr>
      </w:pPr>
      <w:r>
        <w:rPr>
          <w:rFonts w:ascii="Arial" w:eastAsia="Arial" w:hAnsi="Arial" w:cs="Arial"/>
        </w:rPr>
        <w:t>uzavřená podle § 2</w:t>
      </w:r>
      <w:r w:rsidR="002668FF">
        <w:rPr>
          <w:rFonts w:ascii="Arial" w:eastAsia="Arial" w:hAnsi="Arial" w:cs="Arial"/>
        </w:rPr>
        <w:t>586</w:t>
      </w:r>
      <w:r>
        <w:rPr>
          <w:rFonts w:ascii="Arial" w:eastAsia="Arial" w:hAnsi="Arial" w:cs="Arial"/>
        </w:rPr>
        <w:t xml:space="preserve"> a násl. zákona č. 89/2012 Sb., občanský zákoník, ve znění pozdějších předpisů (dále jen „občanský zákoník“)</w:t>
      </w:r>
    </w:p>
    <w:p w14:paraId="00000006" w14:textId="77777777" w:rsidR="00DF1A6D" w:rsidRDefault="00A46B68">
      <w:pPr>
        <w:spacing w:before="240" w:after="240"/>
        <w:jc w:val="center"/>
        <w:rPr>
          <w:rFonts w:ascii="Arial" w:eastAsia="Arial" w:hAnsi="Arial" w:cs="Arial"/>
          <w:b/>
        </w:rPr>
      </w:pPr>
      <w:r>
        <w:rPr>
          <w:rFonts w:ascii="Arial" w:eastAsia="Arial" w:hAnsi="Arial" w:cs="Arial"/>
          <w:b/>
        </w:rPr>
        <w:t>Smluvní strany</w:t>
      </w:r>
    </w:p>
    <w:p w14:paraId="00000007" w14:textId="77777777" w:rsidR="00DF1A6D" w:rsidRDefault="00A46B68">
      <w:pPr>
        <w:spacing w:before="240" w:after="240"/>
        <w:rPr>
          <w:rFonts w:ascii="Arial" w:eastAsia="Arial" w:hAnsi="Arial" w:cs="Arial"/>
          <w:b/>
        </w:rPr>
      </w:pPr>
      <w:r>
        <w:rPr>
          <w:rFonts w:ascii="Arial" w:eastAsia="Arial" w:hAnsi="Arial" w:cs="Arial"/>
          <w:b/>
        </w:rPr>
        <w:t>Národní muzeum</w:t>
      </w:r>
    </w:p>
    <w:p w14:paraId="7146C010" w14:textId="77777777" w:rsidR="00B610B3" w:rsidRPr="00B610B3" w:rsidRDefault="00B610B3" w:rsidP="00B610B3">
      <w:pPr>
        <w:pStyle w:val="Bezmezer"/>
        <w:jc w:val="both"/>
        <w:rPr>
          <w:rFonts w:ascii="Arial" w:hAnsi="Arial" w:cs="Arial"/>
          <w:sz w:val="22"/>
          <w:szCs w:val="22"/>
        </w:rPr>
      </w:pPr>
      <w:bookmarkStart w:id="0" w:name="_Hlk218685484"/>
      <w:r w:rsidRPr="00B610B3">
        <w:rPr>
          <w:rFonts w:ascii="Arial" w:hAnsi="Arial" w:cs="Arial"/>
          <w:sz w:val="22"/>
          <w:szCs w:val="22"/>
        </w:rPr>
        <w:t>příspěvková organizace nepodléhající zápisu do obchodního rejstříku, zřízená Ministerstvem kultury ČR, zřizovací listina č. j. 17461/2000 ve znění pozdějších změn a doplňků</w:t>
      </w:r>
    </w:p>
    <w:bookmarkEnd w:id="0"/>
    <w:p w14:paraId="0000000A" w14:textId="77777777" w:rsidR="00DF1A6D" w:rsidRDefault="00A46B68">
      <w:pPr>
        <w:spacing w:after="0"/>
        <w:jc w:val="both"/>
        <w:rPr>
          <w:rFonts w:ascii="Arial" w:eastAsia="Arial" w:hAnsi="Arial" w:cs="Arial"/>
        </w:rPr>
      </w:pPr>
      <w:r>
        <w:rPr>
          <w:rFonts w:ascii="Arial" w:eastAsia="Arial" w:hAnsi="Arial" w:cs="Arial"/>
        </w:rPr>
        <w:t>se sídlem: Václavské náměstí 1700/68, 110 00 Praha, Nové Město</w:t>
      </w:r>
      <w:r>
        <w:rPr>
          <w:rFonts w:ascii="Arial" w:eastAsia="Arial" w:hAnsi="Arial" w:cs="Arial"/>
        </w:rPr>
        <w:tab/>
      </w:r>
      <w:r>
        <w:rPr>
          <w:rFonts w:ascii="Arial" w:eastAsia="Arial" w:hAnsi="Arial" w:cs="Arial"/>
        </w:rPr>
        <w:tab/>
      </w:r>
    </w:p>
    <w:p w14:paraId="0000000B" w14:textId="77777777" w:rsidR="00DF1A6D" w:rsidRDefault="00A46B68">
      <w:pPr>
        <w:spacing w:after="0"/>
        <w:jc w:val="both"/>
        <w:rPr>
          <w:rFonts w:ascii="Arial" w:eastAsia="Arial" w:hAnsi="Arial" w:cs="Arial"/>
        </w:rPr>
      </w:pPr>
      <w:r>
        <w:rPr>
          <w:rFonts w:ascii="Arial" w:eastAsia="Arial" w:hAnsi="Arial" w:cs="Arial"/>
        </w:rPr>
        <w:t>IČO:</w:t>
      </w:r>
      <w:r>
        <w:rPr>
          <w:rFonts w:ascii="Arial" w:eastAsia="Arial" w:hAnsi="Arial" w:cs="Arial"/>
        </w:rPr>
        <w:tab/>
        <w:t>00023272</w:t>
      </w:r>
      <w:r>
        <w:rPr>
          <w:rFonts w:ascii="Arial" w:eastAsia="Arial" w:hAnsi="Arial" w:cs="Arial"/>
        </w:rPr>
        <w:tab/>
      </w:r>
      <w:r>
        <w:rPr>
          <w:rFonts w:ascii="Arial" w:eastAsia="Arial" w:hAnsi="Arial" w:cs="Arial"/>
        </w:rPr>
        <w:tab/>
        <w:t xml:space="preserve">DIČ: </w:t>
      </w:r>
      <w:r>
        <w:rPr>
          <w:rFonts w:ascii="Arial" w:eastAsia="Arial" w:hAnsi="Arial" w:cs="Arial"/>
        </w:rPr>
        <w:tab/>
      </w:r>
      <w:r>
        <w:rPr>
          <w:rFonts w:ascii="Arial" w:eastAsia="Arial" w:hAnsi="Arial" w:cs="Arial"/>
        </w:rPr>
        <w:tab/>
      </w:r>
      <w:r>
        <w:rPr>
          <w:rFonts w:ascii="Arial" w:eastAsia="Arial" w:hAnsi="Arial" w:cs="Arial"/>
        </w:rPr>
        <w:tab/>
      </w:r>
    </w:p>
    <w:p w14:paraId="5C766575" w14:textId="016962BF" w:rsidR="002668FF" w:rsidRDefault="002668FF" w:rsidP="002668FF">
      <w:pPr>
        <w:spacing w:after="0"/>
        <w:ind w:left="2124" w:hanging="2124"/>
        <w:jc w:val="both"/>
        <w:rPr>
          <w:rFonts w:ascii="Arial" w:eastAsia="Arial" w:hAnsi="Arial" w:cs="Arial"/>
        </w:rPr>
      </w:pPr>
      <w:r>
        <w:rPr>
          <w:rFonts w:ascii="Arial" w:eastAsia="Arial" w:hAnsi="Arial" w:cs="Arial"/>
        </w:rPr>
        <w:t>kterou zastupuje:</w:t>
      </w:r>
      <w:r>
        <w:rPr>
          <w:rFonts w:ascii="Arial" w:eastAsia="Arial" w:hAnsi="Arial" w:cs="Arial"/>
        </w:rPr>
        <w:tab/>
      </w:r>
      <w:r w:rsidR="004349CA">
        <w:rPr>
          <w:rFonts w:ascii="Arial" w:eastAsia="Arial" w:hAnsi="Arial" w:cs="Arial"/>
        </w:rPr>
        <w:t>Ing. Rudolf Pohl, provozní náměstek</w:t>
      </w:r>
    </w:p>
    <w:p w14:paraId="451F31FD" w14:textId="4F3D4DFA" w:rsidR="002668FF" w:rsidRDefault="002668FF" w:rsidP="002668FF">
      <w:pPr>
        <w:spacing w:after="0"/>
        <w:ind w:left="2124" w:hanging="2124"/>
        <w:jc w:val="both"/>
        <w:rPr>
          <w:rFonts w:ascii="Arial" w:eastAsia="Arial" w:hAnsi="Arial" w:cs="Arial"/>
        </w:rPr>
      </w:pPr>
      <w:r>
        <w:rPr>
          <w:rFonts w:ascii="Arial" w:eastAsia="Arial" w:hAnsi="Arial" w:cs="Arial"/>
        </w:rPr>
        <w:t>kontaktní osoba:</w:t>
      </w:r>
      <w:r>
        <w:rPr>
          <w:rFonts w:ascii="Arial" w:eastAsia="Arial" w:hAnsi="Arial" w:cs="Arial"/>
        </w:rPr>
        <w:tab/>
      </w:r>
      <w:r w:rsidR="00307982">
        <w:rPr>
          <w:rFonts w:ascii="Arial" w:eastAsia="Arial" w:hAnsi="Arial" w:cs="Arial"/>
        </w:rPr>
        <w:t>XXXXXXXXXXX XXXXXXXXXXXXX XXXXXXXXXX</w:t>
      </w:r>
    </w:p>
    <w:p w14:paraId="0000000C" w14:textId="2FE88612" w:rsidR="00DF1A6D" w:rsidRDefault="00A46B68">
      <w:pPr>
        <w:spacing w:after="240"/>
        <w:jc w:val="both"/>
        <w:rPr>
          <w:rFonts w:ascii="Arial" w:eastAsia="Arial" w:hAnsi="Arial" w:cs="Arial"/>
        </w:rPr>
      </w:pPr>
      <w:r>
        <w:rPr>
          <w:rFonts w:ascii="Arial" w:eastAsia="Arial" w:hAnsi="Arial" w:cs="Arial"/>
        </w:rPr>
        <w:t xml:space="preserve">bankovní spojení: </w:t>
      </w:r>
      <w:r>
        <w:rPr>
          <w:rFonts w:ascii="Arial" w:eastAsia="Arial" w:hAnsi="Arial" w:cs="Arial"/>
        </w:rPr>
        <w:tab/>
      </w:r>
      <w:r w:rsidR="00307982">
        <w:rPr>
          <w:rFonts w:ascii="Arial" w:eastAsia="Arial" w:hAnsi="Arial" w:cs="Arial"/>
        </w:rPr>
        <w:t>XXXXXXXXXXX</w:t>
      </w:r>
    </w:p>
    <w:p w14:paraId="0000000D" w14:textId="77777777" w:rsidR="00DF1A6D" w:rsidRDefault="00A46B68">
      <w:pPr>
        <w:spacing w:after="240"/>
        <w:rPr>
          <w:rFonts w:ascii="Arial" w:eastAsia="Arial" w:hAnsi="Arial" w:cs="Arial"/>
        </w:rPr>
      </w:pPr>
      <w:r>
        <w:rPr>
          <w:rFonts w:ascii="Arial" w:eastAsia="Arial" w:hAnsi="Arial" w:cs="Arial"/>
        </w:rPr>
        <w:t>(dále jen „</w:t>
      </w:r>
      <w:r>
        <w:rPr>
          <w:rFonts w:ascii="Arial" w:eastAsia="Arial" w:hAnsi="Arial" w:cs="Arial"/>
          <w:b/>
        </w:rPr>
        <w:t>objednatel</w:t>
      </w:r>
      <w:r>
        <w:rPr>
          <w:rFonts w:ascii="Arial" w:eastAsia="Arial" w:hAnsi="Arial" w:cs="Arial"/>
        </w:rPr>
        <w:t>“)</w:t>
      </w:r>
    </w:p>
    <w:p w14:paraId="0000000E" w14:textId="77777777" w:rsidR="00DF1A6D" w:rsidRDefault="00A46B68">
      <w:pPr>
        <w:spacing w:after="240" w:line="240" w:lineRule="auto"/>
        <w:rPr>
          <w:rFonts w:ascii="Arial" w:eastAsia="Arial" w:hAnsi="Arial" w:cs="Arial"/>
        </w:rPr>
      </w:pPr>
      <w:r>
        <w:rPr>
          <w:rFonts w:ascii="Arial" w:eastAsia="Arial" w:hAnsi="Arial" w:cs="Arial"/>
        </w:rPr>
        <w:t>a</w:t>
      </w:r>
    </w:p>
    <w:p w14:paraId="0000000F" w14:textId="77777777" w:rsidR="00DF1A6D" w:rsidRDefault="00A46B68">
      <w:pPr>
        <w:spacing w:after="240" w:line="240" w:lineRule="auto"/>
        <w:rPr>
          <w:rFonts w:ascii="Arial" w:eastAsia="Arial" w:hAnsi="Arial" w:cs="Arial"/>
          <w:b/>
        </w:rPr>
      </w:pPr>
      <w:r>
        <w:rPr>
          <w:rFonts w:ascii="Arial" w:eastAsia="Arial" w:hAnsi="Arial" w:cs="Arial"/>
          <w:b/>
        </w:rPr>
        <w:t>Revidováno s.r.o.</w:t>
      </w:r>
    </w:p>
    <w:p w14:paraId="28D8FF85" w14:textId="77777777" w:rsidR="0000355B" w:rsidRDefault="0000355B" w:rsidP="0000355B">
      <w:pPr>
        <w:spacing w:after="240" w:line="240" w:lineRule="auto"/>
        <w:rPr>
          <w:rFonts w:ascii="Arial" w:eastAsia="Arial" w:hAnsi="Arial" w:cs="Arial"/>
        </w:rPr>
      </w:pPr>
      <w:r>
        <w:rPr>
          <w:rFonts w:ascii="Arial" w:eastAsia="Arial" w:hAnsi="Arial" w:cs="Arial"/>
        </w:rPr>
        <w:t>společnost je zapsaná v Obchodním rejstříku vedeném Krajským soudem v Hradci Králové, oddíl C, vložka č. 46716</w:t>
      </w:r>
    </w:p>
    <w:p w14:paraId="7E527850" w14:textId="77777777" w:rsidR="002668FF" w:rsidRDefault="002668FF" w:rsidP="002668FF">
      <w:pPr>
        <w:spacing w:after="0" w:line="240" w:lineRule="auto"/>
        <w:rPr>
          <w:rFonts w:ascii="Arial" w:eastAsia="Arial" w:hAnsi="Arial" w:cs="Arial"/>
        </w:rPr>
      </w:pPr>
      <w:r>
        <w:rPr>
          <w:rFonts w:ascii="Arial" w:eastAsia="Arial" w:hAnsi="Arial" w:cs="Arial"/>
        </w:rPr>
        <w:t>se sídlem:</w:t>
      </w:r>
      <w:r>
        <w:rPr>
          <w:rFonts w:ascii="Arial" w:eastAsia="Arial" w:hAnsi="Arial" w:cs="Arial"/>
        </w:rPr>
        <w:tab/>
      </w:r>
      <w:r>
        <w:rPr>
          <w:rFonts w:ascii="Arial" w:eastAsia="Arial" w:hAnsi="Arial" w:cs="Arial"/>
        </w:rPr>
        <w:tab/>
        <w:t>Modlíkov 39, 582 22 Modlíkov</w:t>
      </w:r>
    </w:p>
    <w:p w14:paraId="3CDE89BA" w14:textId="77777777" w:rsidR="002668FF" w:rsidRDefault="002668FF" w:rsidP="002668FF">
      <w:pPr>
        <w:spacing w:after="0" w:line="240" w:lineRule="auto"/>
        <w:rPr>
          <w:rFonts w:ascii="Arial" w:eastAsia="Arial" w:hAnsi="Arial" w:cs="Arial"/>
        </w:rPr>
      </w:pPr>
      <w:r>
        <w:rPr>
          <w:rFonts w:ascii="Arial" w:eastAsia="Arial" w:hAnsi="Arial" w:cs="Arial"/>
        </w:rPr>
        <w:t>IČO:</w:t>
      </w:r>
      <w:r>
        <w:rPr>
          <w:rFonts w:ascii="Arial" w:eastAsia="Arial" w:hAnsi="Arial" w:cs="Arial"/>
        </w:rPr>
        <w:tab/>
      </w:r>
      <w:r>
        <w:rPr>
          <w:rFonts w:ascii="Arial" w:eastAsia="Arial" w:hAnsi="Arial" w:cs="Arial"/>
        </w:rPr>
        <w:tab/>
      </w:r>
      <w:r>
        <w:rPr>
          <w:rFonts w:ascii="Arial" w:eastAsia="Arial" w:hAnsi="Arial" w:cs="Arial"/>
        </w:rPr>
        <w:tab/>
        <w:t>09706631</w:t>
      </w:r>
    </w:p>
    <w:p w14:paraId="4056775E" w14:textId="77777777" w:rsidR="002668FF" w:rsidRDefault="002668FF" w:rsidP="002668FF">
      <w:pPr>
        <w:spacing w:after="0" w:line="240" w:lineRule="auto"/>
        <w:rPr>
          <w:rFonts w:ascii="Arial" w:eastAsia="Arial" w:hAnsi="Arial" w:cs="Arial"/>
        </w:rPr>
      </w:pPr>
      <w:r>
        <w:rPr>
          <w:rFonts w:ascii="Arial" w:eastAsia="Arial" w:hAnsi="Arial" w:cs="Arial"/>
        </w:rPr>
        <w:t>DIČ:</w:t>
      </w:r>
      <w:r>
        <w:rPr>
          <w:rFonts w:ascii="Arial" w:eastAsia="Arial" w:hAnsi="Arial" w:cs="Arial"/>
        </w:rPr>
        <w:tab/>
      </w:r>
      <w:r>
        <w:rPr>
          <w:rFonts w:ascii="Arial" w:eastAsia="Arial" w:hAnsi="Arial" w:cs="Arial"/>
        </w:rPr>
        <w:tab/>
      </w:r>
      <w:r>
        <w:rPr>
          <w:rFonts w:ascii="Arial" w:eastAsia="Arial" w:hAnsi="Arial" w:cs="Arial"/>
        </w:rPr>
        <w:tab/>
        <w:t xml:space="preserve">CZ09706631 </w:t>
      </w:r>
    </w:p>
    <w:p w14:paraId="00000010" w14:textId="77777777" w:rsidR="00DF1A6D" w:rsidRDefault="00A46B68">
      <w:pPr>
        <w:spacing w:after="0" w:line="240" w:lineRule="auto"/>
        <w:ind w:left="2127" w:hanging="2127"/>
        <w:rPr>
          <w:rFonts w:ascii="Arial" w:eastAsia="Arial" w:hAnsi="Arial" w:cs="Arial"/>
        </w:rPr>
      </w:pPr>
      <w:r>
        <w:rPr>
          <w:rFonts w:ascii="Arial" w:eastAsia="Arial" w:hAnsi="Arial" w:cs="Arial"/>
        </w:rPr>
        <w:t>kterou zastupuje:</w:t>
      </w:r>
      <w:r>
        <w:rPr>
          <w:rFonts w:ascii="Arial" w:eastAsia="Arial" w:hAnsi="Arial" w:cs="Arial"/>
        </w:rPr>
        <w:tab/>
        <w:t xml:space="preserve">Karel Kokoška, na základě pozice jednatele </w:t>
      </w:r>
    </w:p>
    <w:p w14:paraId="00000011" w14:textId="4E99BBAC" w:rsidR="00DF1A6D" w:rsidRDefault="00A46B68">
      <w:pPr>
        <w:spacing w:after="0" w:line="240" w:lineRule="auto"/>
        <w:ind w:left="2127" w:hanging="2127"/>
        <w:rPr>
          <w:rFonts w:ascii="Arial" w:eastAsia="Arial" w:hAnsi="Arial" w:cs="Arial"/>
        </w:rPr>
      </w:pPr>
      <w:r>
        <w:rPr>
          <w:rFonts w:ascii="Arial" w:eastAsia="Arial" w:hAnsi="Arial" w:cs="Arial"/>
        </w:rPr>
        <w:t>kontaktní osoba:</w:t>
      </w:r>
      <w:r>
        <w:rPr>
          <w:rFonts w:ascii="Arial" w:eastAsia="Arial" w:hAnsi="Arial" w:cs="Arial"/>
        </w:rPr>
        <w:tab/>
      </w:r>
      <w:r w:rsidR="0038549C">
        <w:rPr>
          <w:rFonts w:ascii="Arial" w:eastAsia="Arial" w:hAnsi="Arial" w:cs="Arial"/>
        </w:rPr>
        <w:t>XXXXXXXXXXXXX, XXXXXXXXXXXXXX, XXXXXXXXXXXXXX, XXXXXX</w:t>
      </w:r>
    </w:p>
    <w:p w14:paraId="00000015" w14:textId="5915F09C" w:rsidR="00DF1A6D" w:rsidRDefault="00A46B68">
      <w:pPr>
        <w:spacing w:after="0" w:line="240" w:lineRule="auto"/>
        <w:rPr>
          <w:rFonts w:ascii="Arial" w:eastAsia="Arial" w:hAnsi="Arial" w:cs="Arial"/>
        </w:rPr>
      </w:pPr>
      <w:r>
        <w:rPr>
          <w:rFonts w:ascii="Arial" w:eastAsia="Arial" w:hAnsi="Arial" w:cs="Arial"/>
        </w:rPr>
        <w:t>bankovní spojení:</w:t>
      </w:r>
      <w:r>
        <w:rPr>
          <w:rFonts w:ascii="Arial" w:eastAsia="Arial" w:hAnsi="Arial" w:cs="Arial"/>
        </w:rPr>
        <w:tab/>
      </w:r>
      <w:r w:rsidR="0038549C">
        <w:rPr>
          <w:rFonts w:ascii="Arial" w:eastAsia="Arial" w:hAnsi="Arial" w:cs="Arial"/>
        </w:rPr>
        <w:t>XXXXXXXXXXXXX, XXXXXXXXXXXXXX</w:t>
      </w:r>
    </w:p>
    <w:p w14:paraId="00000017" w14:textId="77777777" w:rsidR="00DF1A6D" w:rsidRDefault="00A46B68">
      <w:pPr>
        <w:spacing w:after="240" w:line="240" w:lineRule="auto"/>
        <w:rPr>
          <w:rFonts w:ascii="Arial" w:eastAsia="Arial" w:hAnsi="Arial" w:cs="Arial"/>
        </w:rPr>
      </w:pPr>
      <w:r>
        <w:rPr>
          <w:rFonts w:ascii="Arial" w:eastAsia="Arial" w:hAnsi="Arial" w:cs="Arial"/>
        </w:rPr>
        <w:t>(dále jen „</w:t>
      </w:r>
      <w:r>
        <w:rPr>
          <w:rFonts w:ascii="Arial" w:eastAsia="Arial" w:hAnsi="Arial" w:cs="Arial"/>
          <w:b/>
        </w:rPr>
        <w:t>poskytovatel</w:t>
      </w:r>
      <w:r>
        <w:rPr>
          <w:rFonts w:ascii="Arial" w:eastAsia="Arial" w:hAnsi="Arial" w:cs="Arial"/>
        </w:rPr>
        <w:t>“).</w:t>
      </w:r>
    </w:p>
    <w:p w14:paraId="00000018" w14:textId="120E9FD8" w:rsidR="00DF1A6D" w:rsidRDefault="00A46B68">
      <w:pPr>
        <w:spacing w:after="240"/>
        <w:jc w:val="both"/>
        <w:rPr>
          <w:rFonts w:ascii="Arial" w:eastAsia="Arial" w:hAnsi="Arial" w:cs="Arial"/>
        </w:rPr>
      </w:pPr>
      <w:r>
        <w:rPr>
          <w:rFonts w:ascii="Arial" w:eastAsia="Arial" w:hAnsi="Arial" w:cs="Arial"/>
        </w:rPr>
        <w:t>uzavřely níže uvedeného dne, měsíce a roku v souladu s nabídkou p</w:t>
      </w:r>
      <w:r w:rsidR="0078577D">
        <w:rPr>
          <w:rFonts w:ascii="Arial" w:eastAsia="Arial" w:hAnsi="Arial" w:cs="Arial"/>
        </w:rPr>
        <w:t>oskytovatele</w:t>
      </w:r>
      <w:r>
        <w:rPr>
          <w:rFonts w:ascii="Arial" w:eastAsia="Arial" w:hAnsi="Arial" w:cs="Arial"/>
        </w:rPr>
        <w:t xml:space="preserve"> (dále jen „nabídka“) a rozhodnutím </w:t>
      </w:r>
      <w:r w:rsidR="00D767C4">
        <w:rPr>
          <w:rFonts w:ascii="Arial" w:eastAsia="Arial" w:hAnsi="Arial" w:cs="Arial"/>
        </w:rPr>
        <w:t>objednatele</w:t>
      </w:r>
      <w:r>
        <w:rPr>
          <w:rFonts w:ascii="Arial" w:eastAsia="Arial" w:hAnsi="Arial" w:cs="Arial"/>
        </w:rPr>
        <w:t xml:space="preserve"> jako zadavatele o výběru nejvýhodnější nabídky ve výběrovém řízení veřejné zakázky </w:t>
      </w:r>
      <w:r w:rsidR="001725AE">
        <w:rPr>
          <w:rFonts w:ascii="Arial" w:eastAsia="Arial" w:hAnsi="Arial" w:cs="Arial"/>
        </w:rPr>
        <w:t>N006/26/V00000730</w:t>
      </w:r>
      <w:r>
        <w:rPr>
          <w:rFonts w:ascii="Arial" w:eastAsia="Arial" w:hAnsi="Arial" w:cs="Arial"/>
        </w:rPr>
        <w:t xml:space="preserve"> s názvem „</w:t>
      </w:r>
      <w:r w:rsidR="001725AE">
        <w:rPr>
          <w:rFonts w:ascii="Arial" w:eastAsia="Arial" w:hAnsi="Arial" w:cs="Arial"/>
        </w:rPr>
        <w:t>Periodické revize elektrických spotřebičů v objektech NM</w:t>
      </w:r>
      <w:r>
        <w:rPr>
          <w:rFonts w:ascii="Arial" w:eastAsia="Arial" w:hAnsi="Arial" w:cs="Arial"/>
        </w:rPr>
        <w:t xml:space="preserve"> ” tuto smlouvu o poskytování služeb (dále jen „smlouva“).</w:t>
      </w:r>
    </w:p>
    <w:p w14:paraId="00000019" w14:textId="77777777" w:rsidR="00DF1A6D" w:rsidRDefault="00A46B68">
      <w:pPr>
        <w:spacing w:after="240"/>
        <w:jc w:val="both"/>
        <w:rPr>
          <w:rFonts w:ascii="Arial" w:eastAsia="Arial" w:hAnsi="Arial" w:cs="Arial"/>
        </w:rPr>
      </w:pPr>
      <w:r>
        <w:rPr>
          <w:rFonts w:ascii="Arial" w:eastAsia="Arial" w:hAnsi="Arial" w:cs="Arial"/>
        </w:rPr>
        <w:t>Plnění této smlouvy je veřejnou zakázkou malého rozsahu dle § 27 zákona č. 134/2016 Sb., o zadávání veřejných zakázek, ve znění pozdějších předpisů (dále jen „ZZVZ“).</w:t>
      </w:r>
    </w:p>
    <w:p w14:paraId="0000001A" w14:textId="77777777" w:rsidR="00DF1A6D" w:rsidRDefault="00A46B68" w:rsidP="00D31979">
      <w:pPr>
        <w:pStyle w:val="Nadpis4"/>
        <w:numPr>
          <w:ilvl w:val="0"/>
          <w:numId w:val="10"/>
        </w:numPr>
        <w:ind w:left="0" w:firstLine="0"/>
      </w:pPr>
      <w:r>
        <w:br/>
        <w:t>Předmět smlouvy</w:t>
      </w:r>
    </w:p>
    <w:p w14:paraId="0000001B" w14:textId="12EFFE7E" w:rsidR="00DF1A6D" w:rsidRDefault="00A46B68">
      <w:pPr>
        <w:numPr>
          <w:ilvl w:val="0"/>
          <w:numId w:val="8"/>
        </w:numPr>
        <w:pBdr>
          <w:top w:val="nil"/>
          <w:left w:val="nil"/>
          <w:bottom w:val="nil"/>
          <w:right w:val="nil"/>
          <w:between w:val="nil"/>
        </w:pBdr>
        <w:spacing w:after="120" w:line="240" w:lineRule="auto"/>
        <w:ind w:left="426" w:hanging="437"/>
        <w:jc w:val="both"/>
        <w:rPr>
          <w:rFonts w:ascii="Arial" w:eastAsia="Arial" w:hAnsi="Arial" w:cs="Arial"/>
          <w:color w:val="000000"/>
        </w:rPr>
      </w:pPr>
      <w:r>
        <w:rPr>
          <w:rFonts w:ascii="Arial" w:eastAsia="Arial" w:hAnsi="Arial" w:cs="Arial"/>
          <w:color w:val="000000"/>
        </w:rPr>
        <w:t>Předmětem této smlouvy je závazek poskytovatele provádět revize přenosných elektrických zařízení a pohyblivých přívodů (dále také jen „zařízení“) v objednatelem stanovených</w:t>
      </w:r>
      <w:r w:rsidR="00D31979">
        <w:rPr>
          <w:rFonts w:ascii="Arial" w:eastAsia="Arial" w:hAnsi="Arial" w:cs="Arial"/>
          <w:color w:val="000000"/>
        </w:rPr>
        <w:t xml:space="preserve"> </w:t>
      </w:r>
      <w:r>
        <w:rPr>
          <w:rFonts w:ascii="Arial" w:eastAsia="Arial" w:hAnsi="Arial" w:cs="Arial"/>
          <w:color w:val="000000"/>
        </w:rPr>
        <w:t xml:space="preserve">objektech </w:t>
      </w:r>
      <w:r w:rsidR="0082778C">
        <w:rPr>
          <w:rFonts w:ascii="Arial" w:eastAsia="Arial" w:hAnsi="Arial" w:cs="Arial"/>
          <w:color w:val="000000"/>
        </w:rPr>
        <w:t>(viz. příloha č. 1)</w:t>
      </w:r>
      <w:r>
        <w:rPr>
          <w:rFonts w:ascii="Arial" w:eastAsia="Arial" w:hAnsi="Arial" w:cs="Arial"/>
          <w:color w:val="000000"/>
        </w:rPr>
        <w:t>, vše dle požadavku zákona č.</w:t>
      </w:r>
      <w:r w:rsidR="00D31979">
        <w:rPr>
          <w:rFonts w:ascii="Arial" w:eastAsia="Arial" w:hAnsi="Arial" w:cs="Arial"/>
          <w:color w:val="000000"/>
        </w:rPr>
        <w:t xml:space="preserve"> </w:t>
      </w:r>
      <w:r>
        <w:rPr>
          <w:rFonts w:ascii="Arial" w:eastAsia="Arial" w:hAnsi="Arial" w:cs="Arial"/>
          <w:color w:val="000000"/>
        </w:rPr>
        <w:t>309/2006 Sb., o zajištění dalších podmínek bezpečnosti a ochrany zdraví při práci, ve</w:t>
      </w:r>
      <w:r w:rsidR="007F5DA1">
        <w:rPr>
          <w:rFonts w:ascii="Arial" w:eastAsia="Arial" w:hAnsi="Arial" w:cs="Arial"/>
          <w:color w:val="000000"/>
        </w:rPr>
        <w:t xml:space="preserve"> </w:t>
      </w:r>
      <w:r>
        <w:rPr>
          <w:rFonts w:ascii="Arial" w:eastAsia="Arial" w:hAnsi="Arial" w:cs="Arial"/>
          <w:color w:val="000000"/>
        </w:rPr>
        <w:t>znění pozdějších předpisů, v návaznosti na zákon č.</w:t>
      </w:r>
      <w:r w:rsidR="007F5DA1">
        <w:rPr>
          <w:rFonts w:ascii="Arial" w:eastAsia="Arial" w:hAnsi="Arial" w:cs="Arial"/>
          <w:color w:val="000000"/>
        </w:rPr>
        <w:t xml:space="preserve"> </w:t>
      </w:r>
      <w:r>
        <w:rPr>
          <w:rFonts w:ascii="Arial" w:eastAsia="Arial" w:hAnsi="Arial" w:cs="Arial"/>
          <w:color w:val="000000"/>
        </w:rPr>
        <w:t>262/2006 Sb., zákoník práce, ve znění pozdějších předpisů, ve smyslu nařízení vlády ČR č.</w:t>
      </w:r>
      <w:r w:rsidR="007F5DA1">
        <w:rPr>
          <w:rFonts w:ascii="Arial" w:eastAsia="Arial" w:hAnsi="Arial" w:cs="Arial"/>
          <w:color w:val="000000"/>
        </w:rPr>
        <w:t xml:space="preserve"> </w:t>
      </w:r>
      <w:r>
        <w:rPr>
          <w:rFonts w:ascii="Arial" w:eastAsia="Arial" w:hAnsi="Arial" w:cs="Arial"/>
          <w:color w:val="000000"/>
        </w:rPr>
        <w:lastRenderedPageBreak/>
        <w:t>378/2001 Sb., kterým se stanoví bližší požadavky na</w:t>
      </w:r>
      <w:r w:rsidR="007F5DA1">
        <w:rPr>
          <w:rFonts w:ascii="Arial" w:eastAsia="Arial" w:hAnsi="Arial" w:cs="Arial"/>
          <w:color w:val="000000"/>
        </w:rPr>
        <w:t xml:space="preserve"> </w:t>
      </w:r>
      <w:r>
        <w:rPr>
          <w:rFonts w:ascii="Arial" w:eastAsia="Arial" w:hAnsi="Arial" w:cs="Arial"/>
          <w:color w:val="000000"/>
        </w:rPr>
        <w:t xml:space="preserve">bezpečný provoz a používání strojů, technických zařízení, přístrojů a nářadí, v rozsahu ČSN 33 1600 </w:t>
      </w:r>
      <w:proofErr w:type="spellStart"/>
      <w:r>
        <w:rPr>
          <w:rFonts w:ascii="Arial" w:eastAsia="Arial" w:hAnsi="Arial" w:cs="Arial"/>
          <w:color w:val="000000"/>
        </w:rPr>
        <w:t>ed</w:t>
      </w:r>
      <w:proofErr w:type="spellEnd"/>
      <w:r>
        <w:rPr>
          <w:rFonts w:ascii="Arial" w:eastAsia="Arial" w:hAnsi="Arial" w:cs="Arial"/>
          <w:color w:val="000000"/>
        </w:rPr>
        <w:t>. 2 (dále také jen „služby“ nebo „revize“), a</w:t>
      </w:r>
      <w:r w:rsidR="007F5DA1">
        <w:rPr>
          <w:rFonts w:ascii="Arial" w:eastAsia="Arial" w:hAnsi="Arial" w:cs="Arial"/>
          <w:color w:val="000000"/>
        </w:rPr>
        <w:t xml:space="preserve"> </w:t>
      </w:r>
      <w:r>
        <w:rPr>
          <w:rFonts w:ascii="Arial" w:eastAsia="Arial" w:hAnsi="Arial" w:cs="Arial"/>
          <w:color w:val="000000"/>
        </w:rPr>
        <w:t>dále závazek objednatele za řádně a včas poskytnuté služby zaplatit poskytovateli sjednanou cenu.</w:t>
      </w:r>
    </w:p>
    <w:p w14:paraId="0000001C" w14:textId="77777777" w:rsidR="00DF1A6D" w:rsidRDefault="00A46B68">
      <w:pPr>
        <w:numPr>
          <w:ilvl w:val="0"/>
          <w:numId w:val="8"/>
        </w:numPr>
        <w:pBdr>
          <w:top w:val="nil"/>
          <w:left w:val="nil"/>
          <w:bottom w:val="nil"/>
          <w:right w:val="nil"/>
          <w:between w:val="nil"/>
        </w:pBdr>
        <w:spacing w:after="240" w:line="240" w:lineRule="auto"/>
        <w:ind w:left="426" w:hanging="426"/>
        <w:jc w:val="both"/>
        <w:rPr>
          <w:rFonts w:ascii="Arial" w:eastAsia="Arial" w:hAnsi="Arial" w:cs="Arial"/>
          <w:color w:val="000000"/>
        </w:rPr>
      </w:pPr>
      <w:r>
        <w:rPr>
          <w:rFonts w:ascii="Arial" w:eastAsia="Arial" w:hAnsi="Arial" w:cs="Arial"/>
          <w:color w:val="000000"/>
        </w:rPr>
        <w:t xml:space="preserve">Zařízení určená k revizi spadají do skupin zatříděných do kategorií dle ČSN 33 1600 </w:t>
      </w:r>
      <w:proofErr w:type="spellStart"/>
      <w:r>
        <w:rPr>
          <w:rFonts w:ascii="Arial" w:eastAsia="Arial" w:hAnsi="Arial" w:cs="Arial"/>
          <w:color w:val="000000"/>
        </w:rPr>
        <w:t>ed</w:t>
      </w:r>
      <w:proofErr w:type="spellEnd"/>
      <w:r>
        <w:rPr>
          <w:rFonts w:ascii="Arial" w:eastAsia="Arial" w:hAnsi="Arial" w:cs="Arial"/>
          <w:color w:val="000000"/>
        </w:rPr>
        <w:t xml:space="preserve">. 2, přičemž lhůty jejich pravidelných revizí vycházejí z téže normy, tj. ČSN 33 1600 </w:t>
      </w:r>
      <w:proofErr w:type="spellStart"/>
      <w:r>
        <w:rPr>
          <w:rFonts w:ascii="Arial" w:eastAsia="Arial" w:hAnsi="Arial" w:cs="Arial"/>
          <w:color w:val="000000"/>
        </w:rPr>
        <w:t>ed</w:t>
      </w:r>
      <w:proofErr w:type="spellEnd"/>
      <w:r>
        <w:rPr>
          <w:rFonts w:ascii="Arial" w:eastAsia="Arial" w:hAnsi="Arial" w:cs="Arial"/>
          <w:color w:val="000000"/>
        </w:rPr>
        <w:t>. 2.</w:t>
      </w:r>
    </w:p>
    <w:p w14:paraId="0000001E" w14:textId="77777777" w:rsidR="00DF1A6D" w:rsidRDefault="00A46B68">
      <w:pPr>
        <w:numPr>
          <w:ilvl w:val="0"/>
          <w:numId w:val="8"/>
        </w:numPr>
        <w:pBdr>
          <w:top w:val="nil"/>
          <w:left w:val="nil"/>
          <w:bottom w:val="nil"/>
          <w:right w:val="nil"/>
          <w:between w:val="nil"/>
        </w:pBdr>
        <w:spacing w:after="120" w:line="240" w:lineRule="auto"/>
        <w:ind w:left="426" w:hanging="437"/>
        <w:jc w:val="both"/>
        <w:rPr>
          <w:rFonts w:ascii="Arial" w:eastAsia="Arial" w:hAnsi="Arial" w:cs="Arial"/>
          <w:color w:val="000000"/>
        </w:rPr>
      </w:pPr>
      <w:r>
        <w:rPr>
          <w:rFonts w:ascii="Arial" w:eastAsia="Arial" w:hAnsi="Arial" w:cs="Arial"/>
          <w:color w:val="000000"/>
        </w:rPr>
        <w:t>Součástí plnění veřejné zakázky jsou i objednatelem vyžádané revize, které slouží k posouzení stavu zařízení, které je nefunkční, vykazuje známky poškození nebo jiné poruchy, a to v období mimo pravidelnou revizi, na základě výzvy objednatele.</w:t>
      </w:r>
    </w:p>
    <w:p w14:paraId="0000001F" w14:textId="77777777" w:rsidR="00DF1A6D" w:rsidRPr="001A0E04" w:rsidRDefault="00DF1A6D">
      <w:pPr>
        <w:pBdr>
          <w:top w:val="nil"/>
          <w:left w:val="nil"/>
          <w:bottom w:val="nil"/>
          <w:right w:val="nil"/>
          <w:between w:val="nil"/>
        </w:pBdr>
        <w:spacing w:after="120" w:line="240" w:lineRule="auto"/>
        <w:ind w:left="426"/>
        <w:jc w:val="both"/>
        <w:rPr>
          <w:rFonts w:ascii="Arial" w:hAnsi="Arial" w:cs="Arial"/>
          <w:color w:val="000000"/>
        </w:rPr>
      </w:pPr>
    </w:p>
    <w:p w14:paraId="00000020" w14:textId="77777777" w:rsidR="00DF1A6D" w:rsidRDefault="00A46B68" w:rsidP="001A0E04">
      <w:pPr>
        <w:pStyle w:val="Nadpis4"/>
        <w:numPr>
          <w:ilvl w:val="0"/>
          <w:numId w:val="10"/>
        </w:numPr>
        <w:ind w:left="0" w:firstLine="0"/>
      </w:pPr>
      <w:r>
        <w:br/>
        <w:t>Doba a místo plnění</w:t>
      </w:r>
    </w:p>
    <w:p w14:paraId="00000021" w14:textId="77777777" w:rsidR="00DF1A6D" w:rsidRDefault="00A46B68">
      <w:pPr>
        <w:numPr>
          <w:ilvl w:val="0"/>
          <w:numId w:val="7"/>
        </w:numPr>
        <w:spacing w:after="240" w:line="240" w:lineRule="auto"/>
        <w:ind w:left="426" w:hanging="426"/>
        <w:jc w:val="both"/>
        <w:rPr>
          <w:rFonts w:ascii="Arial" w:eastAsia="Arial" w:hAnsi="Arial" w:cs="Arial"/>
        </w:rPr>
      </w:pPr>
      <w:r>
        <w:rPr>
          <w:rFonts w:ascii="Arial" w:eastAsia="Arial" w:hAnsi="Arial" w:cs="Arial"/>
        </w:rPr>
        <w:t>Plnění bude poskytovatelem poskytováno ode dne účinnosti smlouvy.</w:t>
      </w:r>
    </w:p>
    <w:p w14:paraId="00000022" w14:textId="5616DFF5" w:rsidR="00DF1A6D" w:rsidRDefault="00A46B68" w:rsidP="00524D18">
      <w:pPr>
        <w:spacing w:after="240" w:line="240" w:lineRule="auto"/>
        <w:ind w:left="425" w:firstLine="1"/>
        <w:jc w:val="both"/>
        <w:rPr>
          <w:rFonts w:ascii="Arial" w:eastAsia="Arial" w:hAnsi="Arial" w:cs="Arial"/>
        </w:rPr>
      </w:pPr>
      <w:r>
        <w:rPr>
          <w:rFonts w:ascii="Arial" w:eastAsia="Arial" w:hAnsi="Arial" w:cs="Arial"/>
        </w:rPr>
        <w:t xml:space="preserve">Tato smlouva se uzavírá na dobu určitou, a to od </w:t>
      </w:r>
      <w:r w:rsidR="000F7A7A">
        <w:rPr>
          <w:rFonts w:ascii="Arial" w:eastAsia="Arial" w:hAnsi="Arial" w:cs="Arial"/>
        </w:rPr>
        <w:t>uzavření této smlouvy</w:t>
      </w:r>
      <w:r>
        <w:rPr>
          <w:rFonts w:ascii="Arial" w:eastAsia="Arial" w:hAnsi="Arial" w:cs="Arial"/>
        </w:rPr>
        <w:t xml:space="preserve"> do </w:t>
      </w:r>
      <w:r w:rsidR="00DD393B">
        <w:rPr>
          <w:rFonts w:ascii="Arial" w:eastAsia="Arial" w:hAnsi="Arial" w:cs="Arial"/>
        </w:rPr>
        <w:t>31.12.2026</w:t>
      </w:r>
      <w:r>
        <w:rPr>
          <w:rFonts w:ascii="Arial" w:eastAsia="Arial" w:hAnsi="Arial" w:cs="Arial"/>
        </w:rPr>
        <w:t>.</w:t>
      </w:r>
    </w:p>
    <w:p w14:paraId="00000023" w14:textId="3B315137" w:rsidR="00DF1A6D" w:rsidRDefault="00524D18" w:rsidP="00524D18">
      <w:pPr>
        <w:spacing w:after="240" w:line="240" w:lineRule="auto"/>
        <w:ind w:left="426" w:hanging="426"/>
        <w:jc w:val="both"/>
        <w:rPr>
          <w:rFonts w:ascii="Arial" w:eastAsia="Arial" w:hAnsi="Arial" w:cs="Arial"/>
        </w:rPr>
      </w:pPr>
      <w:r>
        <w:rPr>
          <w:rFonts w:ascii="Arial" w:eastAsia="Arial" w:hAnsi="Arial" w:cs="Arial"/>
        </w:rPr>
        <w:t>2.</w:t>
      </w:r>
      <w:r>
        <w:rPr>
          <w:rFonts w:ascii="Arial" w:eastAsia="Arial" w:hAnsi="Arial" w:cs="Arial"/>
        </w:rPr>
        <w:tab/>
      </w:r>
      <w:r w:rsidR="00A46B68">
        <w:rPr>
          <w:rFonts w:ascii="Arial" w:eastAsia="Arial" w:hAnsi="Arial" w:cs="Arial"/>
        </w:rPr>
        <w:t xml:space="preserve">Místem plnění jsou objekty </w:t>
      </w:r>
      <w:r>
        <w:rPr>
          <w:rFonts w:ascii="Arial" w:eastAsia="Arial" w:hAnsi="Arial" w:cs="Arial"/>
        </w:rPr>
        <w:t>objednatele</w:t>
      </w:r>
      <w:r w:rsidR="00A46B68">
        <w:rPr>
          <w:rFonts w:ascii="Arial" w:eastAsia="Arial" w:hAnsi="Arial" w:cs="Arial"/>
        </w:rPr>
        <w:t xml:space="preserve"> na následujících adresách:</w:t>
      </w:r>
      <w:r w:rsidR="00EB71FE">
        <w:rPr>
          <w:rFonts w:ascii="Arial" w:eastAsia="Arial" w:hAnsi="Arial" w:cs="Arial"/>
        </w:rPr>
        <w:t xml:space="preserve"> (viz. příloha č. 1)</w:t>
      </w:r>
    </w:p>
    <w:p w14:paraId="00000026" w14:textId="3757D209" w:rsidR="00DF1A6D" w:rsidRPr="00EB71FE" w:rsidRDefault="00DF1A6D" w:rsidP="00EB71FE">
      <w:pPr>
        <w:spacing w:after="120" w:line="240" w:lineRule="auto"/>
        <w:jc w:val="both"/>
        <w:rPr>
          <w:rFonts w:ascii="Arial" w:eastAsia="Arial" w:hAnsi="Arial" w:cs="Arial"/>
        </w:rPr>
      </w:pPr>
    </w:p>
    <w:p w14:paraId="00000027" w14:textId="77777777" w:rsidR="00DF1A6D" w:rsidRDefault="00DF1A6D">
      <w:pPr>
        <w:spacing w:after="120" w:line="240" w:lineRule="auto"/>
        <w:ind w:left="1440"/>
        <w:jc w:val="both"/>
        <w:rPr>
          <w:rFonts w:ascii="Arial" w:eastAsia="Arial" w:hAnsi="Arial" w:cs="Arial"/>
        </w:rPr>
      </w:pPr>
    </w:p>
    <w:p w14:paraId="00000028" w14:textId="7A327C68" w:rsidR="00DF1A6D" w:rsidRDefault="00A46B68">
      <w:pPr>
        <w:spacing w:after="240" w:line="240" w:lineRule="auto"/>
        <w:ind w:left="567"/>
        <w:jc w:val="both"/>
        <w:rPr>
          <w:rFonts w:ascii="Arial" w:eastAsia="Arial" w:hAnsi="Arial" w:cs="Arial"/>
        </w:rPr>
      </w:pPr>
      <w:r>
        <w:rPr>
          <w:rFonts w:ascii="Arial" w:eastAsia="Arial" w:hAnsi="Arial" w:cs="Arial"/>
        </w:rPr>
        <w:t>případně další objekty v Praze a na území ČR, k nimž objednateli během účinnosti smlouvy vznikne p</w:t>
      </w:r>
      <w:r w:rsidR="00AA5407">
        <w:rPr>
          <w:rFonts w:ascii="Arial" w:eastAsia="Arial" w:hAnsi="Arial" w:cs="Arial"/>
        </w:rPr>
        <w:t xml:space="preserve">říslušnost </w:t>
      </w:r>
      <w:r>
        <w:rPr>
          <w:rFonts w:ascii="Arial" w:eastAsia="Arial" w:hAnsi="Arial" w:cs="Arial"/>
        </w:rPr>
        <w:t>hospodař</w:t>
      </w:r>
      <w:r w:rsidR="00AA5407">
        <w:rPr>
          <w:rFonts w:ascii="Arial" w:eastAsia="Arial" w:hAnsi="Arial" w:cs="Arial"/>
        </w:rPr>
        <w:t>it</w:t>
      </w:r>
      <w:r>
        <w:rPr>
          <w:rFonts w:ascii="Arial" w:eastAsia="Arial" w:hAnsi="Arial" w:cs="Arial"/>
        </w:rPr>
        <w:t xml:space="preserve"> nebo užívání (dále jen „objekty“).</w:t>
      </w:r>
    </w:p>
    <w:p w14:paraId="6F43A275" w14:textId="77777777" w:rsidR="00AA5407" w:rsidRDefault="00AA5407" w:rsidP="00AA5407">
      <w:pPr>
        <w:spacing w:after="240" w:line="240" w:lineRule="auto"/>
        <w:jc w:val="both"/>
        <w:rPr>
          <w:rFonts w:ascii="Arial" w:eastAsia="Arial" w:hAnsi="Arial" w:cs="Arial"/>
        </w:rPr>
      </w:pPr>
    </w:p>
    <w:p w14:paraId="00000029" w14:textId="77777777" w:rsidR="00DF1A6D" w:rsidRDefault="00A46B68" w:rsidP="00AA5407">
      <w:pPr>
        <w:pStyle w:val="Nadpis4"/>
        <w:numPr>
          <w:ilvl w:val="0"/>
          <w:numId w:val="10"/>
        </w:numPr>
        <w:ind w:left="0"/>
      </w:pPr>
      <w:r>
        <w:br/>
        <w:t>Cena a platební podmínky</w:t>
      </w:r>
    </w:p>
    <w:p w14:paraId="0000002A" w14:textId="77777777" w:rsidR="00DF1A6D" w:rsidRDefault="00A46B68">
      <w:pPr>
        <w:numPr>
          <w:ilvl w:val="0"/>
          <w:numId w:val="16"/>
        </w:numPr>
        <w:spacing w:after="120" w:line="240" w:lineRule="auto"/>
        <w:ind w:left="425" w:hanging="425"/>
        <w:jc w:val="both"/>
        <w:rPr>
          <w:rFonts w:ascii="Arial" w:eastAsia="Arial" w:hAnsi="Arial" w:cs="Arial"/>
        </w:rPr>
      </w:pPr>
      <w:r>
        <w:rPr>
          <w:rFonts w:ascii="Arial" w:eastAsia="Arial" w:hAnsi="Arial" w:cs="Arial"/>
        </w:rPr>
        <w:t xml:space="preserve">Cena plnění dle této smlouvy je uvedena v příloze č. 1 této smlouvy. </w:t>
      </w:r>
    </w:p>
    <w:p w14:paraId="0000002B" w14:textId="77777777" w:rsidR="00DF1A6D" w:rsidRDefault="00A46B68">
      <w:pPr>
        <w:numPr>
          <w:ilvl w:val="0"/>
          <w:numId w:val="16"/>
        </w:numPr>
        <w:tabs>
          <w:tab w:val="left" w:pos="426"/>
        </w:tabs>
        <w:spacing w:after="120" w:line="240" w:lineRule="auto"/>
        <w:ind w:left="426" w:hanging="426"/>
        <w:jc w:val="both"/>
        <w:rPr>
          <w:rFonts w:ascii="Arial" w:eastAsia="Arial" w:hAnsi="Arial" w:cs="Arial"/>
        </w:rPr>
      </w:pPr>
      <w:r>
        <w:rPr>
          <w:rFonts w:ascii="Arial" w:eastAsia="Arial" w:hAnsi="Arial" w:cs="Arial"/>
        </w:rPr>
        <w:t>Jednotková cena je nepřekročitelná, s výjimkou změny sazby DPH. V takovém případě není třeba uzavírat dodatek k této smlouvě. Sazba DPH bude vždy fakturována v aktuální výši dle platných právních předpisů.</w:t>
      </w:r>
    </w:p>
    <w:p w14:paraId="0000002C" w14:textId="469AA693" w:rsidR="00DF1A6D" w:rsidRDefault="00A46B68">
      <w:pPr>
        <w:numPr>
          <w:ilvl w:val="0"/>
          <w:numId w:val="16"/>
        </w:numPr>
        <w:tabs>
          <w:tab w:val="left" w:pos="426"/>
        </w:tabs>
        <w:spacing w:after="120" w:line="240" w:lineRule="auto"/>
        <w:ind w:left="426" w:hanging="426"/>
        <w:jc w:val="both"/>
        <w:rPr>
          <w:rFonts w:ascii="Arial" w:eastAsia="Arial" w:hAnsi="Arial" w:cs="Arial"/>
        </w:rPr>
      </w:pPr>
      <w:r>
        <w:rPr>
          <w:rFonts w:ascii="Arial" w:eastAsia="Arial" w:hAnsi="Arial" w:cs="Arial"/>
        </w:rPr>
        <w:t xml:space="preserve">Poskytovatel je oprávněn fakturovat objednateli cenu plnění měsíčně zpětně. Faktura poskytovatele musí obsahovat náležitosti obchodní listiny dle </w:t>
      </w:r>
      <w:proofErr w:type="spellStart"/>
      <w:r w:rsidR="001C43FE">
        <w:rPr>
          <w:rFonts w:ascii="Arial" w:eastAsia="Arial" w:hAnsi="Arial" w:cs="Arial"/>
        </w:rPr>
        <w:t>ust</w:t>
      </w:r>
      <w:proofErr w:type="spellEnd"/>
      <w:r w:rsidR="001C43FE">
        <w:rPr>
          <w:rFonts w:ascii="Arial" w:eastAsia="Arial" w:hAnsi="Arial" w:cs="Arial"/>
        </w:rPr>
        <w:t xml:space="preserve">. </w:t>
      </w:r>
      <w:r>
        <w:rPr>
          <w:rFonts w:ascii="Arial" w:eastAsia="Arial" w:hAnsi="Arial" w:cs="Arial"/>
        </w:rPr>
        <w:t>§</w:t>
      </w:r>
      <w:r w:rsidR="001C43FE">
        <w:rPr>
          <w:rFonts w:ascii="Arial" w:eastAsia="Arial" w:hAnsi="Arial" w:cs="Arial"/>
        </w:rPr>
        <w:t xml:space="preserve"> </w:t>
      </w:r>
      <w:r>
        <w:rPr>
          <w:rFonts w:ascii="Arial" w:eastAsia="Arial" w:hAnsi="Arial" w:cs="Arial"/>
        </w:rPr>
        <w:t>435 občanského zákoníku a</w:t>
      </w:r>
      <w:r w:rsidR="001C43FE">
        <w:rPr>
          <w:rFonts w:ascii="Arial" w:eastAsia="Arial" w:hAnsi="Arial" w:cs="Arial"/>
        </w:rPr>
        <w:t xml:space="preserve"> </w:t>
      </w:r>
      <w:r>
        <w:rPr>
          <w:rFonts w:ascii="Arial" w:eastAsia="Arial" w:hAnsi="Arial" w:cs="Arial"/>
        </w:rPr>
        <w:t>daňového dokladu dle zákona č. 563/1991 Sb., o</w:t>
      </w:r>
      <w:r w:rsidR="0039163A">
        <w:rPr>
          <w:rFonts w:ascii="Arial" w:eastAsia="Arial" w:hAnsi="Arial" w:cs="Arial"/>
        </w:rPr>
        <w:t xml:space="preserve"> </w:t>
      </w:r>
      <w:r>
        <w:rPr>
          <w:rFonts w:ascii="Arial" w:eastAsia="Arial" w:hAnsi="Arial" w:cs="Arial"/>
        </w:rPr>
        <w:t xml:space="preserve">účetnictví, ve znění pozdějších předpisů a dle zákona č. 235/2004 Sb., o dani z přidané hodnoty, ve znění pozdějších předpisů. Přílohou faktury musí být vždy příslušné revizní zprávy. Na faktuře musí být uvedeno evidenční číslo této smlouvy uvedené v záhlaví této smlouvy. </w:t>
      </w:r>
    </w:p>
    <w:p w14:paraId="0000002D" w14:textId="4C248EF8" w:rsidR="00DF1A6D" w:rsidRDefault="00A46B68">
      <w:pPr>
        <w:numPr>
          <w:ilvl w:val="0"/>
          <w:numId w:val="16"/>
        </w:numPr>
        <w:tabs>
          <w:tab w:val="left" w:pos="426"/>
        </w:tabs>
        <w:spacing w:after="120" w:line="240" w:lineRule="auto"/>
        <w:ind w:left="426" w:hanging="426"/>
        <w:jc w:val="both"/>
        <w:rPr>
          <w:rFonts w:ascii="Arial" w:eastAsia="Arial" w:hAnsi="Arial" w:cs="Arial"/>
        </w:rPr>
      </w:pPr>
      <w:r>
        <w:rPr>
          <w:rFonts w:ascii="Arial" w:eastAsia="Arial" w:hAnsi="Arial" w:cs="Arial"/>
        </w:rPr>
        <w:t>V případě, že faktura nebude mít stanovené náležitosti nebo bude obsahovat nesprávné údaje, je</w:t>
      </w:r>
      <w:r w:rsidR="0039163A">
        <w:rPr>
          <w:rFonts w:ascii="Arial" w:eastAsia="Arial" w:hAnsi="Arial" w:cs="Arial"/>
        </w:rPr>
        <w:t xml:space="preserve"> </w:t>
      </w:r>
      <w:r>
        <w:rPr>
          <w:rFonts w:ascii="Arial" w:eastAsia="Arial" w:hAnsi="Arial" w:cs="Arial"/>
        </w:rPr>
        <w:t>objednatel oprávněn zaslat ji ve lhůtě splatnosti zpět k doplnění, aniž se tak dostane do</w:t>
      </w:r>
      <w:r w:rsidR="0039163A">
        <w:rPr>
          <w:rFonts w:ascii="Arial" w:eastAsia="Arial" w:hAnsi="Arial" w:cs="Arial"/>
        </w:rPr>
        <w:t xml:space="preserve"> </w:t>
      </w:r>
      <w:r>
        <w:rPr>
          <w:rFonts w:ascii="Arial" w:eastAsia="Arial" w:hAnsi="Arial" w:cs="Arial"/>
        </w:rPr>
        <w:t>prodlení se splatností, lhůta splatnosti počíná běžet znovu od obdržení náležitě doplněné či opravené faktury objednatelem.</w:t>
      </w:r>
    </w:p>
    <w:p w14:paraId="0000002E" w14:textId="479E255E" w:rsidR="00DF1A6D" w:rsidRDefault="00A46B68">
      <w:pPr>
        <w:numPr>
          <w:ilvl w:val="0"/>
          <w:numId w:val="16"/>
        </w:numPr>
        <w:tabs>
          <w:tab w:val="left" w:pos="426"/>
        </w:tabs>
        <w:spacing w:after="120" w:line="240" w:lineRule="auto"/>
        <w:ind w:left="426" w:hanging="426"/>
        <w:jc w:val="both"/>
        <w:rPr>
          <w:rFonts w:ascii="Arial" w:eastAsia="Arial" w:hAnsi="Arial" w:cs="Arial"/>
        </w:rPr>
      </w:pPr>
      <w:r>
        <w:rPr>
          <w:rFonts w:ascii="Arial" w:eastAsia="Arial" w:hAnsi="Arial" w:cs="Arial"/>
        </w:rPr>
        <w:t>Objednatel uhradí fakturu bezhotovostně převodem na účet poskytovatele do 21 dnů ode dne obdržení faktury. Zaplacením se rozumí odepsání finanční částky z účtu objednatele ve</w:t>
      </w:r>
      <w:r w:rsidR="008C65EF">
        <w:rPr>
          <w:rFonts w:ascii="Arial" w:eastAsia="Arial" w:hAnsi="Arial" w:cs="Arial"/>
        </w:rPr>
        <w:t xml:space="preserve"> </w:t>
      </w:r>
      <w:r>
        <w:rPr>
          <w:rFonts w:ascii="Arial" w:eastAsia="Arial" w:hAnsi="Arial" w:cs="Arial"/>
        </w:rPr>
        <w:t>prospěch účtu poskytovatele.</w:t>
      </w:r>
    </w:p>
    <w:p w14:paraId="00000030" w14:textId="77777777" w:rsidR="00DF1A6D" w:rsidRDefault="00DF1A6D">
      <w:pPr>
        <w:tabs>
          <w:tab w:val="left" w:pos="426"/>
        </w:tabs>
        <w:spacing w:after="120" w:line="240" w:lineRule="auto"/>
        <w:jc w:val="both"/>
        <w:rPr>
          <w:rFonts w:ascii="Arial" w:eastAsia="Arial" w:hAnsi="Arial" w:cs="Arial"/>
        </w:rPr>
      </w:pPr>
    </w:p>
    <w:p w14:paraId="00000032" w14:textId="77777777" w:rsidR="00DF1A6D" w:rsidRDefault="00A46B68" w:rsidP="008C65EF">
      <w:pPr>
        <w:pStyle w:val="Nadpis4"/>
        <w:numPr>
          <w:ilvl w:val="0"/>
          <w:numId w:val="10"/>
        </w:numPr>
        <w:ind w:left="0" w:firstLine="0"/>
      </w:pPr>
      <w:r>
        <w:br/>
        <w:t>Práva a povinnosti smluvních stran</w:t>
      </w:r>
    </w:p>
    <w:p w14:paraId="00000033" w14:textId="77777777" w:rsidR="00DF1A6D" w:rsidRDefault="00A46B68">
      <w:pPr>
        <w:numPr>
          <w:ilvl w:val="0"/>
          <w:numId w:val="5"/>
        </w:numPr>
        <w:spacing w:before="240" w:after="120" w:line="240" w:lineRule="auto"/>
        <w:ind w:left="425" w:hanging="425"/>
        <w:jc w:val="both"/>
        <w:rPr>
          <w:rFonts w:ascii="Arial" w:eastAsia="Arial" w:hAnsi="Arial" w:cs="Arial"/>
        </w:rPr>
      </w:pPr>
      <w:r>
        <w:rPr>
          <w:rFonts w:ascii="Arial" w:eastAsia="Arial" w:hAnsi="Arial" w:cs="Arial"/>
        </w:rPr>
        <w:lastRenderedPageBreak/>
        <w:t>Povinnosti poskytovatele:</w:t>
      </w:r>
    </w:p>
    <w:p w14:paraId="00000034" w14:textId="643C528D" w:rsidR="00DF1A6D" w:rsidRDefault="00A46B68">
      <w:pPr>
        <w:numPr>
          <w:ilvl w:val="0"/>
          <w:numId w:val="17"/>
        </w:numPr>
        <w:tabs>
          <w:tab w:val="left" w:pos="426"/>
        </w:tabs>
        <w:spacing w:before="120" w:after="120" w:line="240" w:lineRule="auto"/>
        <w:ind w:left="851" w:hanging="425"/>
        <w:jc w:val="both"/>
        <w:rPr>
          <w:rFonts w:ascii="Arial" w:eastAsia="Arial" w:hAnsi="Arial" w:cs="Arial"/>
        </w:rPr>
      </w:pPr>
      <w:r>
        <w:rPr>
          <w:rFonts w:ascii="Arial" w:eastAsia="Arial" w:hAnsi="Arial" w:cs="Arial"/>
        </w:rPr>
        <w:t xml:space="preserve">Poskytovatel se zavazuje provádět plnění dle této smlouvy v souladu s platnými právními předpisy, jakož i v souladu se všemi normami obsahujícími technické specifikace a technická řešení, technické a technologické postupy nebo jiná určující kritéria k zajištění, že materiály, výrobky, postupy a služby vyhovují předmětu plnění smlouvy a veškerým zadávacím podmínkám veřejné zakázky. Poskytovatel se zavazuje vykonávat všechny činnosti vyplývající z této smlouvy v souladu </w:t>
      </w:r>
      <w:proofErr w:type="gramStart"/>
      <w:r>
        <w:rPr>
          <w:rFonts w:ascii="Arial" w:eastAsia="Arial" w:hAnsi="Arial" w:cs="Arial"/>
        </w:rPr>
        <w:t>s  platnými</w:t>
      </w:r>
      <w:proofErr w:type="gramEnd"/>
      <w:r>
        <w:rPr>
          <w:rFonts w:ascii="Arial" w:eastAsia="Arial" w:hAnsi="Arial" w:cs="Arial"/>
        </w:rPr>
        <w:t xml:space="preserve"> právními předpisy za účelem udržování provozuschopnosti, bezpečnosti a řádného technického stavu zařízení.</w:t>
      </w:r>
    </w:p>
    <w:p w14:paraId="00000035" w14:textId="77777777" w:rsidR="00DF1A6D" w:rsidRDefault="00A46B68">
      <w:pPr>
        <w:numPr>
          <w:ilvl w:val="0"/>
          <w:numId w:val="17"/>
        </w:numPr>
        <w:tabs>
          <w:tab w:val="left" w:pos="426"/>
        </w:tabs>
        <w:spacing w:before="120" w:after="120" w:line="240" w:lineRule="auto"/>
        <w:ind w:left="851" w:hanging="425"/>
        <w:jc w:val="both"/>
        <w:rPr>
          <w:rFonts w:ascii="Arial" w:eastAsia="Arial" w:hAnsi="Arial" w:cs="Arial"/>
        </w:rPr>
      </w:pPr>
      <w:r>
        <w:rPr>
          <w:rFonts w:ascii="Arial" w:eastAsia="Arial" w:hAnsi="Arial" w:cs="Arial"/>
        </w:rPr>
        <w:t xml:space="preserve">Poskytovatel bude provádět fyzicky revizi všech zařízení v objektech stanovených objednatelem v termínech pro jednotlivá zařízení určených (v souladu s ČSN 33 1600 </w:t>
      </w:r>
      <w:proofErr w:type="spellStart"/>
      <w:r>
        <w:rPr>
          <w:rFonts w:ascii="Arial" w:eastAsia="Arial" w:hAnsi="Arial" w:cs="Arial"/>
        </w:rPr>
        <w:t>ed</w:t>
      </w:r>
      <w:proofErr w:type="spellEnd"/>
      <w:r>
        <w:rPr>
          <w:rFonts w:ascii="Arial" w:eastAsia="Arial" w:hAnsi="Arial" w:cs="Arial"/>
        </w:rPr>
        <w:t>. 2), dle typu zařízení. Revize zahrnuje fyzickou kontrolu, měření a zkoušku u každého ze zařízení.</w:t>
      </w:r>
    </w:p>
    <w:p w14:paraId="00000036" w14:textId="77777777" w:rsidR="00DF1A6D" w:rsidRDefault="00A46B68">
      <w:pPr>
        <w:numPr>
          <w:ilvl w:val="0"/>
          <w:numId w:val="17"/>
        </w:numPr>
        <w:tabs>
          <w:tab w:val="left" w:pos="426"/>
        </w:tabs>
        <w:spacing w:before="120" w:after="120" w:line="240" w:lineRule="auto"/>
        <w:ind w:left="851" w:hanging="425"/>
        <w:jc w:val="both"/>
        <w:rPr>
          <w:rFonts w:ascii="Arial" w:eastAsia="Arial" w:hAnsi="Arial" w:cs="Arial"/>
        </w:rPr>
      </w:pPr>
      <w:r>
        <w:rPr>
          <w:rFonts w:ascii="Arial" w:eastAsia="Arial" w:hAnsi="Arial" w:cs="Arial"/>
        </w:rPr>
        <w:t xml:space="preserve">Poskytovatel je povinen na základě výzvy objednatele vykonat mimořádnou vyžádanou revizi, která bude sloužit k posouzení stavu zařízení, které je nefunkční, vykazuje známky poškození nebo jiné poruchy, a to v období mimo pravidelnou revizi. Objednatel vyzve poskytovatele k posouzení stavu zařízení písemně nebo telefonicky. </w:t>
      </w:r>
    </w:p>
    <w:p w14:paraId="00000037" w14:textId="77777777" w:rsidR="00DF1A6D" w:rsidRDefault="00A46B68">
      <w:pPr>
        <w:numPr>
          <w:ilvl w:val="0"/>
          <w:numId w:val="17"/>
        </w:numPr>
        <w:tabs>
          <w:tab w:val="left" w:pos="426"/>
        </w:tabs>
        <w:spacing w:before="120" w:after="120" w:line="240" w:lineRule="auto"/>
        <w:ind w:left="851" w:hanging="425"/>
        <w:jc w:val="both"/>
        <w:rPr>
          <w:rFonts w:ascii="Arial" w:eastAsia="Arial" w:hAnsi="Arial" w:cs="Arial"/>
        </w:rPr>
      </w:pPr>
      <w:r>
        <w:rPr>
          <w:rFonts w:ascii="Arial" w:eastAsia="Arial" w:hAnsi="Arial" w:cs="Arial"/>
        </w:rPr>
        <w:t>Všechna zařízení, u nichž bude provedena revize, označí poskytovatel trvanlivým samolepícím štítkem.</w:t>
      </w:r>
    </w:p>
    <w:p w14:paraId="00000038" w14:textId="2ACA2749" w:rsidR="00DF1A6D" w:rsidRDefault="00A46B68">
      <w:pPr>
        <w:numPr>
          <w:ilvl w:val="0"/>
          <w:numId w:val="17"/>
        </w:numPr>
        <w:tabs>
          <w:tab w:val="left" w:pos="426"/>
        </w:tabs>
        <w:spacing w:before="120" w:after="120" w:line="240" w:lineRule="auto"/>
        <w:ind w:left="851" w:hanging="425"/>
        <w:jc w:val="both"/>
        <w:rPr>
          <w:rFonts w:ascii="Arial" w:eastAsia="Arial" w:hAnsi="Arial" w:cs="Arial"/>
        </w:rPr>
      </w:pPr>
      <w:r>
        <w:rPr>
          <w:rFonts w:ascii="Arial" w:eastAsia="Arial" w:hAnsi="Arial" w:cs="Arial"/>
        </w:rPr>
        <w:t>Poskytovatel zpracuje a vyhotoví ke všem provedeným revizím dle od</w:t>
      </w:r>
      <w:r w:rsidR="00985769">
        <w:rPr>
          <w:rFonts w:ascii="Arial" w:eastAsia="Arial" w:hAnsi="Arial" w:cs="Arial"/>
        </w:rPr>
        <w:t>st.</w:t>
      </w:r>
      <w:r>
        <w:rPr>
          <w:rFonts w:ascii="Arial" w:eastAsia="Arial" w:hAnsi="Arial" w:cs="Arial"/>
        </w:rPr>
        <w:t xml:space="preserve"> 1</w:t>
      </w:r>
      <w:r w:rsidR="00393BE8">
        <w:rPr>
          <w:rFonts w:ascii="Arial" w:eastAsia="Arial" w:hAnsi="Arial" w:cs="Arial"/>
        </w:rPr>
        <w:t>.</w:t>
      </w:r>
      <w:r>
        <w:rPr>
          <w:rFonts w:ascii="Arial" w:eastAsia="Arial" w:hAnsi="Arial" w:cs="Arial"/>
        </w:rPr>
        <w:t xml:space="preserve"> písm. a) tohoto článku revizní zprávu v souladu s platnými právními předpisy, a to 1x v listinné verzi a 1x ve</w:t>
      </w:r>
      <w:r w:rsidR="00393BE8">
        <w:rPr>
          <w:rFonts w:ascii="Arial" w:eastAsia="Arial" w:hAnsi="Arial" w:cs="Arial"/>
        </w:rPr>
        <w:t xml:space="preserve"> </w:t>
      </w:r>
      <w:r>
        <w:rPr>
          <w:rFonts w:ascii="Arial" w:eastAsia="Arial" w:hAnsi="Arial" w:cs="Arial"/>
        </w:rPr>
        <w:t xml:space="preserve">verzi elektronické (tabulka ve formátu Excel, nedohodnou-li se smluvní strany jinak). Listinná verze bude součástí výkazu provedených revizí, které jsou přílohou faktury. Elektronickou verzi předá poskytovatel objednateli buď formou elektronické zprávy (datová zpráva, e-mail apod.), nebo na záznamovém zařízení (CD, </w:t>
      </w:r>
      <w:proofErr w:type="spellStart"/>
      <w:r>
        <w:rPr>
          <w:rFonts w:ascii="Arial" w:eastAsia="Arial" w:hAnsi="Arial" w:cs="Arial"/>
        </w:rPr>
        <w:t>flash</w:t>
      </w:r>
      <w:proofErr w:type="spellEnd"/>
      <w:r>
        <w:rPr>
          <w:rFonts w:ascii="Arial" w:eastAsia="Arial" w:hAnsi="Arial" w:cs="Arial"/>
        </w:rPr>
        <w:t xml:space="preserve"> disk apod.), nedohodnou-li se smluvní strany jinak. </w:t>
      </w:r>
    </w:p>
    <w:p w14:paraId="00000039" w14:textId="77777777" w:rsidR="00DF1A6D" w:rsidRDefault="00A46B68">
      <w:pPr>
        <w:tabs>
          <w:tab w:val="left" w:pos="426"/>
        </w:tabs>
        <w:spacing w:before="120" w:after="120" w:line="240" w:lineRule="auto"/>
        <w:ind w:left="851"/>
        <w:jc w:val="both"/>
        <w:rPr>
          <w:rFonts w:ascii="Arial" w:eastAsia="Arial" w:hAnsi="Arial" w:cs="Arial"/>
        </w:rPr>
      </w:pPr>
      <w:r>
        <w:rPr>
          <w:rFonts w:ascii="Arial" w:eastAsia="Arial" w:hAnsi="Arial" w:cs="Arial"/>
        </w:rPr>
        <w:t xml:space="preserve">Revizní zpráva musí obsahovat minimálně přesné označení zařízení, inventární nebo evidenční číslo zařízení, datum provedení revize, zhodnocení stavu zařízení, datum příští revize a jméno revidujícího. </w:t>
      </w:r>
    </w:p>
    <w:p w14:paraId="0000003A" w14:textId="593E7112" w:rsidR="00DF1A6D" w:rsidRDefault="00A46B68">
      <w:pPr>
        <w:numPr>
          <w:ilvl w:val="0"/>
          <w:numId w:val="17"/>
        </w:numPr>
        <w:tabs>
          <w:tab w:val="left" w:pos="426"/>
        </w:tabs>
        <w:spacing w:before="120" w:after="120" w:line="240" w:lineRule="auto"/>
        <w:ind w:left="851" w:hanging="425"/>
        <w:jc w:val="both"/>
        <w:rPr>
          <w:rFonts w:ascii="Arial" w:eastAsia="Arial" w:hAnsi="Arial" w:cs="Arial"/>
        </w:rPr>
      </w:pPr>
      <w:r>
        <w:rPr>
          <w:rFonts w:ascii="Arial" w:eastAsia="Arial" w:hAnsi="Arial" w:cs="Arial"/>
        </w:rPr>
        <w:t>V případě, že poskytovatel zjistí poškození nebo nevyhovující stav zařízení, vyhotoví o</w:t>
      </w:r>
      <w:r w:rsidR="00393BE8">
        <w:rPr>
          <w:rFonts w:ascii="Arial" w:eastAsia="Arial" w:hAnsi="Arial" w:cs="Arial"/>
        </w:rPr>
        <w:t xml:space="preserve"> </w:t>
      </w:r>
      <w:r>
        <w:rPr>
          <w:rFonts w:ascii="Arial" w:eastAsia="Arial" w:hAnsi="Arial" w:cs="Arial"/>
        </w:rPr>
        <w:t>tomto záznam, ve kterém uvede druh závady a označí zařízení jako nezpůsobilé k</w:t>
      </w:r>
      <w:r w:rsidR="00393BE8">
        <w:rPr>
          <w:rFonts w:ascii="Arial" w:eastAsia="Arial" w:hAnsi="Arial" w:cs="Arial"/>
        </w:rPr>
        <w:t xml:space="preserve"> </w:t>
      </w:r>
      <w:r>
        <w:rPr>
          <w:rFonts w:ascii="Arial" w:eastAsia="Arial" w:hAnsi="Arial" w:cs="Arial"/>
        </w:rPr>
        <w:t>dalšímu užívání. Tento záznam neprodleně postoupí písemně kontaktní osobě objednatele, nejpozději však do 2 pracovních dnů.</w:t>
      </w:r>
    </w:p>
    <w:p w14:paraId="0000003B" w14:textId="77777777" w:rsidR="00DF1A6D" w:rsidRDefault="00A46B68">
      <w:pPr>
        <w:numPr>
          <w:ilvl w:val="0"/>
          <w:numId w:val="5"/>
        </w:numPr>
        <w:spacing w:before="360" w:after="120" w:line="240" w:lineRule="auto"/>
        <w:ind w:left="425" w:hanging="425"/>
        <w:jc w:val="both"/>
        <w:rPr>
          <w:rFonts w:ascii="Arial" w:eastAsia="Arial" w:hAnsi="Arial" w:cs="Arial"/>
        </w:rPr>
      </w:pPr>
      <w:r>
        <w:rPr>
          <w:rFonts w:ascii="Arial" w:eastAsia="Arial" w:hAnsi="Arial" w:cs="Arial"/>
        </w:rPr>
        <w:t>Povinnosti objednatele:</w:t>
      </w:r>
    </w:p>
    <w:p w14:paraId="0000003D" w14:textId="755AFB38" w:rsidR="00DF1A6D" w:rsidRDefault="00A46B68" w:rsidP="00615FAC">
      <w:pPr>
        <w:tabs>
          <w:tab w:val="left" w:pos="426"/>
        </w:tabs>
        <w:spacing w:before="120" w:after="120" w:line="240" w:lineRule="auto"/>
        <w:ind w:left="426"/>
        <w:jc w:val="both"/>
        <w:rPr>
          <w:rFonts w:ascii="Arial" w:eastAsia="Arial" w:hAnsi="Arial" w:cs="Arial"/>
        </w:rPr>
      </w:pPr>
      <w:r>
        <w:rPr>
          <w:rFonts w:ascii="Arial" w:eastAsia="Arial" w:hAnsi="Arial" w:cs="Arial"/>
        </w:rPr>
        <w:t>Objednatel se zavazuje zajistit poskytovateli potřebnou součinnost pro plnění předmětu této smlouvy, zejména předávat poskytovateli veškeré podklady a dokumentaci potřebnou pro řádné plnění předmětu této smlouvy a umožňovat pracovníkům poskytovatele vstup do všech prostor, kterých se plnění dle této smlouvy týká.</w:t>
      </w:r>
    </w:p>
    <w:p w14:paraId="0000003E" w14:textId="77777777" w:rsidR="00DF1A6D" w:rsidRDefault="00DF1A6D">
      <w:pPr>
        <w:tabs>
          <w:tab w:val="left" w:pos="426"/>
        </w:tabs>
        <w:spacing w:before="120" w:after="120" w:line="240" w:lineRule="auto"/>
        <w:ind w:left="1145"/>
        <w:jc w:val="both"/>
        <w:rPr>
          <w:rFonts w:ascii="Arial" w:eastAsia="Arial" w:hAnsi="Arial" w:cs="Arial"/>
        </w:rPr>
      </w:pPr>
    </w:p>
    <w:p w14:paraId="0000003F" w14:textId="77777777" w:rsidR="00DF1A6D" w:rsidRDefault="00A46B68" w:rsidP="006A5F12">
      <w:pPr>
        <w:pStyle w:val="Nadpis4"/>
        <w:numPr>
          <w:ilvl w:val="0"/>
          <w:numId w:val="10"/>
        </w:numPr>
        <w:ind w:left="0" w:firstLine="0"/>
      </w:pPr>
      <w:r>
        <w:br/>
        <w:t>Odpovědnost za vady</w:t>
      </w:r>
    </w:p>
    <w:p w14:paraId="00000040" w14:textId="4E813A4A" w:rsidR="00DF1A6D" w:rsidRDefault="00A46B68">
      <w:pPr>
        <w:numPr>
          <w:ilvl w:val="0"/>
          <w:numId w:val="6"/>
        </w:numPr>
        <w:tabs>
          <w:tab w:val="left" w:pos="426"/>
        </w:tabs>
        <w:spacing w:after="120" w:line="240" w:lineRule="auto"/>
        <w:ind w:left="425" w:hanging="425"/>
        <w:jc w:val="both"/>
        <w:rPr>
          <w:rFonts w:ascii="Arial" w:eastAsia="Arial" w:hAnsi="Arial" w:cs="Arial"/>
        </w:rPr>
      </w:pPr>
      <w:r>
        <w:rPr>
          <w:rFonts w:ascii="Arial" w:eastAsia="Arial" w:hAnsi="Arial" w:cs="Arial"/>
        </w:rPr>
        <w:t>Poskytovatel odpovídá za to, že služby budou poskytnuty v souladu s touto smlouvou v odpovídající odborné kvalitě.</w:t>
      </w:r>
    </w:p>
    <w:p w14:paraId="00000041" w14:textId="50C38764" w:rsidR="00DF1A6D" w:rsidRDefault="00A46B68">
      <w:pPr>
        <w:numPr>
          <w:ilvl w:val="0"/>
          <w:numId w:val="6"/>
        </w:numPr>
        <w:tabs>
          <w:tab w:val="left" w:pos="426"/>
        </w:tabs>
        <w:spacing w:after="120" w:line="240" w:lineRule="auto"/>
        <w:ind w:left="425" w:hanging="425"/>
        <w:jc w:val="both"/>
        <w:rPr>
          <w:rFonts w:ascii="Arial" w:eastAsia="Arial" w:hAnsi="Arial" w:cs="Arial"/>
        </w:rPr>
      </w:pPr>
      <w:r>
        <w:rPr>
          <w:rFonts w:ascii="Arial" w:eastAsia="Arial" w:hAnsi="Arial" w:cs="Arial"/>
        </w:rPr>
        <w:t>V případě, že objednatel zjistí vady plnění, je poskytovatel povinen tyto vady odstranit do</w:t>
      </w:r>
      <w:r w:rsidR="006A5F12">
        <w:rPr>
          <w:rFonts w:ascii="Arial" w:eastAsia="Arial" w:hAnsi="Arial" w:cs="Arial"/>
        </w:rPr>
        <w:t xml:space="preserve"> </w:t>
      </w:r>
      <w:r>
        <w:rPr>
          <w:rFonts w:ascii="Arial" w:eastAsia="Arial" w:hAnsi="Arial" w:cs="Arial"/>
        </w:rPr>
        <w:t xml:space="preserve">2 pracovních dnů od sdělení objednatele o vadách. S ohledem na charakter zjištěných vad je objednatel oprávněn stanovit poskytovateli lhůtu delší. </w:t>
      </w:r>
    </w:p>
    <w:p w14:paraId="00000042" w14:textId="77777777" w:rsidR="00DF1A6D" w:rsidRDefault="00A46B68">
      <w:pPr>
        <w:numPr>
          <w:ilvl w:val="0"/>
          <w:numId w:val="6"/>
        </w:numPr>
        <w:tabs>
          <w:tab w:val="left" w:pos="426"/>
        </w:tabs>
        <w:spacing w:after="120" w:line="240" w:lineRule="auto"/>
        <w:ind w:left="425" w:hanging="425"/>
        <w:jc w:val="both"/>
        <w:rPr>
          <w:rFonts w:ascii="Arial" w:eastAsia="Arial" w:hAnsi="Arial" w:cs="Arial"/>
        </w:rPr>
      </w:pPr>
      <w:r>
        <w:rPr>
          <w:rFonts w:ascii="Arial" w:eastAsia="Arial" w:hAnsi="Arial" w:cs="Arial"/>
        </w:rPr>
        <w:t xml:space="preserve">Poskytovatel odpovídá za vady poskytnutých služeb v průběhu trvání této smlouvy. </w:t>
      </w:r>
    </w:p>
    <w:p w14:paraId="1446242D" w14:textId="77777777" w:rsidR="006502D4" w:rsidRDefault="006502D4" w:rsidP="006502D4">
      <w:pPr>
        <w:tabs>
          <w:tab w:val="left" w:pos="426"/>
        </w:tabs>
        <w:spacing w:after="120" w:line="240" w:lineRule="auto"/>
        <w:jc w:val="both"/>
        <w:rPr>
          <w:rFonts w:ascii="Arial" w:eastAsia="Arial" w:hAnsi="Arial" w:cs="Arial"/>
        </w:rPr>
      </w:pPr>
    </w:p>
    <w:p w14:paraId="00000043" w14:textId="77777777" w:rsidR="00DF1A6D" w:rsidRDefault="00A46B68" w:rsidP="006502D4">
      <w:pPr>
        <w:pStyle w:val="Nadpis4"/>
        <w:numPr>
          <w:ilvl w:val="0"/>
          <w:numId w:val="10"/>
        </w:numPr>
        <w:ind w:left="0" w:firstLine="0"/>
      </w:pPr>
      <w:r>
        <w:lastRenderedPageBreak/>
        <w:br/>
        <w:t>Smluvní pokuta, úrok z prodlení</w:t>
      </w:r>
    </w:p>
    <w:p w14:paraId="00000044" w14:textId="77777777" w:rsidR="00DF1A6D" w:rsidRDefault="00A46B68">
      <w:pPr>
        <w:numPr>
          <w:ilvl w:val="0"/>
          <w:numId w:val="2"/>
        </w:numPr>
        <w:spacing w:after="120" w:line="240" w:lineRule="auto"/>
        <w:ind w:left="426" w:hanging="426"/>
        <w:jc w:val="both"/>
        <w:rPr>
          <w:rFonts w:ascii="Arial" w:eastAsia="Arial" w:hAnsi="Arial" w:cs="Arial"/>
        </w:rPr>
      </w:pPr>
      <w:r>
        <w:rPr>
          <w:rFonts w:ascii="Arial" w:eastAsia="Arial" w:hAnsi="Arial" w:cs="Arial"/>
        </w:rPr>
        <w:t>V případě prodlení objednatele se zaplacením faktury poskytovatele je poskytovatel oprávněn požadovat úroky z prodlení v zákonné výši z dlužné částky za každý den prodlení.</w:t>
      </w:r>
    </w:p>
    <w:p w14:paraId="00000045" w14:textId="77777777" w:rsidR="00DF1A6D" w:rsidRDefault="00A46B68">
      <w:pPr>
        <w:numPr>
          <w:ilvl w:val="0"/>
          <w:numId w:val="2"/>
        </w:numPr>
        <w:spacing w:after="120" w:line="240" w:lineRule="auto"/>
        <w:ind w:left="426" w:hanging="426"/>
        <w:jc w:val="both"/>
        <w:rPr>
          <w:rFonts w:ascii="Arial" w:eastAsia="Arial" w:hAnsi="Arial" w:cs="Arial"/>
        </w:rPr>
      </w:pPr>
      <w:r>
        <w:rPr>
          <w:rFonts w:ascii="Arial" w:eastAsia="Arial" w:hAnsi="Arial" w:cs="Arial"/>
        </w:rPr>
        <w:t xml:space="preserve">V případě, že poskytovatel poruší jakoukoliv povinnost uvedenou v čl. </w:t>
      </w:r>
      <w:proofErr w:type="gramStart"/>
      <w:r>
        <w:rPr>
          <w:rFonts w:ascii="Arial" w:eastAsia="Arial" w:hAnsi="Arial" w:cs="Arial"/>
        </w:rPr>
        <w:t>VII  této</w:t>
      </w:r>
      <w:proofErr w:type="gramEnd"/>
      <w:r>
        <w:rPr>
          <w:rFonts w:ascii="Arial" w:eastAsia="Arial" w:hAnsi="Arial" w:cs="Arial"/>
        </w:rPr>
        <w:t xml:space="preserve"> smlouvy, je povinen zaplatit kupujícímu smluvní pokutu ve výši 10.000 Kč za každý jednotlivý případ.</w:t>
      </w:r>
    </w:p>
    <w:p w14:paraId="00000046" w14:textId="77777777" w:rsidR="00DF1A6D" w:rsidRDefault="00A46B68">
      <w:pPr>
        <w:numPr>
          <w:ilvl w:val="0"/>
          <w:numId w:val="2"/>
        </w:numPr>
        <w:spacing w:after="120" w:line="240" w:lineRule="auto"/>
        <w:ind w:left="426" w:hanging="426"/>
        <w:jc w:val="both"/>
        <w:rPr>
          <w:rFonts w:ascii="Arial" w:eastAsia="Arial" w:hAnsi="Arial" w:cs="Arial"/>
        </w:rPr>
      </w:pPr>
      <w:r>
        <w:rPr>
          <w:rFonts w:ascii="Arial" w:eastAsia="Arial" w:hAnsi="Arial" w:cs="Arial"/>
        </w:rPr>
        <w:t>Celková výše jednotlivých smluvních pokut není omezena a smluvní pokuty mohou být kombinovány, tzn., že uplatnění jedné smluvní pokuty nevylučuje souběžné uplatnění jiné smluvní pokuty.</w:t>
      </w:r>
    </w:p>
    <w:p w14:paraId="00000047" w14:textId="77777777" w:rsidR="00DF1A6D" w:rsidRDefault="00A46B68">
      <w:pPr>
        <w:numPr>
          <w:ilvl w:val="0"/>
          <w:numId w:val="2"/>
        </w:numPr>
        <w:spacing w:after="120" w:line="240" w:lineRule="auto"/>
        <w:ind w:left="426" w:hanging="426"/>
        <w:jc w:val="both"/>
        <w:rPr>
          <w:rFonts w:ascii="Arial" w:eastAsia="Arial" w:hAnsi="Arial" w:cs="Arial"/>
        </w:rPr>
      </w:pPr>
      <w:r>
        <w:rPr>
          <w:rFonts w:ascii="Arial" w:eastAsia="Arial" w:hAnsi="Arial" w:cs="Arial"/>
        </w:rPr>
        <w:t>Smluvní pokuta je splatná do 21 dnů ode dne doručení oznámení o uložení smluvní pokuty. Pro případ pochybností o doručení oznámení o uložení smluvní pokuty se sjednává, že se oznámení považuje za doručené druhé straně třetím dnem od podání zásilky k poštovní přepravě.</w:t>
      </w:r>
    </w:p>
    <w:p w14:paraId="057F083B" w14:textId="77777777" w:rsidR="006502D4" w:rsidRDefault="006502D4" w:rsidP="006502D4">
      <w:pPr>
        <w:spacing w:after="120" w:line="240" w:lineRule="auto"/>
        <w:jc w:val="both"/>
        <w:rPr>
          <w:rFonts w:ascii="Arial" w:eastAsia="Arial" w:hAnsi="Arial" w:cs="Arial"/>
        </w:rPr>
      </w:pPr>
    </w:p>
    <w:p w14:paraId="00000048" w14:textId="77777777" w:rsidR="00DF1A6D" w:rsidRDefault="00A46B68" w:rsidP="006502D4">
      <w:pPr>
        <w:pStyle w:val="Nadpis4"/>
        <w:numPr>
          <w:ilvl w:val="0"/>
          <w:numId w:val="10"/>
        </w:numPr>
        <w:ind w:left="0" w:firstLine="0"/>
      </w:pPr>
      <w:r>
        <w:br/>
        <w:t>Ochrana informací</w:t>
      </w:r>
    </w:p>
    <w:p w14:paraId="0000004A" w14:textId="77777777" w:rsidR="00DF1A6D" w:rsidRDefault="00A46B68" w:rsidP="006502D4">
      <w:pPr>
        <w:numPr>
          <w:ilvl w:val="0"/>
          <w:numId w:val="11"/>
        </w:numPr>
        <w:tabs>
          <w:tab w:val="left" w:pos="426"/>
        </w:tabs>
        <w:spacing w:after="120" w:line="240" w:lineRule="auto"/>
        <w:ind w:left="426" w:hanging="426"/>
        <w:jc w:val="both"/>
        <w:rPr>
          <w:rFonts w:ascii="Arial" w:eastAsia="Arial" w:hAnsi="Arial" w:cs="Arial"/>
        </w:rPr>
      </w:pPr>
      <w:r>
        <w:rPr>
          <w:rFonts w:ascii="Arial" w:eastAsia="Arial" w:hAnsi="Arial" w:cs="Arial"/>
        </w:rPr>
        <w:t>Smluvní strany jsou si vědomy toho, že v rámci plnění závazků z této smlouvy:</w:t>
      </w:r>
    </w:p>
    <w:p w14:paraId="0000004B" w14:textId="77777777" w:rsidR="00DF1A6D" w:rsidRDefault="00A46B68" w:rsidP="006502D4">
      <w:pPr>
        <w:numPr>
          <w:ilvl w:val="0"/>
          <w:numId w:val="15"/>
        </w:numPr>
        <w:spacing w:after="120" w:line="240" w:lineRule="auto"/>
        <w:ind w:left="851" w:hanging="425"/>
        <w:jc w:val="both"/>
        <w:rPr>
          <w:rFonts w:ascii="Arial" w:eastAsia="Arial" w:hAnsi="Arial" w:cs="Arial"/>
        </w:rPr>
      </w:pPr>
      <w:r>
        <w:rPr>
          <w:rFonts w:ascii="Arial" w:eastAsia="Arial" w:hAnsi="Arial" w:cs="Arial"/>
        </w:rPr>
        <w:t>si mohou vzájemně vědomě nebo opomenutím poskytnout informace, které budou považovány za důvěrné (dále jen „důvěrné informace“),</w:t>
      </w:r>
    </w:p>
    <w:p w14:paraId="0000004C" w14:textId="77777777" w:rsidR="00DF1A6D" w:rsidRDefault="00A46B68" w:rsidP="006502D4">
      <w:pPr>
        <w:numPr>
          <w:ilvl w:val="0"/>
          <w:numId w:val="15"/>
        </w:numPr>
        <w:spacing w:after="120" w:line="240" w:lineRule="auto"/>
        <w:ind w:left="851" w:hanging="425"/>
        <w:jc w:val="both"/>
        <w:rPr>
          <w:rFonts w:ascii="Arial" w:eastAsia="Arial" w:hAnsi="Arial" w:cs="Arial"/>
        </w:rPr>
      </w:pPr>
      <w:r>
        <w:rPr>
          <w:rFonts w:ascii="Arial" w:eastAsia="Arial" w:hAnsi="Arial" w:cs="Arial"/>
        </w:rPr>
        <w:t>mohou jejich zaměstnanci či osoby v obdobném postavení získat vědomou činností druhé smluvní strany nebo i jejím opomenutím přístup k důvěrným informacím druhé smluvní strany.</w:t>
      </w:r>
    </w:p>
    <w:p w14:paraId="00000062" w14:textId="14F13A57" w:rsidR="00DF1A6D" w:rsidRDefault="00A46B68" w:rsidP="00BB4AB5">
      <w:pPr>
        <w:numPr>
          <w:ilvl w:val="0"/>
          <w:numId w:val="11"/>
        </w:numPr>
        <w:spacing w:after="120" w:line="240" w:lineRule="auto"/>
        <w:ind w:left="426" w:hanging="426"/>
        <w:jc w:val="both"/>
        <w:rPr>
          <w:rFonts w:ascii="Arial" w:eastAsia="Arial" w:hAnsi="Arial" w:cs="Arial"/>
        </w:rPr>
      </w:pPr>
      <w:r>
        <w:rPr>
          <w:rFonts w:ascii="Arial" w:eastAsia="Arial" w:hAnsi="Arial" w:cs="Arial"/>
        </w:rPr>
        <w:t>Smluvní strany se zavazují, že žádná z nich nezpřístupní třetí osobě důvěrné informace (bez ohledu na</w:t>
      </w:r>
      <w:r w:rsidR="002F3396">
        <w:rPr>
          <w:rFonts w:ascii="Arial" w:eastAsia="Arial" w:hAnsi="Arial" w:cs="Arial"/>
        </w:rPr>
        <w:t xml:space="preserve"> </w:t>
      </w:r>
      <w:r>
        <w:rPr>
          <w:rFonts w:ascii="Arial" w:eastAsia="Arial" w:hAnsi="Arial" w:cs="Arial"/>
        </w:rPr>
        <w:t xml:space="preserve">formu jejich zachycení), které získaly během jednání vedoucích k uzavření této smlouvy nebo během plnění závazků z této smlouvy. Tím není dotčeno oprávnění smluvních stran sdělovat tyto údaje svým advokátům, daňovým poradcům, auditorům nebo jiným osobám </w:t>
      </w:r>
    </w:p>
    <w:p w14:paraId="00000064" w14:textId="77777777" w:rsidR="00DF1A6D" w:rsidRDefault="00A46B68" w:rsidP="00BB4AB5">
      <w:pPr>
        <w:numPr>
          <w:ilvl w:val="0"/>
          <w:numId w:val="11"/>
        </w:numPr>
        <w:spacing w:after="120" w:line="240" w:lineRule="auto"/>
        <w:ind w:left="426" w:hanging="426"/>
        <w:jc w:val="both"/>
        <w:rPr>
          <w:rFonts w:ascii="Arial" w:eastAsia="Arial" w:hAnsi="Arial" w:cs="Arial"/>
        </w:rPr>
      </w:pPr>
      <w:r>
        <w:rPr>
          <w:rFonts w:ascii="Arial" w:eastAsia="Arial" w:hAnsi="Arial" w:cs="Arial"/>
        </w:rPr>
        <w:t>Ukončení účinnosti této smlouvy z jakéhokoliv důvodu se nedotkne ustanovení tohoto článku a jeho účinnost přetrvá i po ukončení účinnosti této smlouvy.</w:t>
      </w:r>
    </w:p>
    <w:p w14:paraId="00000065" w14:textId="77777777" w:rsidR="00DF1A6D" w:rsidRDefault="00DF1A6D">
      <w:pPr>
        <w:spacing w:after="120" w:line="240" w:lineRule="auto"/>
        <w:jc w:val="both"/>
        <w:rPr>
          <w:rFonts w:ascii="Arial" w:eastAsia="Arial" w:hAnsi="Arial" w:cs="Arial"/>
        </w:rPr>
      </w:pPr>
    </w:p>
    <w:p w14:paraId="00000066" w14:textId="77777777" w:rsidR="00DF1A6D" w:rsidRDefault="00A46B68" w:rsidP="00BB4AB5">
      <w:pPr>
        <w:pStyle w:val="Nadpis4"/>
        <w:numPr>
          <w:ilvl w:val="0"/>
          <w:numId w:val="10"/>
        </w:numPr>
        <w:ind w:left="0" w:firstLine="0"/>
      </w:pPr>
      <w:r>
        <w:br/>
        <w:t>Ukončení smlouvy</w:t>
      </w:r>
    </w:p>
    <w:p w14:paraId="00000067" w14:textId="77777777" w:rsidR="00DF1A6D" w:rsidRDefault="00A46B68">
      <w:pPr>
        <w:numPr>
          <w:ilvl w:val="0"/>
          <w:numId w:val="18"/>
        </w:numPr>
        <w:spacing w:after="120" w:line="240" w:lineRule="auto"/>
        <w:ind w:left="426" w:hanging="426"/>
        <w:jc w:val="both"/>
        <w:rPr>
          <w:rFonts w:ascii="Arial" w:eastAsia="Arial" w:hAnsi="Arial" w:cs="Arial"/>
        </w:rPr>
      </w:pPr>
      <w:r>
        <w:rPr>
          <w:rFonts w:ascii="Arial" w:eastAsia="Arial" w:hAnsi="Arial" w:cs="Arial"/>
        </w:rPr>
        <w:t>Smluvní vztah vzniklý na základě této smlouvy lze ukončit těmito způsoby:</w:t>
      </w:r>
    </w:p>
    <w:p w14:paraId="00000068" w14:textId="77777777" w:rsidR="00DF1A6D" w:rsidRDefault="00A46B68">
      <w:pPr>
        <w:spacing w:after="120" w:line="240" w:lineRule="auto"/>
        <w:ind w:left="851" w:hanging="425"/>
        <w:jc w:val="both"/>
        <w:rPr>
          <w:rFonts w:ascii="Arial" w:eastAsia="Arial" w:hAnsi="Arial" w:cs="Arial"/>
        </w:rPr>
      </w:pPr>
      <w:r>
        <w:rPr>
          <w:rFonts w:ascii="Arial" w:eastAsia="Arial" w:hAnsi="Arial" w:cs="Arial"/>
        </w:rPr>
        <w:t>a)</w:t>
      </w:r>
      <w:r>
        <w:rPr>
          <w:rFonts w:ascii="Arial" w:eastAsia="Arial" w:hAnsi="Arial" w:cs="Arial"/>
        </w:rPr>
        <w:tab/>
        <w:t>odstoupením od smlouvy:</w:t>
      </w:r>
    </w:p>
    <w:p w14:paraId="00000069" w14:textId="77777777" w:rsidR="00DF1A6D" w:rsidRDefault="00A46B68">
      <w:pPr>
        <w:numPr>
          <w:ilvl w:val="2"/>
          <w:numId w:val="3"/>
        </w:numPr>
        <w:spacing w:after="120" w:line="240" w:lineRule="auto"/>
        <w:ind w:left="1418" w:hanging="425"/>
        <w:jc w:val="both"/>
        <w:rPr>
          <w:rFonts w:ascii="Arial" w:eastAsia="Arial" w:hAnsi="Arial" w:cs="Arial"/>
        </w:rPr>
      </w:pPr>
      <w:r>
        <w:rPr>
          <w:rFonts w:ascii="Arial" w:eastAsia="Arial" w:hAnsi="Arial" w:cs="Arial"/>
        </w:rPr>
        <w:t>za podmínek uvedených v § 2002 a násl. občanského zákoníku v případě porušení smlouvy druhou smluvní stranou podstatným způsobem,</w:t>
      </w:r>
    </w:p>
    <w:p w14:paraId="0000006A" w14:textId="77777777" w:rsidR="00DF1A6D" w:rsidRDefault="00A46B68">
      <w:pPr>
        <w:numPr>
          <w:ilvl w:val="2"/>
          <w:numId w:val="3"/>
        </w:numPr>
        <w:spacing w:after="120" w:line="240" w:lineRule="auto"/>
        <w:ind w:left="1418" w:hanging="425"/>
        <w:jc w:val="both"/>
        <w:rPr>
          <w:rFonts w:ascii="Arial" w:eastAsia="Arial" w:hAnsi="Arial" w:cs="Arial"/>
        </w:rPr>
      </w:pPr>
      <w:r>
        <w:rPr>
          <w:rFonts w:ascii="Arial" w:eastAsia="Arial" w:hAnsi="Arial" w:cs="Arial"/>
        </w:rPr>
        <w:t>za podmínek stanovených zákonem č. 134/2016 Sb., ve znění pozdějších předpisů,</w:t>
      </w:r>
    </w:p>
    <w:p w14:paraId="0000006B" w14:textId="77777777" w:rsidR="00DF1A6D" w:rsidRDefault="00A46B68">
      <w:pPr>
        <w:numPr>
          <w:ilvl w:val="2"/>
          <w:numId w:val="3"/>
        </w:numPr>
        <w:spacing w:after="120" w:line="240" w:lineRule="auto"/>
        <w:ind w:left="1418" w:hanging="425"/>
        <w:jc w:val="both"/>
        <w:rPr>
          <w:rFonts w:ascii="Arial" w:eastAsia="Arial" w:hAnsi="Arial" w:cs="Arial"/>
        </w:rPr>
      </w:pPr>
      <w:r>
        <w:rPr>
          <w:rFonts w:ascii="Arial" w:eastAsia="Arial" w:hAnsi="Arial" w:cs="Arial"/>
        </w:rPr>
        <w:t xml:space="preserve">v případech, které si smluvní strany ujednaly dále v tomto článku smlouvy, </w:t>
      </w:r>
    </w:p>
    <w:p w14:paraId="0000006C" w14:textId="77777777" w:rsidR="00DF1A6D" w:rsidRDefault="00A46B68">
      <w:pPr>
        <w:spacing w:after="120" w:line="240" w:lineRule="auto"/>
        <w:ind w:left="851" w:hanging="425"/>
        <w:jc w:val="both"/>
        <w:rPr>
          <w:rFonts w:ascii="Arial" w:eastAsia="Arial" w:hAnsi="Arial" w:cs="Arial"/>
        </w:rPr>
      </w:pPr>
      <w:r>
        <w:rPr>
          <w:rFonts w:ascii="Arial" w:eastAsia="Arial" w:hAnsi="Arial" w:cs="Arial"/>
        </w:rPr>
        <w:t>b)</w:t>
      </w:r>
      <w:r>
        <w:rPr>
          <w:rFonts w:ascii="Arial" w:eastAsia="Arial" w:hAnsi="Arial" w:cs="Arial"/>
        </w:rPr>
        <w:tab/>
        <w:t>dohodou smluvních stran,</w:t>
      </w:r>
    </w:p>
    <w:p w14:paraId="0000006D" w14:textId="77777777" w:rsidR="00DF1A6D" w:rsidRDefault="00A46B68">
      <w:pPr>
        <w:spacing w:after="120" w:line="240" w:lineRule="auto"/>
        <w:ind w:left="851" w:hanging="425"/>
        <w:jc w:val="both"/>
        <w:rPr>
          <w:rFonts w:ascii="Arial" w:eastAsia="Arial" w:hAnsi="Arial" w:cs="Arial"/>
        </w:rPr>
      </w:pPr>
      <w:r>
        <w:rPr>
          <w:rFonts w:ascii="Arial" w:eastAsia="Arial" w:hAnsi="Arial" w:cs="Arial"/>
        </w:rPr>
        <w:t>c)</w:t>
      </w:r>
      <w:r>
        <w:rPr>
          <w:rFonts w:ascii="Arial" w:eastAsia="Arial" w:hAnsi="Arial" w:cs="Arial"/>
        </w:rPr>
        <w:tab/>
        <w:t>výpovědí.</w:t>
      </w:r>
    </w:p>
    <w:p w14:paraId="0000006E" w14:textId="77777777" w:rsidR="00DF1A6D" w:rsidRDefault="00A46B68">
      <w:pPr>
        <w:spacing w:after="120" w:line="240" w:lineRule="auto"/>
        <w:ind w:firstLine="426"/>
        <w:jc w:val="both"/>
        <w:rPr>
          <w:rFonts w:ascii="Arial" w:eastAsia="Arial" w:hAnsi="Arial" w:cs="Arial"/>
        </w:rPr>
      </w:pPr>
      <w:r>
        <w:rPr>
          <w:rFonts w:ascii="Arial" w:eastAsia="Arial" w:hAnsi="Arial" w:cs="Arial"/>
        </w:rPr>
        <w:t>Projev vůle o odstoupení, dohoda nebo výpověď musí být učiněn vždy v písemné formě.</w:t>
      </w:r>
    </w:p>
    <w:p w14:paraId="0000006F" w14:textId="77777777" w:rsidR="00DF1A6D" w:rsidRDefault="00A46B68">
      <w:pPr>
        <w:numPr>
          <w:ilvl w:val="0"/>
          <w:numId w:val="18"/>
        </w:numPr>
        <w:spacing w:after="120" w:line="240" w:lineRule="auto"/>
        <w:ind w:left="426" w:hanging="426"/>
        <w:jc w:val="both"/>
        <w:rPr>
          <w:rFonts w:ascii="Arial" w:eastAsia="Arial" w:hAnsi="Arial" w:cs="Arial"/>
        </w:rPr>
      </w:pPr>
      <w:r>
        <w:rPr>
          <w:rFonts w:ascii="Arial" w:eastAsia="Arial" w:hAnsi="Arial" w:cs="Arial"/>
        </w:rPr>
        <w:t>Objednatel je oprávněn odstoupit od smlouvy v případě:</w:t>
      </w:r>
    </w:p>
    <w:p w14:paraId="00000070" w14:textId="77777777" w:rsidR="00DF1A6D" w:rsidRDefault="00A46B68">
      <w:pPr>
        <w:numPr>
          <w:ilvl w:val="0"/>
          <w:numId w:val="14"/>
        </w:numPr>
        <w:spacing w:after="120" w:line="240" w:lineRule="auto"/>
        <w:ind w:left="851" w:hanging="425"/>
        <w:jc w:val="both"/>
        <w:rPr>
          <w:rFonts w:ascii="Arial" w:eastAsia="Arial" w:hAnsi="Arial" w:cs="Arial"/>
        </w:rPr>
      </w:pPr>
      <w:r>
        <w:rPr>
          <w:rFonts w:ascii="Arial" w:eastAsia="Arial" w:hAnsi="Arial" w:cs="Arial"/>
        </w:rPr>
        <w:t xml:space="preserve">opakovaného neposkytování služeb v souladu s čl. I odst. 1, </w:t>
      </w:r>
    </w:p>
    <w:p w14:paraId="00000071" w14:textId="77777777" w:rsidR="00DF1A6D" w:rsidRDefault="00A46B68">
      <w:pPr>
        <w:numPr>
          <w:ilvl w:val="0"/>
          <w:numId w:val="14"/>
        </w:numPr>
        <w:spacing w:after="120" w:line="240" w:lineRule="auto"/>
        <w:ind w:left="851" w:hanging="425"/>
        <w:jc w:val="both"/>
        <w:rPr>
          <w:rFonts w:ascii="Arial" w:eastAsia="Arial" w:hAnsi="Arial" w:cs="Arial"/>
        </w:rPr>
      </w:pPr>
      <w:r>
        <w:rPr>
          <w:rFonts w:ascii="Arial" w:eastAsia="Arial" w:hAnsi="Arial" w:cs="Arial"/>
        </w:rPr>
        <w:t>opakovaného porušení povinností dle čl. IV odst. 1 písm. a) až g),</w:t>
      </w:r>
    </w:p>
    <w:p w14:paraId="00000072" w14:textId="77777777" w:rsidR="00DF1A6D" w:rsidRDefault="00A46B68">
      <w:pPr>
        <w:numPr>
          <w:ilvl w:val="0"/>
          <w:numId w:val="14"/>
        </w:numPr>
        <w:spacing w:after="120" w:line="240" w:lineRule="auto"/>
        <w:ind w:left="851" w:hanging="425"/>
        <w:jc w:val="both"/>
        <w:rPr>
          <w:rFonts w:ascii="Arial" w:eastAsia="Arial" w:hAnsi="Arial" w:cs="Arial"/>
        </w:rPr>
      </w:pPr>
      <w:r>
        <w:rPr>
          <w:rFonts w:ascii="Arial" w:eastAsia="Arial" w:hAnsi="Arial" w:cs="Arial"/>
        </w:rPr>
        <w:lastRenderedPageBreak/>
        <w:t>opakovaného prodlení s odstraněním vad plnění dle čl. V odst. 2 delšího než 3 dny,</w:t>
      </w:r>
    </w:p>
    <w:p w14:paraId="00000073" w14:textId="77777777" w:rsidR="00DF1A6D" w:rsidRDefault="00A46B68">
      <w:pPr>
        <w:numPr>
          <w:ilvl w:val="0"/>
          <w:numId w:val="18"/>
        </w:numPr>
        <w:spacing w:after="120" w:line="240" w:lineRule="auto"/>
        <w:ind w:left="426" w:hanging="426"/>
        <w:jc w:val="both"/>
        <w:rPr>
          <w:rFonts w:ascii="Arial" w:eastAsia="Arial" w:hAnsi="Arial" w:cs="Arial"/>
        </w:rPr>
      </w:pPr>
      <w:r>
        <w:rPr>
          <w:rFonts w:ascii="Arial" w:eastAsia="Arial" w:hAnsi="Arial" w:cs="Arial"/>
        </w:rPr>
        <w:t>Poskytovatel je oprávněn odstoupit od smlouvy v případě prodlení objednatele se zaplacením ceny za plnění předmětu smlouvy objednatelem delším než 15 dní.</w:t>
      </w:r>
    </w:p>
    <w:p w14:paraId="00000074" w14:textId="77777777" w:rsidR="00DF1A6D" w:rsidRDefault="00A46B68">
      <w:pPr>
        <w:numPr>
          <w:ilvl w:val="0"/>
          <w:numId w:val="18"/>
        </w:numPr>
        <w:spacing w:after="120" w:line="240" w:lineRule="auto"/>
        <w:ind w:left="426" w:hanging="426"/>
        <w:jc w:val="both"/>
        <w:rPr>
          <w:rFonts w:ascii="Arial" w:eastAsia="Arial" w:hAnsi="Arial" w:cs="Arial"/>
        </w:rPr>
      </w:pPr>
      <w:r>
        <w:rPr>
          <w:rFonts w:ascii="Arial" w:eastAsia="Arial" w:hAnsi="Arial" w:cs="Arial"/>
        </w:rPr>
        <w:t>Účinky odstoupení od smlouvy nastávají okamžikem doručení písemného projevu vůle odstoupit od této smlouvy druhé smluvní straně.</w:t>
      </w:r>
    </w:p>
    <w:p w14:paraId="00000075" w14:textId="77777777" w:rsidR="00DF1A6D" w:rsidRDefault="00A46B68">
      <w:pPr>
        <w:numPr>
          <w:ilvl w:val="0"/>
          <w:numId w:val="18"/>
        </w:numPr>
        <w:spacing w:after="120" w:line="240" w:lineRule="auto"/>
        <w:ind w:left="426" w:hanging="426"/>
        <w:jc w:val="both"/>
        <w:rPr>
          <w:rFonts w:ascii="Arial" w:eastAsia="Arial" w:hAnsi="Arial" w:cs="Arial"/>
        </w:rPr>
      </w:pPr>
      <w:r>
        <w:rPr>
          <w:rFonts w:ascii="Arial" w:eastAsia="Arial" w:hAnsi="Arial" w:cs="Arial"/>
        </w:rPr>
        <w:t>Odstoupením od smlouvy není dotčen případný nárok na náhradu škody. Smluvní pokuty se do náhrady škody nezapočítávají.</w:t>
      </w:r>
    </w:p>
    <w:p w14:paraId="00000076" w14:textId="30D938A9" w:rsidR="00DF1A6D" w:rsidRDefault="00A46B68">
      <w:pPr>
        <w:numPr>
          <w:ilvl w:val="0"/>
          <w:numId w:val="18"/>
        </w:numPr>
        <w:spacing w:after="120" w:line="240" w:lineRule="auto"/>
        <w:ind w:left="426" w:hanging="426"/>
        <w:jc w:val="both"/>
        <w:rPr>
          <w:rFonts w:ascii="Arial" w:eastAsia="Arial" w:hAnsi="Arial" w:cs="Arial"/>
        </w:rPr>
      </w:pPr>
      <w:r>
        <w:rPr>
          <w:rFonts w:ascii="Arial" w:eastAsia="Arial" w:hAnsi="Arial" w:cs="Arial"/>
        </w:rPr>
        <w:t>Kterákoliv ze smluvních stran je oprávněna ukončit tuto smlouvu písemnou výpovědí, a to i bez udání důvodu. Výpovědní doba činí 4 měsíce a počíná běžet prvním dnem kalendářního měsíce následujícího po doručení výpovědi druhé smluvní straně. Pro případ pochybností o</w:t>
      </w:r>
      <w:r w:rsidR="00892DC6">
        <w:rPr>
          <w:rFonts w:ascii="Arial" w:eastAsia="Arial" w:hAnsi="Arial" w:cs="Arial"/>
        </w:rPr>
        <w:t xml:space="preserve"> </w:t>
      </w:r>
      <w:r>
        <w:rPr>
          <w:rFonts w:ascii="Arial" w:eastAsia="Arial" w:hAnsi="Arial" w:cs="Arial"/>
        </w:rPr>
        <w:t>doručení výpovědi se sjednává, že se výpověď považuje za doručenou druhé straně třetím dnem od podání zásilky k poštovní přepravě.</w:t>
      </w:r>
    </w:p>
    <w:p w14:paraId="5ADA5501" w14:textId="77777777" w:rsidR="00892DC6" w:rsidRDefault="00892DC6" w:rsidP="00892DC6">
      <w:pPr>
        <w:spacing w:after="120" w:line="240" w:lineRule="auto"/>
        <w:jc w:val="both"/>
        <w:rPr>
          <w:rFonts w:ascii="Arial" w:eastAsia="Arial" w:hAnsi="Arial" w:cs="Arial"/>
        </w:rPr>
      </w:pPr>
    </w:p>
    <w:p w14:paraId="00000077" w14:textId="77777777" w:rsidR="00DF1A6D" w:rsidRDefault="00A46B68" w:rsidP="00892DC6">
      <w:pPr>
        <w:pStyle w:val="Nadpis4"/>
        <w:numPr>
          <w:ilvl w:val="0"/>
          <w:numId w:val="10"/>
        </w:numPr>
        <w:ind w:left="0" w:firstLine="0"/>
      </w:pPr>
      <w:r>
        <w:br/>
        <w:t>Vyšší moc</w:t>
      </w:r>
    </w:p>
    <w:p w14:paraId="00000078" w14:textId="77777777" w:rsidR="00DF1A6D" w:rsidRDefault="00A46B68">
      <w:pPr>
        <w:numPr>
          <w:ilvl w:val="0"/>
          <w:numId w:val="1"/>
        </w:numPr>
        <w:spacing w:after="240"/>
        <w:ind w:left="425" w:hanging="425"/>
        <w:jc w:val="both"/>
        <w:rPr>
          <w:rFonts w:ascii="Arial" w:eastAsia="Arial" w:hAnsi="Arial" w:cs="Arial"/>
        </w:rPr>
      </w:pPr>
      <w:r>
        <w:rPr>
          <w:rFonts w:ascii="Arial" w:eastAsia="Arial" w:hAnsi="Arial" w:cs="Arial"/>
        </w:rPr>
        <w:t xml:space="preserve">Smluvní strany jsou zproštěny odpovědnosti za částečné nebo úplné neplnění smluvních závazků, jestliže k němu došlo v důsledku vyšší moci. Za vyšší moc se pro účel smlouvy považují mimořádné události nebo okolnosti, které nemohla žádná ze smluvních stran před uzavřením této smlouvy předvídat ani jí předejít přijetím preventivního opatření, která je mimo jakoukoliv kontrolu kterékoliv smluvní strany a která podstatným způsobem ztěžuje nebo znemožňuje plnění povinností dle této smlouvy kteroukoliv ze smluvních stran. </w:t>
      </w:r>
    </w:p>
    <w:p w14:paraId="00000079" w14:textId="77777777" w:rsidR="00DF1A6D" w:rsidRDefault="00A46B68">
      <w:pPr>
        <w:numPr>
          <w:ilvl w:val="0"/>
          <w:numId w:val="1"/>
        </w:numPr>
        <w:spacing w:after="240"/>
        <w:ind w:left="425" w:hanging="425"/>
        <w:jc w:val="both"/>
        <w:rPr>
          <w:rFonts w:ascii="Arial" w:eastAsia="Arial" w:hAnsi="Arial" w:cs="Arial"/>
        </w:rPr>
      </w:pPr>
      <w:r>
        <w:rPr>
          <w:rFonts w:ascii="Arial" w:eastAsia="Arial" w:hAnsi="Arial" w:cs="Arial"/>
        </w:rPr>
        <w:t>Za vyšší moc se dále považují zejména válka, nepřátelské vojenské akce, teroristické útoky, povstání, občanské nepokoje, vzpoury, vyhlášení nouzového stavu, omezení pohybu osob, přítomnost ionizujícího nebo radioaktivního záření, požár, výbuch, záplava a jiné živelné nebo přírodní katastrofy.</w:t>
      </w:r>
    </w:p>
    <w:p w14:paraId="0000007C" w14:textId="77777777" w:rsidR="00DF1A6D" w:rsidRDefault="00A46B68">
      <w:pPr>
        <w:numPr>
          <w:ilvl w:val="0"/>
          <w:numId w:val="1"/>
        </w:numPr>
        <w:spacing w:after="240"/>
        <w:ind w:left="425" w:hanging="425"/>
        <w:jc w:val="both"/>
        <w:rPr>
          <w:rFonts w:ascii="Arial" w:eastAsia="Arial" w:hAnsi="Arial" w:cs="Arial"/>
        </w:rPr>
      </w:pPr>
      <w:r>
        <w:rPr>
          <w:rFonts w:ascii="Arial" w:eastAsia="Arial" w:hAnsi="Arial" w:cs="Arial"/>
        </w:rPr>
        <w:t>V případě, že nastane vyšší moc, prodlužuje se lhůta ke splnění smluvních povinností o dobu, během níž vyšší moc trvá a neuplatní se sankce dle čl. VI odst. 1 a 2 této smlouvy.</w:t>
      </w:r>
    </w:p>
    <w:p w14:paraId="0000007D" w14:textId="576C95F7" w:rsidR="00DF1A6D" w:rsidRDefault="00A46B68">
      <w:pPr>
        <w:numPr>
          <w:ilvl w:val="0"/>
          <w:numId w:val="1"/>
        </w:numPr>
        <w:spacing w:after="240"/>
        <w:ind w:left="425" w:hanging="425"/>
        <w:jc w:val="both"/>
        <w:rPr>
          <w:rFonts w:ascii="Arial" w:eastAsia="Arial" w:hAnsi="Arial" w:cs="Arial"/>
        </w:rPr>
      </w:pPr>
      <w:r>
        <w:rPr>
          <w:rFonts w:ascii="Arial" w:eastAsia="Arial" w:hAnsi="Arial" w:cs="Arial"/>
        </w:rPr>
        <w:t>V případě, že některá smluvní strana nebude schopna plnit své závazky ze smlouvy v důsledku vyšší moci, bude povinna neprodleně a písemně o této skutečnosti vyrozumět druhou smluvní stranu. Obdobně poté, co účinky vyšší moci pominou, bude smluvní strana, jež byla vyšší mocí dotčena, povinna neprodleně a písemně vyrozumět druhou smluvní stranu o této skutečnosti</w:t>
      </w:r>
      <w:r w:rsidR="00944605">
        <w:rPr>
          <w:rFonts w:ascii="Arial" w:eastAsia="Arial" w:hAnsi="Arial" w:cs="Arial"/>
        </w:rPr>
        <w:t>.</w:t>
      </w:r>
    </w:p>
    <w:p w14:paraId="08E80E5F" w14:textId="77777777" w:rsidR="00944605" w:rsidRDefault="00944605" w:rsidP="00944605">
      <w:pPr>
        <w:spacing w:after="240"/>
        <w:jc w:val="both"/>
        <w:rPr>
          <w:rFonts w:ascii="Arial" w:eastAsia="Arial" w:hAnsi="Arial" w:cs="Arial"/>
        </w:rPr>
      </w:pPr>
    </w:p>
    <w:p w14:paraId="0000007E" w14:textId="77777777" w:rsidR="00DF1A6D" w:rsidRDefault="00A46B68" w:rsidP="00944605">
      <w:pPr>
        <w:pStyle w:val="Nadpis4"/>
        <w:numPr>
          <w:ilvl w:val="0"/>
          <w:numId w:val="10"/>
        </w:numPr>
        <w:ind w:left="0" w:firstLine="0"/>
      </w:pPr>
      <w:r>
        <w:br/>
        <w:t>Závěrečná ustanovení</w:t>
      </w:r>
    </w:p>
    <w:p w14:paraId="0000007F" w14:textId="63CE13A8" w:rsidR="00DF1A6D" w:rsidRDefault="00A46B68">
      <w:pPr>
        <w:numPr>
          <w:ilvl w:val="0"/>
          <w:numId w:val="4"/>
        </w:numPr>
        <w:spacing w:after="120" w:line="240" w:lineRule="auto"/>
        <w:ind w:left="426" w:hanging="426"/>
        <w:jc w:val="both"/>
        <w:rPr>
          <w:rFonts w:ascii="Arial" w:eastAsia="Arial" w:hAnsi="Arial" w:cs="Arial"/>
        </w:rPr>
      </w:pPr>
      <w:r>
        <w:rPr>
          <w:rFonts w:ascii="Arial" w:eastAsia="Arial" w:hAnsi="Arial" w:cs="Arial"/>
        </w:rPr>
        <w:t>Práva a povinnosti smluvních stran vyplývající z této smlouvy a jí výslovně neupravené se řídí obecně závaznými právními předpisy, zejména občanským zákoníkem.</w:t>
      </w:r>
    </w:p>
    <w:p w14:paraId="00000080" w14:textId="77777777" w:rsidR="00DF1A6D" w:rsidRDefault="00A46B68">
      <w:pPr>
        <w:numPr>
          <w:ilvl w:val="0"/>
          <w:numId w:val="4"/>
        </w:numPr>
        <w:spacing w:after="120" w:line="240" w:lineRule="auto"/>
        <w:ind w:left="426" w:hanging="426"/>
        <w:jc w:val="both"/>
        <w:rPr>
          <w:rFonts w:ascii="Arial" w:eastAsia="Arial" w:hAnsi="Arial" w:cs="Arial"/>
        </w:rPr>
      </w:pPr>
      <w:r>
        <w:rPr>
          <w:rFonts w:ascii="Arial" w:eastAsia="Arial" w:hAnsi="Arial" w:cs="Arial"/>
        </w:rPr>
        <w:t>Jednotlivá ustanovení smlouvy jsou oddělitelná v tom smyslu, že neplatnost některého z nich nepůsobí neplatnost smlouvy jako celku. Pokud jakýkoli závazek dle smlouvy nebo kterékoli ustanovení smlouvy je nebo se stane neplatným či nevymahatelným, nebude to mít vliv na platnost a vymahatelnost ostatních závazků a ustanovení dle smlouvy a smluvní strany se zavazují takovýto neplatný nebo nevymahatelný závazek či ustanovení nahradit novým, platným a vymahatelným závazkem, nebo ustanovením, jehož předmět bude nejlépe odpovídat předmětu a ekonomickému účelu původního závazku či ustanovení.</w:t>
      </w:r>
    </w:p>
    <w:p w14:paraId="00000083" w14:textId="170E6F29" w:rsidR="00DF1A6D" w:rsidRDefault="00A46B68">
      <w:pPr>
        <w:numPr>
          <w:ilvl w:val="0"/>
          <w:numId w:val="4"/>
        </w:numPr>
        <w:spacing w:after="120" w:line="240" w:lineRule="auto"/>
        <w:ind w:left="426" w:hanging="426"/>
        <w:jc w:val="both"/>
        <w:rPr>
          <w:rFonts w:ascii="Arial" w:eastAsia="Arial" w:hAnsi="Arial" w:cs="Arial"/>
        </w:rPr>
      </w:pPr>
      <w:r>
        <w:rPr>
          <w:rFonts w:ascii="Arial" w:eastAsia="Arial" w:hAnsi="Arial" w:cs="Arial"/>
        </w:rPr>
        <w:lastRenderedPageBreak/>
        <w:t xml:space="preserve">Tato smlouva je v případě jejího listinného vyhotovení vyhotovena ve </w:t>
      </w:r>
      <w:r w:rsidR="006D3C79">
        <w:rPr>
          <w:rFonts w:ascii="Arial" w:eastAsia="Arial" w:hAnsi="Arial" w:cs="Arial"/>
        </w:rPr>
        <w:t>3</w:t>
      </w:r>
      <w:r>
        <w:rPr>
          <w:rFonts w:ascii="Arial" w:eastAsia="Arial" w:hAnsi="Arial" w:cs="Arial"/>
        </w:rPr>
        <w:t xml:space="preserve"> vyhotoveních s platností originálu, z nichž </w:t>
      </w:r>
      <w:r w:rsidR="006D3C79">
        <w:rPr>
          <w:rFonts w:ascii="Arial" w:eastAsia="Arial" w:hAnsi="Arial" w:cs="Arial"/>
        </w:rPr>
        <w:t>2</w:t>
      </w:r>
      <w:r>
        <w:rPr>
          <w:rFonts w:ascii="Arial" w:eastAsia="Arial" w:hAnsi="Arial" w:cs="Arial"/>
        </w:rPr>
        <w:t xml:space="preserve"> vyhotovení obdrží objednatel a 1 vyhotovení obdrží poskytovatel.</w:t>
      </w:r>
    </w:p>
    <w:p w14:paraId="00000084" w14:textId="2B3C7246" w:rsidR="00DF1A6D" w:rsidRDefault="00A46B68">
      <w:pPr>
        <w:numPr>
          <w:ilvl w:val="0"/>
          <w:numId w:val="4"/>
        </w:numPr>
        <w:spacing w:after="120" w:line="240" w:lineRule="auto"/>
        <w:ind w:left="426" w:hanging="426"/>
        <w:jc w:val="both"/>
        <w:rPr>
          <w:rFonts w:ascii="Arial" w:eastAsia="Arial" w:hAnsi="Arial" w:cs="Arial"/>
        </w:rPr>
      </w:pPr>
      <w:r>
        <w:rPr>
          <w:rFonts w:ascii="Arial" w:eastAsia="Arial" w:hAnsi="Arial" w:cs="Arial"/>
        </w:rPr>
        <w:t>Uzavřenou smlouvu lze měnit nebo zrušit pouze po dohodě smluvních stran, která musí mít formu písemných, číslovaných a datovaných dodatků, které musí být podepsány smluvními stranami.</w:t>
      </w:r>
    </w:p>
    <w:p w14:paraId="00000086" w14:textId="77777777" w:rsidR="00DF1A6D" w:rsidRDefault="00A46B68">
      <w:pPr>
        <w:numPr>
          <w:ilvl w:val="0"/>
          <w:numId w:val="4"/>
        </w:numPr>
        <w:spacing w:after="120" w:line="240" w:lineRule="auto"/>
        <w:ind w:left="426" w:hanging="426"/>
        <w:jc w:val="both"/>
        <w:rPr>
          <w:rFonts w:ascii="Arial" w:eastAsia="Arial" w:hAnsi="Arial" w:cs="Arial"/>
        </w:rPr>
      </w:pPr>
      <w:r>
        <w:rPr>
          <w:rFonts w:ascii="Arial" w:eastAsia="Arial" w:hAnsi="Arial" w:cs="Arial"/>
        </w:rPr>
        <w:t>Poskytovatel převzal na sebe nebezpečí změny okolností po uzavření této smlouvy, a proto mu nepřísluší domáhat se práv uvedených v § 1765 odst. 1 občanského zákoníku.</w:t>
      </w:r>
    </w:p>
    <w:p w14:paraId="00000089" w14:textId="37440E51" w:rsidR="00DF1A6D" w:rsidRDefault="00A46B68">
      <w:pPr>
        <w:numPr>
          <w:ilvl w:val="0"/>
          <w:numId w:val="4"/>
        </w:numPr>
        <w:spacing w:after="120" w:line="240" w:lineRule="auto"/>
        <w:ind w:left="426" w:hanging="426"/>
        <w:jc w:val="both"/>
        <w:rPr>
          <w:rFonts w:ascii="Arial" w:eastAsia="Arial" w:hAnsi="Arial" w:cs="Arial"/>
        </w:rPr>
      </w:pPr>
      <w:r>
        <w:rPr>
          <w:rFonts w:ascii="Arial" w:eastAsia="Arial" w:hAnsi="Arial" w:cs="Arial"/>
        </w:rPr>
        <w:t xml:space="preserve">Tato smlouva nabývá platnosti dnem podpisu smluvních stran a účinnosti dnem uveřejnění v </w:t>
      </w:r>
      <w:r w:rsidR="00FF6C0E">
        <w:rPr>
          <w:rFonts w:ascii="Arial" w:eastAsia="Arial" w:hAnsi="Arial" w:cs="Arial"/>
        </w:rPr>
        <w:t>r</w:t>
      </w:r>
      <w:r>
        <w:rPr>
          <w:rFonts w:ascii="Arial" w:eastAsia="Arial" w:hAnsi="Arial" w:cs="Arial"/>
        </w:rPr>
        <w:t>egistru smluv.</w:t>
      </w:r>
    </w:p>
    <w:p w14:paraId="0000008A" w14:textId="77777777" w:rsidR="00DF1A6D" w:rsidRDefault="00A46B68">
      <w:pPr>
        <w:numPr>
          <w:ilvl w:val="0"/>
          <w:numId w:val="4"/>
        </w:numPr>
        <w:spacing w:after="120" w:line="240" w:lineRule="auto"/>
        <w:ind w:left="426" w:hanging="426"/>
        <w:jc w:val="both"/>
        <w:rPr>
          <w:rFonts w:ascii="Arial" w:eastAsia="Arial" w:hAnsi="Arial" w:cs="Arial"/>
        </w:rPr>
      </w:pPr>
      <w:r>
        <w:rPr>
          <w:rFonts w:ascii="Arial" w:eastAsia="Arial" w:hAnsi="Arial" w:cs="Arial"/>
        </w:rPr>
        <w:t xml:space="preserve">Každá ze smluvních stran prohlašuje, že tuto smlouvu uzavírá svobodně a vážně, že považuje obsah této smlouvy za určitý a srozumitelný, a že jsou jí známy veškeré skutečnosti, jež jsou pro uzavření této smlouvy rozhodující, na důkaz čehož připojují smluvní strany k této smlouvě své podpisy. </w:t>
      </w:r>
    </w:p>
    <w:p w14:paraId="0000008B" w14:textId="77777777" w:rsidR="00DF1A6D" w:rsidRDefault="00A46B68">
      <w:pPr>
        <w:numPr>
          <w:ilvl w:val="0"/>
          <w:numId w:val="4"/>
        </w:numPr>
        <w:spacing w:after="120" w:line="240" w:lineRule="auto"/>
        <w:ind w:left="425" w:hanging="425"/>
        <w:jc w:val="both"/>
        <w:rPr>
          <w:rFonts w:ascii="Arial" w:eastAsia="Arial" w:hAnsi="Arial" w:cs="Arial"/>
        </w:rPr>
      </w:pPr>
      <w:r>
        <w:rPr>
          <w:rFonts w:ascii="Arial" w:eastAsia="Arial" w:hAnsi="Arial" w:cs="Arial"/>
        </w:rPr>
        <w:t>Nedílnou součástí této smlouvy je:</w:t>
      </w:r>
    </w:p>
    <w:p w14:paraId="0000008C" w14:textId="77777777" w:rsidR="00DF1A6D" w:rsidRDefault="00A46B68">
      <w:pPr>
        <w:widowControl w:val="0"/>
        <w:tabs>
          <w:tab w:val="left" w:pos="426"/>
        </w:tabs>
        <w:spacing w:after="120" w:line="240" w:lineRule="auto"/>
        <w:ind w:left="426"/>
        <w:jc w:val="both"/>
        <w:rPr>
          <w:rFonts w:ascii="Arial" w:eastAsia="Arial" w:hAnsi="Arial" w:cs="Arial"/>
        </w:rPr>
      </w:pPr>
      <w:r>
        <w:rPr>
          <w:rFonts w:ascii="Arial" w:eastAsia="Arial" w:hAnsi="Arial" w:cs="Arial"/>
        </w:rPr>
        <w:t>Příloha č. 1</w:t>
      </w:r>
    </w:p>
    <w:p w14:paraId="0000008D" w14:textId="77777777" w:rsidR="00DF1A6D" w:rsidRDefault="00DF1A6D">
      <w:pPr>
        <w:spacing w:after="120" w:line="240" w:lineRule="auto"/>
        <w:ind w:left="426"/>
        <w:jc w:val="both"/>
        <w:rPr>
          <w:rFonts w:ascii="Arial" w:eastAsia="Arial" w:hAnsi="Arial" w:cs="Arial"/>
        </w:rPr>
      </w:pPr>
    </w:p>
    <w:p w14:paraId="0000008E" w14:textId="77777777" w:rsidR="00DF1A6D" w:rsidRDefault="00DF1A6D">
      <w:pPr>
        <w:spacing w:after="120" w:line="240" w:lineRule="auto"/>
        <w:ind w:left="426"/>
        <w:jc w:val="both"/>
        <w:rPr>
          <w:rFonts w:ascii="Arial" w:eastAsia="Arial" w:hAnsi="Arial" w:cs="Arial"/>
        </w:rPr>
      </w:pPr>
    </w:p>
    <w:p w14:paraId="0000008F" w14:textId="77777777" w:rsidR="00DF1A6D" w:rsidRDefault="00A46B68">
      <w:pPr>
        <w:tabs>
          <w:tab w:val="left" w:pos="4678"/>
        </w:tabs>
        <w:spacing w:before="600" w:after="120" w:line="240" w:lineRule="auto"/>
        <w:jc w:val="both"/>
        <w:rPr>
          <w:rFonts w:ascii="Arial" w:eastAsia="Arial" w:hAnsi="Arial" w:cs="Arial"/>
        </w:rPr>
      </w:pPr>
      <w:r>
        <w:rPr>
          <w:rFonts w:ascii="Arial" w:eastAsia="Arial" w:hAnsi="Arial" w:cs="Arial"/>
        </w:rPr>
        <w:t>V Modlíkově dne ……</w:t>
      </w:r>
      <w:proofErr w:type="gramStart"/>
      <w:r>
        <w:rPr>
          <w:rFonts w:ascii="Arial" w:eastAsia="Arial" w:hAnsi="Arial" w:cs="Arial"/>
        </w:rPr>
        <w:t>…….</w:t>
      </w:r>
      <w:proofErr w:type="gramEnd"/>
      <w:r>
        <w:rPr>
          <w:rFonts w:ascii="Arial" w:eastAsia="Arial" w:hAnsi="Arial" w:cs="Arial"/>
        </w:rPr>
        <w:t>.</w:t>
      </w:r>
      <w:r>
        <w:rPr>
          <w:rFonts w:ascii="Arial" w:eastAsia="Arial" w:hAnsi="Arial" w:cs="Arial"/>
        </w:rPr>
        <w:tab/>
        <w:t xml:space="preserve">V Praze dne </w:t>
      </w:r>
      <w:r>
        <w:rPr>
          <w:rFonts w:ascii="Arial" w:eastAsia="Arial" w:hAnsi="Arial" w:cs="Arial"/>
          <w:i/>
        </w:rPr>
        <w:t>………………</w:t>
      </w:r>
    </w:p>
    <w:p w14:paraId="00000090" w14:textId="77777777" w:rsidR="00DF1A6D" w:rsidRDefault="00DF1A6D">
      <w:pPr>
        <w:tabs>
          <w:tab w:val="left" w:pos="4678"/>
          <w:tab w:val="left" w:pos="4962"/>
        </w:tabs>
        <w:spacing w:after="120" w:line="240" w:lineRule="auto"/>
        <w:jc w:val="both"/>
        <w:rPr>
          <w:rFonts w:ascii="Arial" w:eastAsia="Arial" w:hAnsi="Arial" w:cs="Arial"/>
        </w:rPr>
      </w:pPr>
    </w:p>
    <w:p w14:paraId="00000091" w14:textId="77777777" w:rsidR="00DF1A6D" w:rsidRDefault="00A46B68">
      <w:pPr>
        <w:tabs>
          <w:tab w:val="left" w:pos="4678"/>
        </w:tabs>
        <w:spacing w:after="120" w:line="240" w:lineRule="auto"/>
        <w:jc w:val="both"/>
        <w:rPr>
          <w:rFonts w:ascii="Arial" w:eastAsia="Arial" w:hAnsi="Arial" w:cs="Arial"/>
        </w:rPr>
      </w:pPr>
      <w:r>
        <w:rPr>
          <w:rFonts w:ascii="Arial" w:eastAsia="Arial" w:hAnsi="Arial" w:cs="Arial"/>
        </w:rPr>
        <w:t>Za poskytovatele</w:t>
      </w:r>
      <w:r>
        <w:rPr>
          <w:rFonts w:ascii="Arial" w:eastAsia="Arial" w:hAnsi="Arial" w:cs="Arial"/>
        </w:rPr>
        <w:tab/>
        <w:t>Za objednatele</w:t>
      </w:r>
    </w:p>
    <w:p w14:paraId="00000092" w14:textId="77777777" w:rsidR="00DF1A6D" w:rsidRDefault="00A46B68">
      <w:pPr>
        <w:tabs>
          <w:tab w:val="left" w:pos="0"/>
          <w:tab w:val="left" w:pos="3119"/>
          <w:tab w:val="left" w:pos="4678"/>
          <w:tab w:val="left" w:pos="7655"/>
        </w:tabs>
        <w:spacing w:before="360" w:after="120" w:line="240" w:lineRule="auto"/>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14:paraId="00000093" w14:textId="04D9BAB9" w:rsidR="00DF1A6D" w:rsidRDefault="00A46B68">
      <w:pPr>
        <w:tabs>
          <w:tab w:val="left" w:pos="4678"/>
          <w:tab w:val="left" w:pos="5670"/>
        </w:tabs>
        <w:spacing w:after="60" w:line="240" w:lineRule="auto"/>
        <w:jc w:val="both"/>
        <w:rPr>
          <w:rFonts w:ascii="Arial" w:eastAsia="Arial" w:hAnsi="Arial" w:cs="Arial"/>
        </w:rPr>
      </w:pPr>
      <w:r>
        <w:rPr>
          <w:rFonts w:ascii="Arial" w:eastAsia="Arial" w:hAnsi="Arial" w:cs="Arial"/>
        </w:rPr>
        <w:t>Karel Kokoška</w:t>
      </w:r>
      <w:r>
        <w:rPr>
          <w:rFonts w:ascii="Arial" w:eastAsia="Arial" w:hAnsi="Arial" w:cs="Arial"/>
        </w:rPr>
        <w:tab/>
        <w:t xml:space="preserve"> </w:t>
      </w:r>
      <w:r w:rsidR="0003385B">
        <w:rPr>
          <w:rFonts w:ascii="Arial" w:eastAsia="Arial" w:hAnsi="Arial" w:cs="Arial"/>
        </w:rPr>
        <w:t>Ing. Rudolf Pohl</w:t>
      </w:r>
    </w:p>
    <w:p w14:paraId="4CBE8A43" w14:textId="2B8DB9E0" w:rsidR="0003385B" w:rsidRDefault="0003385B">
      <w:pPr>
        <w:tabs>
          <w:tab w:val="left" w:pos="4678"/>
          <w:tab w:val="left" w:pos="5670"/>
        </w:tabs>
        <w:spacing w:after="60" w:line="240" w:lineRule="auto"/>
        <w:jc w:val="both"/>
        <w:rPr>
          <w:rFonts w:ascii="Arial" w:eastAsia="Arial" w:hAnsi="Arial" w:cs="Arial"/>
        </w:rPr>
      </w:pPr>
      <w:r>
        <w:rPr>
          <w:rFonts w:ascii="Arial" w:eastAsia="Arial" w:hAnsi="Arial" w:cs="Arial"/>
        </w:rPr>
        <w:tab/>
        <w:t>Provozní náměstek</w:t>
      </w:r>
    </w:p>
    <w:p w14:paraId="4783A16A" w14:textId="77777777" w:rsidR="0038549C" w:rsidRDefault="0038549C">
      <w:pPr>
        <w:tabs>
          <w:tab w:val="left" w:pos="4678"/>
          <w:tab w:val="left" w:pos="5670"/>
        </w:tabs>
        <w:spacing w:after="60" w:line="240" w:lineRule="auto"/>
        <w:jc w:val="both"/>
        <w:rPr>
          <w:rFonts w:ascii="Arial" w:eastAsia="Arial" w:hAnsi="Arial" w:cs="Arial"/>
        </w:rPr>
      </w:pPr>
    </w:p>
    <w:p w14:paraId="2AC2E75A" w14:textId="12323181" w:rsidR="0038549C" w:rsidRDefault="0038549C">
      <w:pPr>
        <w:rPr>
          <w:rFonts w:ascii="Arial" w:eastAsia="Arial" w:hAnsi="Arial" w:cs="Arial"/>
        </w:rPr>
      </w:pPr>
      <w:r>
        <w:rPr>
          <w:rFonts w:ascii="Arial" w:eastAsia="Arial" w:hAnsi="Arial" w:cs="Arial"/>
        </w:rPr>
        <w:br w:type="page"/>
      </w:r>
    </w:p>
    <w:p w14:paraId="427A9716" w14:textId="77777777" w:rsidR="0038549C" w:rsidRDefault="0038549C">
      <w:pPr>
        <w:tabs>
          <w:tab w:val="left" w:pos="4678"/>
          <w:tab w:val="left" w:pos="5670"/>
        </w:tabs>
        <w:spacing w:after="60" w:line="240" w:lineRule="auto"/>
        <w:jc w:val="both"/>
        <w:rPr>
          <w:noProof/>
        </w:rPr>
      </w:pPr>
    </w:p>
    <w:p w14:paraId="2AA1D21E" w14:textId="169A8F5D" w:rsidR="0038549C" w:rsidRDefault="0038549C">
      <w:pPr>
        <w:tabs>
          <w:tab w:val="left" w:pos="4678"/>
          <w:tab w:val="left" w:pos="5670"/>
        </w:tabs>
        <w:spacing w:after="60" w:line="240" w:lineRule="auto"/>
        <w:jc w:val="both"/>
        <w:rPr>
          <w:rFonts w:ascii="Arial" w:eastAsia="Arial" w:hAnsi="Arial" w:cs="Arial"/>
        </w:rPr>
      </w:pPr>
      <w:r>
        <w:rPr>
          <w:noProof/>
        </w:rPr>
        <w:drawing>
          <wp:anchor distT="0" distB="0" distL="114300" distR="114300" simplePos="0" relativeHeight="251659264" behindDoc="0" locked="0" layoutInCell="1" allowOverlap="0" wp14:anchorId="227B7FE3" wp14:editId="38E0794F">
            <wp:simplePos x="0" y="0"/>
            <wp:positionH relativeFrom="page">
              <wp:posOffset>-43132</wp:posOffset>
            </wp:positionH>
            <wp:positionV relativeFrom="page">
              <wp:posOffset>2656937</wp:posOffset>
            </wp:positionV>
            <wp:extent cx="7556177" cy="6909758"/>
            <wp:effectExtent l="0" t="0" r="6985" b="5715"/>
            <wp:wrapTopAndBottom/>
            <wp:docPr id="3083" name="Picture 3083" descr="Obsah obrázku text, diagram, řada/pruh, Paralelní&#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3083" name="Picture 3083" descr="Obsah obrázku text, diagram, řada/pruh, Paralelní&#10;&#10;Obsah generovaný pomocí AI může být nesprávný."/>
                    <pic:cNvPicPr/>
                  </pic:nvPicPr>
                  <pic:blipFill rotWithShape="1">
                    <a:blip r:embed="rId8"/>
                    <a:srcRect t="30639" b="4603"/>
                    <a:stretch>
                      <a:fillRect/>
                    </a:stretch>
                  </pic:blipFill>
                  <pic:spPr bwMode="auto">
                    <a:xfrm>
                      <a:off x="0" y="0"/>
                      <a:ext cx="7556500" cy="691005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38549C" w:rsidSect="00944605">
      <w:pgSz w:w="11906" w:h="16838"/>
      <w:pgMar w:top="1419" w:right="1021" w:bottom="1276" w:left="1077" w:header="709" w:footer="42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86B33" w14:textId="77777777" w:rsidR="001D2D4C" w:rsidRDefault="001D2D4C">
      <w:pPr>
        <w:spacing w:after="0" w:line="240" w:lineRule="auto"/>
      </w:pPr>
      <w:r>
        <w:separator/>
      </w:r>
    </w:p>
  </w:endnote>
  <w:endnote w:type="continuationSeparator" w:id="0">
    <w:p w14:paraId="6F6BB6F8" w14:textId="77777777" w:rsidR="001D2D4C" w:rsidRDefault="001D2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2AC7B288-90C1-4A9B-BF83-087EA6831D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2899489B-E3A5-4D4C-82BB-DD8D8A7AF97A}"/>
    <w:embedBold r:id="rId3" w:fontKey="{09D4528D-F446-4D01-B72D-B45C50AA969B}"/>
  </w:font>
  <w:font w:name="Georgia">
    <w:panose1 w:val="02040502050405020303"/>
    <w:charset w:val="EE"/>
    <w:family w:val="roman"/>
    <w:pitch w:val="variable"/>
    <w:sig w:usb0="00000287" w:usb1="00000000" w:usb2="00000000" w:usb3="00000000" w:csb0="0000009F" w:csb1="00000000"/>
    <w:embedRegular r:id="rId4" w:fontKey="{161DA314-216E-4934-9F51-A9AFEB2F5465}"/>
    <w:embedItalic r:id="rId5" w:fontKey="{178AD624-2BBA-4E48-B0EB-BFC339C8347D}"/>
  </w:font>
  <w:font w:name="Cambria">
    <w:panose1 w:val="02040503050406030204"/>
    <w:charset w:val="EE"/>
    <w:family w:val="roman"/>
    <w:pitch w:val="variable"/>
    <w:sig w:usb0="E00006FF" w:usb1="420024FF" w:usb2="02000000" w:usb3="00000000" w:csb0="0000019F" w:csb1="00000000"/>
    <w:embedRegular r:id="rId6" w:fontKey="{F321FC90-E4B7-49C9-AE7C-89BAC105CC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63E0F" w14:textId="77777777" w:rsidR="001D2D4C" w:rsidRDefault="001D2D4C">
      <w:pPr>
        <w:spacing w:after="0" w:line="240" w:lineRule="auto"/>
      </w:pPr>
      <w:r>
        <w:separator/>
      </w:r>
    </w:p>
  </w:footnote>
  <w:footnote w:type="continuationSeparator" w:id="0">
    <w:p w14:paraId="04553C93" w14:textId="77777777" w:rsidR="001D2D4C" w:rsidRDefault="001D2D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036B1"/>
    <w:multiLevelType w:val="multilevel"/>
    <w:tmpl w:val="CB228B32"/>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 w15:restartNumberingAfterBreak="0">
    <w:nsid w:val="0A062B17"/>
    <w:multiLevelType w:val="multilevel"/>
    <w:tmpl w:val="A2FE9C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7716B6"/>
    <w:multiLevelType w:val="multilevel"/>
    <w:tmpl w:val="F378C5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1964E7"/>
    <w:multiLevelType w:val="multilevel"/>
    <w:tmpl w:val="988CA16C"/>
    <w:lvl w:ilvl="0">
      <w:start w:val="1"/>
      <w:numFmt w:val="lowerLetter"/>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4" w15:restartNumberingAfterBreak="0">
    <w:nsid w:val="262D3EFF"/>
    <w:multiLevelType w:val="multilevel"/>
    <w:tmpl w:val="E05241A0"/>
    <w:lvl w:ilvl="0">
      <w:start w:val="1"/>
      <w:numFmt w:val="decimal"/>
      <w:lvlText w:val="%1."/>
      <w:lvlJc w:val="left"/>
      <w:pPr>
        <w:ind w:left="4897" w:hanging="360"/>
      </w:pPr>
    </w:lvl>
    <w:lvl w:ilvl="1">
      <w:start w:val="1"/>
      <w:numFmt w:val="lowerLetter"/>
      <w:lvlText w:val="%2)"/>
      <w:lvlJc w:val="left"/>
      <w:pPr>
        <w:ind w:left="5617" w:hanging="360"/>
      </w:pPr>
    </w:lvl>
    <w:lvl w:ilvl="2">
      <w:start w:val="1"/>
      <w:numFmt w:val="lowerRoman"/>
      <w:lvlText w:val="%3."/>
      <w:lvlJc w:val="right"/>
      <w:pPr>
        <w:ind w:left="6337" w:hanging="180"/>
      </w:pPr>
    </w:lvl>
    <w:lvl w:ilvl="3">
      <w:start w:val="1"/>
      <w:numFmt w:val="decimal"/>
      <w:lvlText w:val="%4."/>
      <w:lvlJc w:val="left"/>
      <w:pPr>
        <w:ind w:left="7057" w:hanging="360"/>
      </w:pPr>
    </w:lvl>
    <w:lvl w:ilvl="4">
      <w:start w:val="1"/>
      <w:numFmt w:val="lowerLetter"/>
      <w:lvlText w:val="%5."/>
      <w:lvlJc w:val="left"/>
      <w:pPr>
        <w:ind w:left="7777" w:hanging="360"/>
      </w:pPr>
    </w:lvl>
    <w:lvl w:ilvl="5">
      <w:start w:val="1"/>
      <w:numFmt w:val="lowerRoman"/>
      <w:lvlText w:val="%6."/>
      <w:lvlJc w:val="right"/>
      <w:pPr>
        <w:ind w:left="8497" w:hanging="180"/>
      </w:pPr>
    </w:lvl>
    <w:lvl w:ilvl="6">
      <w:start w:val="1"/>
      <w:numFmt w:val="decimal"/>
      <w:lvlText w:val="%7."/>
      <w:lvlJc w:val="left"/>
      <w:pPr>
        <w:ind w:left="9217" w:hanging="360"/>
      </w:pPr>
    </w:lvl>
    <w:lvl w:ilvl="7">
      <w:start w:val="1"/>
      <w:numFmt w:val="lowerLetter"/>
      <w:lvlText w:val="%8."/>
      <w:lvlJc w:val="left"/>
      <w:pPr>
        <w:ind w:left="9937" w:hanging="360"/>
      </w:pPr>
    </w:lvl>
    <w:lvl w:ilvl="8">
      <w:start w:val="1"/>
      <w:numFmt w:val="lowerRoman"/>
      <w:lvlText w:val="%9."/>
      <w:lvlJc w:val="right"/>
      <w:pPr>
        <w:ind w:left="10657" w:hanging="180"/>
      </w:pPr>
    </w:lvl>
  </w:abstractNum>
  <w:abstractNum w:abstractNumId="5" w15:restartNumberingAfterBreak="0">
    <w:nsid w:val="29CB18F4"/>
    <w:multiLevelType w:val="multilevel"/>
    <w:tmpl w:val="E3A867BE"/>
    <w:lvl w:ilvl="0">
      <w:start w:val="1"/>
      <w:numFmt w:val="lowerLetter"/>
      <w:lvlText w:val="%1)"/>
      <w:lvlJc w:val="left"/>
      <w:pPr>
        <w:ind w:left="1145" w:hanging="360"/>
      </w:pPr>
    </w:lvl>
    <w:lvl w:ilvl="1">
      <w:start w:val="1"/>
      <w:numFmt w:val="bullet"/>
      <w:lvlText w:val="o"/>
      <w:lvlJc w:val="left"/>
      <w:pPr>
        <w:ind w:left="1865" w:hanging="360"/>
      </w:pPr>
      <w:rPr>
        <w:rFonts w:ascii="Courier New" w:eastAsia="Courier New" w:hAnsi="Courier New" w:cs="Courier New"/>
      </w:rPr>
    </w:lvl>
    <w:lvl w:ilvl="2">
      <w:start w:val="1"/>
      <w:numFmt w:val="bullet"/>
      <w:lvlText w:val="▪"/>
      <w:lvlJc w:val="left"/>
      <w:pPr>
        <w:ind w:left="2585" w:hanging="360"/>
      </w:pPr>
      <w:rPr>
        <w:rFonts w:ascii="Noto Sans Symbols" w:eastAsia="Noto Sans Symbols" w:hAnsi="Noto Sans Symbols" w:cs="Noto Sans Symbols"/>
      </w:rPr>
    </w:lvl>
    <w:lvl w:ilvl="3">
      <w:start w:val="1"/>
      <w:numFmt w:val="bullet"/>
      <w:lvlText w:val="●"/>
      <w:lvlJc w:val="left"/>
      <w:pPr>
        <w:ind w:left="3305" w:hanging="360"/>
      </w:pPr>
      <w:rPr>
        <w:rFonts w:ascii="Noto Sans Symbols" w:eastAsia="Noto Sans Symbols" w:hAnsi="Noto Sans Symbols" w:cs="Noto Sans Symbols"/>
      </w:rPr>
    </w:lvl>
    <w:lvl w:ilvl="4">
      <w:start w:val="1"/>
      <w:numFmt w:val="bullet"/>
      <w:lvlText w:val="o"/>
      <w:lvlJc w:val="left"/>
      <w:pPr>
        <w:ind w:left="4025" w:hanging="360"/>
      </w:pPr>
      <w:rPr>
        <w:rFonts w:ascii="Courier New" w:eastAsia="Courier New" w:hAnsi="Courier New" w:cs="Courier New"/>
      </w:rPr>
    </w:lvl>
    <w:lvl w:ilvl="5">
      <w:start w:val="1"/>
      <w:numFmt w:val="bullet"/>
      <w:lvlText w:val="▪"/>
      <w:lvlJc w:val="left"/>
      <w:pPr>
        <w:ind w:left="4745" w:hanging="360"/>
      </w:pPr>
      <w:rPr>
        <w:rFonts w:ascii="Noto Sans Symbols" w:eastAsia="Noto Sans Symbols" w:hAnsi="Noto Sans Symbols" w:cs="Noto Sans Symbols"/>
      </w:rPr>
    </w:lvl>
    <w:lvl w:ilvl="6">
      <w:start w:val="1"/>
      <w:numFmt w:val="bullet"/>
      <w:lvlText w:val="●"/>
      <w:lvlJc w:val="left"/>
      <w:pPr>
        <w:ind w:left="5465" w:hanging="360"/>
      </w:pPr>
      <w:rPr>
        <w:rFonts w:ascii="Noto Sans Symbols" w:eastAsia="Noto Sans Symbols" w:hAnsi="Noto Sans Symbols" w:cs="Noto Sans Symbols"/>
      </w:rPr>
    </w:lvl>
    <w:lvl w:ilvl="7">
      <w:start w:val="1"/>
      <w:numFmt w:val="bullet"/>
      <w:lvlText w:val="o"/>
      <w:lvlJc w:val="left"/>
      <w:pPr>
        <w:ind w:left="6185" w:hanging="360"/>
      </w:pPr>
      <w:rPr>
        <w:rFonts w:ascii="Courier New" w:eastAsia="Courier New" w:hAnsi="Courier New" w:cs="Courier New"/>
      </w:rPr>
    </w:lvl>
    <w:lvl w:ilvl="8">
      <w:start w:val="1"/>
      <w:numFmt w:val="bullet"/>
      <w:lvlText w:val="▪"/>
      <w:lvlJc w:val="left"/>
      <w:pPr>
        <w:ind w:left="6905" w:hanging="360"/>
      </w:pPr>
      <w:rPr>
        <w:rFonts w:ascii="Noto Sans Symbols" w:eastAsia="Noto Sans Symbols" w:hAnsi="Noto Sans Symbols" w:cs="Noto Sans Symbols"/>
      </w:rPr>
    </w:lvl>
  </w:abstractNum>
  <w:abstractNum w:abstractNumId="6" w15:restartNumberingAfterBreak="0">
    <w:nsid w:val="2D7D46AE"/>
    <w:multiLevelType w:val="multilevel"/>
    <w:tmpl w:val="A3C67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55420F0"/>
    <w:multiLevelType w:val="multilevel"/>
    <w:tmpl w:val="BCA21C84"/>
    <w:lvl w:ilvl="0">
      <w:start w:val="1"/>
      <w:numFmt w:val="decimal"/>
      <w:lvlText w:val="%1."/>
      <w:lvlJc w:val="left"/>
      <w:pPr>
        <w:ind w:left="4897" w:hanging="360"/>
      </w:pPr>
    </w:lvl>
    <w:lvl w:ilvl="1">
      <w:start w:val="1"/>
      <w:numFmt w:val="lowerLetter"/>
      <w:lvlText w:val="%2)"/>
      <w:lvlJc w:val="left"/>
      <w:pPr>
        <w:ind w:left="5617" w:hanging="360"/>
      </w:pPr>
    </w:lvl>
    <w:lvl w:ilvl="2">
      <w:start w:val="1"/>
      <w:numFmt w:val="lowerRoman"/>
      <w:lvlText w:val="%3."/>
      <w:lvlJc w:val="right"/>
      <w:pPr>
        <w:ind w:left="6337" w:hanging="180"/>
      </w:pPr>
    </w:lvl>
    <w:lvl w:ilvl="3">
      <w:start w:val="1"/>
      <w:numFmt w:val="decimal"/>
      <w:lvlText w:val="%4."/>
      <w:lvlJc w:val="left"/>
      <w:pPr>
        <w:ind w:left="7057" w:hanging="360"/>
      </w:pPr>
    </w:lvl>
    <w:lvl w:ilvl="4">
      <w:start w:val="1"/>
      <w:numFmt w:val="lowerLetter"/>
      <w:lvlText w:val="%5."/>
      <w:lvlJc w:val="left"/>
      <w:pPr>
        <w:ind w:left="7777" w:hanging="360"/>
      </w:pPr>
    </w:lvl>
    <w:lvl w:ilvl="5">
      <w:start w:val="1"/>
      <w:numFmt w:val="lowerRoman"/>
      <w:lvlText w:val="%6."/>
      <w:lvlJc w:val="right"/>
      <w:pPr>
        <w:ind w:left="8497" w:hanging="180"/>
      </w:pPr>
    </w:lvl>
    <w:lvl w:ilvl="6">
      <w:start w:val="1"/>
      <w:numFmt w:val="decimal"/>
      <w:lvlText w:val="%7."/>
      <w:lvlJc w:val="left"/>
      <w:pPr>
        <w:ind w:left="9217" w:hanging="360"/>
      </w:pPr>
    </w:lvl>
    <w:lvl w:ilvl="7">
      <w:start w:val="1"/>
      <w:numFmt w:val="lowerLetter"/>
      <w:lvlText w:val="%8."/>
      <w:lvlJc w:val="left"/>
      <w:pPr>
        <w:ind w:left="9937" w:hanging="360"/>
      </w:pPr>
    </w:lvl>
    <w:lvl w:ilvl="8">
      <w:start w:val="1"/>
      <w:numFmt w:val="lowerRoman"/>
      <w:lvlText w:val="%9."/>
      <w:lvlJc w:val="right"/>
      <w:pPr>
        <w:ind w:left="10657" w:hanging="180"/>
      </w:pPr>
    </w:lvl>
  </w:abstractNum>
  <w:abstractNum w:abstractNumId="8" w15:restartNumberingAfterBreak="0">
    <w:nsid w:val="37F20414"/>
    <w:multiLevelType w:val="multilevel"/>
    <w:tmpl w:val="638E9FCA"/>
    <w:lvl w:ilvl="0">
      <w:start w:val="1"/>
      <w:numFmt w:val="lowerLetter"/>
      <w:lvlText w:val="%1)"/>
      <w:lvlJc w:val="left"/>
      <w:pPr>
        <w:ind w:left="1145" w:hanging="360"/>
      </w:pPr>
      <w:rPr>
        <w:rFonts w:ascii="Arial" w:eastAsia="Arial" w:hAnsi="Arial" w:cs="Arial"/>
      </w:rPr>
    </w:lvl>
    <w:lvl w:ilvl="1">
      <w:start w:val="1"/>
      <w:numFmt w:val="bullet"/>
      <w:lvlText w:val="●"/>
      <w:lvlJc w:val="left"/>
      <w:pPr>
        <w:ind w:left="1865" w:hanging="360"/>
      </w:pPr>
      <w:rPr>
        <w:rFonts w:ascii="Noto Sans Symbols" w:eastAsia="Noto Sans Symbols" w:hAnsi="Noto Sans Symbols" w:cs="Noto Sans Symbols"/>
      </w:r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9" w15:restartNumberingAfterBreak="0">
    <w:nsid w:val="48860F4D"/>
    <w:multiLevelType w:val="multilevel"/>
    <w:tmpl w:val="510EFE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D1608DC"/>
    <w:multiLevelType w:val="multilevel"/>
    <w:tmpl w:val="30E2A9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4D81E53"/>
    <w:multiLevelType w:val="multilevel"/>
    <w:tmpl w:val="3F423F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A1804AB"/>
    <w:multiLevelType w:val="multilevel"/>
    <w:tmpl w:val="8ABCB3A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61276F6B"/>
    <w:multiLevelType w:val="multilevel"/>
    <w:tmpl w:val="7B107F4C"/>
    <w:lvl w:ilvl="0">
      <w:start w:val="1"/>
      <w:numFmt w:val="low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4" w15:restartNumberingAfterBreak="0">
    <w:nsid w:val="63C137EA"/>
    <w:multiLevelType w:val="multilevel"/>
    <w:tmpl w:val="BA4A1D7C"/>
    <w:lvl w:ilvl="0">
      <w:start w:val="1"/>
      <w:numFmt w:val="upperRoman"/>
      <w:lvlText w:val="Článek %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684A2A39"/>
    <w:multiLevelType w:val="multilevel"/>
    <w:tmpl w:val="F0EC48B8"/>
    <w:lvl w:ilvl="0">
      <w:start w:val="1"/>
      <w:numFmt w:val="decimal"/>
      <w:lvlText w:val="%1."/>
      <w:lvlJc w:val="left"/>
      <w:pPr>
        <w:ind w:left="720" w:hanging="360"/>
      </w:pPr>
      <w:rPr>
        <w:b w:val="0"/>
      </w:rPr>
    </w:lvl>
    <w:lvl w:ilvl="1">
      <w:start w:val="1"/>
      <w:numFmt w:val="bullet"/>
      <w:lvlText w:val="•"/>
      <w:lvlJc w:val="left"/>
      <w:pPr>
        <w:ind w:left="1785" w:hanging="705"/>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F5B472B"/>
    <w:multiLevelType w:val="multilevel"/>
    <w:tmpl w:val="1F9C1F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924206D"/>
    <w:multiLevelType w:val="multilevel"/>
    <w:tmpl w:val="678CCA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95842120">
    <w:abstractNumId w:val="6"/>
  </w:num>
  <w:num w:numId="2" w16cid:durableId="1417284311">
    <w:abstractNumId w:val="4"/>
  </w:num>
  <w:num w:numId="3" w16cid:durableId="1843737548">
    <w:abstractNumId w:val="13"/>
  </w:num>
  <w:num w:numId="4" w16cid:durableId="243299563">
    <w:abstractNumId w:val="15"/>
  </w:num>
  <w:num w:numId="5" w16cid:durableId="874777081">
    <w:abstractNumId w:val="16"/>
  </w:num>
  <w:num w:numId="6" w16cid:durableId="1568803167">
    <w:abstractNumId w:val="10"/>
  </w:num>
  <w:num w:numId="7" w16cid:durableId="491529296">
    <w:abstractNumId w:val="2"/>
  </w:num>
  <w:num w:numId="8" w16cid:durableId="658995972">
    <w:abstractNumId w:val="1"/>
  </w:num>
  <w:num w:numId="9" w16cid:durableId="1555385023">
    <w:abstractNumId w:val="12"/>
  </w:num>
  <w:num w:numId="10" w16cid:durableId="675688132">
    <w:abstractNumId w:val="14"/>
  </w:num>
  <w:num w:numId="11" w16cid:durableId="564536466">
    <w:abstractNumId w:val="9"/>
  </w:num>
  <w:num w:numId="12" w16cid:durableId="981664483">
    <w:abstractNumId w:val="3"/>
  </w:num>
  <w:num w:numId="13" w16cid:durableId="844054392">
    <w:abstractNumId w:val="17"/>
  </w:num>
  <w:num w:numId="14" w16cid:durableId="1320618481">
    <w:abstractNumId w:val="0"/>
  </w:num>
  <w:num w:numId="15" w16cid:durableId="972255665">
    <w:abstractNumId w:val="5"/>
  </w:num>
  <w:num w:numId="16" w16cid:durableId="853298326">
    <w:abstractNumId w:val="11"/>
  </w:num>
  <w:num w:numId="17" w16cid:durableId="1013797398">
    <w:abstractNumId w:val="8"/>
  </w:num>
  <w:num w:numId="18" w16cid:durableId="1405852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revisionView w:markup="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A6D"/>
    <w:rsid w:val="0000355B"/>
    <w:rsid w:val="000310BA"/>
    <w:rsid w:val="0003385B"/>
    <w:rsid w:val="000F7A7A"/>
    <w:rsid w:val="001725AE"/>
    <w:rsid w:val="00181675"/>
    <w:rsid w:val="00182AA5"/>
    <w:rsid w:val="001A0E04"/>
    <w:rsid w:val="001A6E70"/>
    <w:rsid w:val="001C43FE"/>
    <w:rsid w:val="001D2D4C"/>
    <w:rsid w:val="00252CC2"/>
    <w:rsid w:val="002668FF"/>
    <w:rsid w:val="002F3396"/>
    <w:rsid w:val="00307982"/>
    <w:rsid w:val="0038549C"/>
    <w:rsid w:val="0039163A"/>
    <w:rsid w:val="00393BE8"/>
    <w:rsid w:val="004349CA"/>
    <w:rsid w:val="00435256"/>
    <w:rsid w:val="004C2472"/>
    <w:rsid w:val="00524D18"/>
    <w:rsid w:val="005E6465"/>
    <w:rsid w:val="00615FAC"/>
    <w:rsid w:val="006405CD"/>
    <w:rsid w:val="006502D4"/>
    <w:rsid w:val="006A5F12"/>
    <w:rsid w:val="006D3C79"/>
    <w:rsid w:val="0078577D"/>
    <w:rsid w:val="007F5DA1"/>
    <w:rsid w:val="00801F09"/>
    <w:rsid w:val="0082778C"/>
    <w:rsid w:val="008362E0"/>
    <w:rsid w:val="00892DC6"/>
    <w:rsid w:val="008C65EF"/>
    <w:rsid w:val="00944605"/>
    <w:rsid w:val="00985769"/>
    <w:rsid w:val="00A27562"/>
    <w:rsid w:val="00A46B68"/>
    <w:rsid w:val="00AA5407"/>
    <w:rsid w:val="00AB0F62"/>
    <w:rsid w:val="00AC641C"/>
    <w:rsid w:val="00B610B3"/>
    <w:rsid w:val="00BB4AB5"/>
    <w:rsid w:val="00D31979"/>
    <w:rsid w:val="00D767C4"/>
    <w:rsid w:val="00D94416"/>
    <w:rsid w:val="00DC0F46"/>
    <w:rsid w:val="00DD393B"/>
    <w:rsid w:val="00DF1A6D"/>
    <w:rsid w:val="00E051D9"/>
    <w:rsid w:val="00E3069F"/>
    <w:rsid w:val="00E34C74"/>
    <w:rsid w:val="00E8549E"/>
    <w:rsid w:val="00EB71FE"/>
    <w:rsid w:val="00FD67E5"/>
    <w:rsid w:val="00FF6C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92FDA"/>
  <w15:docId w15:val="{4D4DB835-BCF1-47D4-9E47-87A114E76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spacing w:before="240" w:after="240" w:line="240" w:lineRule="auto"/>
      <w:jc w:val="center"/>
      <w:outlineLvl w:val="0"/>
    </w:pPr>
    <w:rPr>
      <w:rFonts w:ascii="Arial" w:eastAsia="Arial" w:hAnsi="Arial" w:cs="Arial"/>
      <w:b/>
      <w:sz w:val="26"/>
      <w:szCs w:val="26"/>
    </w:rPr>
  </w:style>
  <w:style w:type="paragraph" w:styleId="Nadpis2">
    <w:name w:val="heading 2"/>
    <w:basedOn w:val="Normln"/>
    <w:next w:val="Normln"/>
    <w:uiPriority w:val="9"/>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dpis3">
    <w:name w:val="heading 3"/>
    <w:basedOn w:val="Normln"/>
    <w:next w:val="Normln"/>
    <w:uiPriority w:val="9"/>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dpis4">
    <w:name w:val="heading 4"/>
    <w:basedOn w:val="Normln"/>
    <w:next w:val="Normln"/>
    <w:uiPriority w:val="9"/>
    <w:unhideWhenUsed/>
    <w:qFormat/>
    <w:pPr>
      <w:spacing w:after="240" w:line="240" w:lineRule="auto"/>
      <w:jc w:val="center"/>
      <w:outlineLvl w:val="3"/>
    </w:pPr>
    <w:rPr>
      <w:rFonts w:ascii="Arial" w:eastAsia="Arial" w:hAnsi="Arial" w:cs="Arial"/>
      <w:b/>
    </w:rPr>
  </w:style>
  <w:style w:type="paragraph" w:styleId="Nadpis5">
    <w:name w:val="heading 5"/>
    <w:basedOn w:val="Normln"/>
    <w:next w:val="Normln"/>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Nadpis6">
    <w:name w:val="heading 6"/>
    <w:basedOn w:val="Normln"/>
    <w:next w:val="Normln"/>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pBdr>
        <w:top w:val="nil"/>
        <w:left w:val="nil"/>
        <w:bottom w:val="nil"/>
        <w:right w:val="nil"/>
        <w:between w:val="nil"/>
      </w:pBdr>
      <w:spacing w:before="480" w:after="120"/>
    </w:pPr>
    <w:rPr>
      <w:b/>
      <w:color w:val="000000"/>
      <w:sz w:val="72"/>
      <w:szCs w:val="72"/>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Revize">
    <w:name w:val="Revision"/>
    <w:hidden/>
    <w:uiPriority w:val="99"/>
    <w:semiHidden/>
    <w:rsid w:val="004C2472"/>
    <w:pPr>
      <w:spacing w:after="0" w:line="240" w:lineRule="auto"/>
    </w:pPr>
  </w:style>
  <w:style w:type="paragraph" w:styleId="Bezmezer">
    <w:name w:val="No Spacing"/>
    <w:uiPriority w:val="1"/>
    <w:qFormat/>
    <w:rsid w:val="00B610B3"/>
    <w:pPr>
      <w:spacing w:after="0" w:line="240" w:lineRule="auto"/>
    </w:pPr>
    <w:rPr>
      <w:rFonts w:ascii="Times New Roman" w:eastAsia="Times New Roman" w:hAnsi="Times New Roman" w:cs="Times New Roman"/>
      <w:sz w:val="24"/>
      <w:szCs w:val="24"/>
    </w:rPr>
  </w:style>
  <w:style w:type="paragraph" w:styleId="Odstavecseseznamem">
    <w:name w:val="List Paragraph"/>
    <w:basedOn w:val="Normln"/>
    <w:uiPriority w:val="34"/>
    <w:qFormat/>
    <w:rsid w:val="00524D18"/>
    <w:pPr>
      <w:ind w:left="720"/>
      <w:contextualSpacing/>
    </w:pPr>
  </w:style>
  <w:style w:type="character" w:styleId="Hypertextovodkaz">
    <w:name w:val="Hyperlink"/>
    <w:basedOn w:val="Standardnpsmoodstavce"/>
    <w:uiPriority w:val="99"/>
    <w:unhideWhenUsed/>
    <w:rsid w:val="00E8549E"/>
    <w:rPr>
      <w:color w:val="0000FF" w:themeColor="hyperlink"/>
      <w:u w:val="single"/>
    </w:rPr>
  </w:style>
  <w:style w:type="character" w:styleId="Nevyeenzmnka">
    <w:name w:val="Unresolved Mention"/>
    <w:basedOn w:val="Standardnpsmoodstavce"/>
    <w:uiPriority w:val="99"/>
    <w:semiHidden/>
    <w:unhideWhenUsed/>
    <w:rsid w:val="00E854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p44E6+CMIFleokl3UtGp5rOzQ==">CgMxLjAyCGguZ2pkZ3hzOAByITFiMDBZTkFKaG5DclNyNVpjM0Q1bVZzOWlXdWJPR2FhYQ==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2076</Words>
  <Characters>12251</Characters>
  <Application>Microsoft Office Word</Application>
  <DocSecurity>0</DocSecurity>
  <Lines>102</Lines>
  <Paragraphs>28</Paragraphs>
  <ScaleCrop>false</ScaleCrop>
  <Company/>
  <LinksUpToDate>false</LinksUpToDate>
  <CharactersWithSpaces>14299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Mlíková Alexandra</dc:creator>
  <cp:lastModifiedBy>Kofroňová Kristýna</cp:lastModifiedBy>
  <cp:revision>14</cp:revision>
  <dcterms:created xsi:type="dcterms:W3CDTF">2026-01-28T09:50:00Z</dcterms:created>
  <dcterms:modified xsi:type="dcterms:W3CDTF">2026-03-05T08:09:00Z</dcterms:modified>
</cp:coreProperties>
</file>