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A4" w:rsidRPr="00D146A4" w:rsidRDefault="00D146A4" w:rsidP="00D146A4">
      <w:pPr>
        <w:pStyle w:val="Nzev"/>
        <w:rPr>
          <w:rFonts w:asciiTheme="minorHAnsi" w:hAnsiTheme="minorHAnsi" w:cs="Arial"/>
          <w:sz w:val="32"/>
          <w:szCs w:val="32"/>
        </w:rPr>
      </w:pPr>
      <w:r w:rsidRPr="00D146A4">
        <w:rPr>
          <w:rFonts w:asciiTheme="minorHAnsi" w:hAnsiTheme="minorHAnsi" w:cs="Arial"/>
          <w:sz w:val="32"/>
          <w:szCs w:val="32"/>
        </w:rPr>
        <w:t xml:space="preserve">Dodatek č. </w:t>
      </w:r>
      <w:r w:rsidR="009E390C">
        <w:rPr>
          <w:rFonts w:asciiTheme="minorHAnsi" w:hAnsiTheme="minorHAnsi" w:cs="Arial"/>
          <w:sz w:val="32"/>
          <w:szCs w:val="32"/>
        </w:rPr>
        <w:t>8</w:t>
      </w:r>
    </w:p>
    <w:p w:rsidR="00D146A4" w:rsidRPr="00D146A4" w:rsidRDefault="00D146A4" w:rsidP="00D146A4">
      <w:pPr>
        <w:spacing w:after="480"/>
        <w:jc w:val="center"/>
        <w:rPr>
          <w:rFonts w:asciiTheme="minorHAnsi" w:hAnsiTheme="minorHAnsi" w:cs="Arial"/>
          <w:sz w:val="24"/>
          <w:szCs w:val="24"/>
        </w:rPr>
      </w:pPr>
      <w:r w:rsidRPr="00D146A4">
        <w:rPr>
          <w:rFonts w:asciiTheme="minorHAnsi" w:hAnsiTheme="minorHAnsi" w:cs="Arial"/>
          <w:sz w:val="24"/>
          <w:szCs w:val="24"/>
        </w:rPr>
        <w:t xml:space="preserve">ke Smlouvě o pronájmu ze dne </w:t>
      </w:r>
      <w:r w:rsidR="00CA6338">
        <w:rPr>
          <w:rFonts w:asciiTheme="minorHAnsi" w:hAnsiTheme="minorHAnsi" w:cs="Arial"/>
          <w:sz w:val="24"/>
          <w:szCs w:val="24"/>
        </w:rPr>
        <w:t>2</w:t>
      </w:r>
      <w:r w:rsidRPr="00D146A4">
        <w:rPr>
          <w:rFonts w:asciiTheme="minorHAnsi" w:hAnsiTheme="minorHAnsi" w:cs="Arial"/>
          <w:sz w:val="24"/>
          <w:szCs w:val="24"/>
        </w:rPr>
        <w:t xml:space="preserve">. </w:t>
      </w:r>
      <w:r w:rsidR="0002531B">
        <w:rPr>
          <w:rFonts w:asciiTheme="minorHAnsi" w:hAnsiTheme="minorHAnsi" w:cs="Arial"/>
          <w:sz w:val="24"/>
          <w:szCs w:val="24"/>
        </w:rPr>
        <w:t>3</w:t>
      </w:r>
      <w:r w:rsidRPr="00D146A4">
        <w:rPr>
          <w:rFonts w:asciiTheme="minorHAnsi" w:hAnsiTheme="minorHAnsi" w:cs="Arial"/>
          <w:sz w:val="24"/>
          <w:szCs w:val="24"/>
        </w:rPr>
        <w:t>. 201</w:t>
      </w:r>
      <w:r w:rsidR="00CA6338">
        <w:rPr>
          <w:rFonts w:asciiTheme="minorHAnsi" w:hAnsiTheme="minorHAnsi" w:cs="Arial"/>
          <w:sz w:val="24"/>
          <w:szCs w:val="24"/>
        </w:rPr>
        <w:t>8</w:t>
      </w:r>
      <w:r w:rsidRPr="00D146A4">
        <w:rPr>
          <w:rFonts w:asciiTheme="minorHAnsi" w:hAnsiTheme="minorHAnsi" w:cs="Arial"/>
          <w:sz w:val="24"/>
          <w:szCs w:val="24"/>
        </w:rPr>
        <w:t xml:space="preserve"> </w:t>
      </w:r>
    </w:p>
    <w:p w:rsidR="00D146A4" w:rsidRPr="00D146A4" w:rsidRDefault="00D146A4" w:rsidP="00D146A4">
      <w:pPr>
        <w:rPr>
          <w:rFonts w:asciiTheme="minorHAnsi" w:hAnsiTheme="minorHAnsi" w:cs="Arial"/>
          <w:sz w:val="24"/>
          <w:szCs w:val="24"/>
        </w:rPr>
      </w:pPr>
      <w:r w:rsidRPr="00D146A4">
        <w:rPr>
          <w:rFonts w:asciiTheme="minorHAnsi" w:hAnsiTheme="minorHAnsi" w:cs="Arial"/>
          <w:sz w:val="24"/>
          <w:szCs w:val="24"/>
        </w:rPr>
        <w:t xml:space="preserve">uzavřený mezi: </w:t>
      </w:r>
    </w:p>
    <w:p w:rsidR="00D146A4" w:rsidRPr="00D146A4" w:rsidRDefault="00D146A4" w:rsidP="00D146A4">
      <w:pPr>
        <w:rPr>
          <w:rFonts w:asciiTheme="minorHAnsi" w:hAnsiTheme="minorHAnsi" w:cs="Calibri"/>
          <w:b/>
          <w:sz w:val="24"/>
          <w:szCs w:val="24"/>
        </w:rPr>
      </w:pPr>
      <w:r w:rsidRPr="00D146A4">
        <w:rPr>
          <w:rFonts w:asciiTheme="minorHAnsi" w:hAnsiTheme="minorHAnsi" w:cs="Calibri"/>
          <w:b/>
          <w:sz w:val="24"/>
          <w:szCs w:val="24"/>
        </w:rPr>
        <w:t>Střední škola elektrotechniky a strojírenství</w:t>
      </w:r>
    </w:p>
    <w:p w:rsidR="00D146A4" w:rsidRPr="00D146A4" w:rsidRDefault="00D146A4" w:rsidP="00D146A4">
      <w:pPr>
        <w:tabs>
          <w:tab w:val="left" w:pos="0"/>
          <w:tab w:val="left" w:pos="360"/>
          <w:tab w:val="left" w:pos="1843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>Se sídlem: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Jesenická 1, Praha 10</w:t>
      </w:r>
    </w:p>
    <w:p w:rsidR="00D146A4" w:rsidRP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Zastoupená:  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ředitel</w:t>
      </w:r>
      <w:r w:rsidR="0002531B">
        <w:rPr>
          <w:rFonts w:asciiTheme="minorHAnsi" w:hAnsiTheme="minorHAnsi" w:cs="Calibri"/>
          <w:sz w:val="24"/>
          <w:szCs w:val="24"/>
        </w:rPr>
        <w:t>kou I</w:t>
      </w:r>
      <w:r w:rsidRPr="00D146A4">
        <w:rPr>
          <w:rFonts w:asciiTheme="minorHAnsi" w:hAnsiTheme="minorHAnsi" w:cs="Calibri"/>
          <w:sz w:val="24"/>
          <w:szCs w:val="24"/>
        </w:rPr>
        <w:t xml:space="preserve">ng. </w:t>
      </w:r>
      <w:r w:rsidR="0002531B">
        <w:rPr>
          <w:rFonts w:asciiTheme="minorHAnsi" w:hAnsiTheme="minorHAnsi" w:cs="Calibri"/>
          <w:sz w:val="24"/>
          <w:szCs w:val="24"/>
        </w:rPr>
        <w:t>Bc. Simonou Nesvadbovou, Ph.D.</w:t>
      </w:r>
    </w:p>
    <w:p w:rsidR="00D146A4" w:rsidRP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IČO: 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00639133</w:t>
      </w:r>
    </w:p>
    <w:p w:rsidR="00D146A4" w:rsidRP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DIČ: </w:t>
      </w:r>
      <w:r w:rsidRPr="00D146A4">
        <w:rPr>
          <w:rFonts w:asciiTheme="minorHAnsi" w:hAnsiTheme="minorHAnsi" w:cs="Calibri"/>
          <w:sz w:val="24"/>
          <w:szCs w:val="24"/>
        </w:rPr>
        <w:tab/>
      </w:r>
      <w:r w:rsidRPr="00D146A4">
        <w:rPr>
          <w:rFonts w:asciiTheme="minorHAnsi" w:hAnsiTheme="minorHAnsi" w:cs="Calibri"/>
          <w:sz w:val="24"/>
          <w:szCs w:val="24"/>
        </w:rPr>
        <w:tab/>
        <w:t>CZ00639133</w:t>
      </w:r>
    </w:p>
    <w:p w:rsidR="00D146A4" w:rsidRPr="00D146A4" w:rsidRDefault="00D146A4" w:rsidP="00D146A4">
      <w:pPr>
        <w:tabs>
          <w:tab w:val="left" w:pos="360"/>
          <w:tab w:val="left" w:pos="2160"/>
        </w:tabs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 xml:space="preserve">Bankovní spojení: </w:t>
      </w:r>
      <w:r w:rsidRPr="00D146A4">
        <w:rPr>
          <w:rFonts w:asciiTheme="minorHAnsi" w:hAnsiTheme="minorHAnsi" w:cs="Calibri"/>
          <w:sz w:val="24"/>
          <w:szCs w:val="24"/>
        </w:rPr>
        <w:tab/>
        <w:t>2003760004/6000   PPF banka a.s. Praha 1</w:t>
      </w:r>
    </w:p>
    <w:p w:rsidR="00D146A4" w:rsidRPr="00D146A4" w:rsidRDefault="00D146A4" w:rsidP="00D146A4">
      <w:pPr>
        <w:tabs>
          <w:tab w:val="left" w:pos="360"/>
          <w:tab w:val="left" w:pos="2160"/>
        </w:tabs>
        <w:spacing w:after="60"/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>(dále jen „</w:t>
      </w:r>
      <w:r w:rsidRPr="00D146A4">
        <w:rPr>
          <w:rFonts w:asciiTheme="minorHAnsi" w:hAnsiTheme="minorHAnsi" w:cs="Calibri"/>
          <w:b/>
          <w:sz w:val="24"/>
          <w:szCs w:val="24"/>
        </w:rPr>
        <w:t>pronajímatel</w:t>
      </w:r>
      <w:r w:rsidRPr="00D146A4">
        <w:rPr>
          <w:rFonts w:asciiTheme="minorHAnsi" w:hAnsiTheme="minorHAnsi" w:cs="Calibri"/>
          <w:sz w:val="24"/>
          <w:szCs w:val="24"/>
        </w:rPr>
        <w:t>“)</w:t>
      </w:r>
    </w:p>
    <w:p w:rsidR="00D146A4" w:rsidRPr="00D146A4" w:rsidRDefault="00D146A4" w:rsidP="00D146A4">
      <w:pPr>
        <w:tabs>
          <w:tab w:val="left" w:pos="360"/>
        </w:tabs>
        <w:spacing w:after="60"/>
        <w:rPr>
          <w:rFonts w:asciiTheme="minorHAnsi" w:hAnsiTheme="minorHAnsi" w:cs="Calibri"/>
          <w:sz w:val="24"/>
          <w:szCs w:val="24"/>
        </w:rPr>
      </w:pPr>
      <w:r w:rsidRPr="00D146A4">
        <w:rPr>
          <w:rFonts w:asciiTheme="minorHAnsi" w:hAnsiTheme="minorHAnsi" w:cs="Calibri"/>
          <w:sz w:val="24"/>
          <w:szCs w:val="24"/>
        </w:rPr>
        <w:tab/>
        <w:t>a</w:t>
      </w:r>
    </w:p>
    <w:p w:rsidR="00D146A4" w:rsidRPr="00D146A4" w:rsidRDefault="00D146A4" w:rsidP="00D146A4">
      <w:pPr>
        <w:tabs>
          <w:tab w:val="left" w:pos="360"/>
          <w:tab w:val="left" w:pos="1800"/>
        </w:tabs>
        <w:rPr>
          <w:rFonts w:asciiTheme="minorHAnsi" w:hAnsiTheme="minorHAnsi" w:cs="Calibri"/>
          <w:b/>
          <w:sz w:val="24"/>
          <w:szCs w:val="24"/>
        </w:rPr>
      </w:pPr>
      <w:r w:rsidRPr="00D146A4">
        <w:rPr>
          <w:rFonts w:asciiTheme="minorHAnsi" w:hAnsiTheme="minorHAnsi" w:cs="Calibri"/>
          <w:b/>
          <w:sz w:val="24"/>
          <w:szCs w:val="24"/>
        </w:rPr>
        <w:t xml:space="preserve">KPM </w:t>
      </w:r>
      <w:proofErr w:type="spellStart"/>
      <w:r w:rsidRPr="00D146A4">
        <w:rPr>
          <w:rFonts w:asciiTheme="minorHAnsi" w:hAnsiTheme="minorHAnsi" w:cs="Calibri"/>
          <w:b/>
          <w:sz w:val="24"/>
          <w:szCs w:val="24"/>
        </w:rPr>
        <w:t>assistance</w:t>
      </w:r>
      <w:proofErr w:type="spellEnd"/>
      <w:r w:rsidRPr="00D146A4">
        <w:rPr>
          <w:rFonts w:asciiTheme="minorHAnsi" w:hAnsiTheme="minorHAnsi" w:cs="Calibri"/>
          <w:b/>
          <w:sz w:val="24"/>
          <w:szCs w:val="24"/>
        </w:rPr>
        <w:t>, s.r.o.</w:t>
      </w:r>
    </w:p>
    <w:p w:rsidR="00950C82" w:rsidRDefault="00950C82" w:rsidP="00950C82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Se sídlem: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Průhonická 3344/2, 106 00 Praha 10</w:t>
      </w:r>
    </w:p>
    <w:p w:rsidR="00950C82" w:rsidRDefault="00950C82" w:rsidP="00950C82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Zastoupená: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 xml:space="preserve">jednatelem panem Karlem </w:t>
      </w:r>
      <w:proofErr w:type="spellStart"/>
      <w:r>
        <w:rPr>
          <w:rFonts w:asciiTheme="minorHAnsi" w:hAnsiTheme="minorHAnsi" w:cs="Calibri"/>
          <w:sz w:val="24"/>
          <w:szCs w:val="24"/>
        </w:rPr>
        <w:t>Forkertem</w:t>
      </w:r>
      <w:proofErr w:type="spellEnd"/>
    </w:p>
    <w:p w:rsidR="00950C82" w:rsidRDefault="00950C82" w:rsidP="00950C82">
      <w:r>
        <w:rPr>
          <w:rFonts w:asciiTheme="minorHAnsi" w:hAnsiTheme="minorHAnsi" w:cs="Calibri"/>
          <w:sz w:val="24"/>
          <w:szCs w:val="24"/>
        </w:rPr>
        <w:t xml:space="preserve">tel.: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+420 732 304 022</w:t>
      </w:r>
    </w:p>
    <w:p w:rsidR="00950C82" w:rsidRDefault="00950C82" w:rsidP="00950C82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IČ: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26690357</w:t>
      </w:r>
    </w:p>
    <w:p w:rsidR="00950C82" w:rsidRDefault="00950C82" w:rsidP="00950C82">
      <w:pPr>
        <w:tabs>
          <w:tab w:val="left" w:pos="360"/>
          <w:tab w:val="left" w:pos="1800"/>
        </w:tabs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DIČ: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CZ26690357</w:t>
      </w:r>
      <w:r>
        <w:rPr>
          <w:rFonts w:asciiTheme="minorHAnsi" w:hAnsiTheme="minorHAnsi" w:cs="Calibri"/>
          <w:sz w:val="24"/>
          <w:szCs w:val="24"/>
        </w:rPr>
        <w:tab/>
      </w:r>
    </w:p>
    <w:p w:rsidR="00950C82" w:rsidRDefault="00950C82" w:rsidP="00950C82">
      <w:pPr>
        <w:tabs>
          <w:tab w:val="left" w:pos="2160"/>
        </w:tabs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Bankovní spojení: </w:t>
      </w:r>
      <w:r>
        <w:rPr>
          <w:rFonts w:asciiTheme="minorHAnsi" w:hAnsiTheme="minorHAnsi" w:cs="Calibri"/>
          <w:sz w:val="24"/>
          <w:szCs w:val="24"/>
        </w:rPr>
        <w:tab/>
      </w:r>
      <w:r w:rsidR="0012481B">
        <w:rPr>
          <w:rFonts w:asciiTheme="minorHAnsi" w:hAnsiTheme="minorHAnsi" w:cs="Calibri"/>
          <w:sz w:val="24"/>
          <w:szCs w:val="24"/>
        </w:rPr>
        <w:t>1700170099</w:t>
      </w:r>
      <w:r>
        <w:rPr>
          <w:rFonts w:asciiTheme="minorHAnsi" w:hAnsiTheme="minorHAnsi" w:cs="Calibri"/>
          <w:sz w:val="24"/>
          <w:szCs w:val="24"/>
        </w:rPr>
        <w:t>/0</w:t>
      </w:r>
      <w:r w:rsidR="0012481B">
        <w:rPr>
          <w:rFonts w:asciiTheme="minorHAnsi" w:hAnsiTheme="minorHAnsi" w:cs="Calibri"/>
          <w:sz w:val="24"/>
          <w:szCs w:val="24"/>
        </w:rPr>
        <w:t>6</w:t>
      </w:r>
      <w:r>
        <w:rPr>
          <w:rFonts w:asciiTheme="minorHAnsi" w:hAnsiTheme="minorHAnsi" w:cs="Calibri"/>
          <w:sz w:val="24"/>
          <w:szCs w:val="24"/>
        </w:rPr>
        <w:t xml:space="preserve">00, </w:t>
      </w:r>
      <w:r w:rsidR="0012481B">
        <w:rPr>
          <w:rFonts w:asciiTheme="minorHAnsi" w:hAnsiTheme="minorHAnsi" w:cs="Calibri"/>
          <w:sz w:val="24"/>
          <w:szCs w:val="24"/>
        </w:rPr>
        <w:t>MMB</w:t>
      </w:r>
      <w:r>
        <w:rPr>
          <w:rFonts w:asciiTheme="minorHAnsi" w:hAnsiTheme="minorHAnsi" w:cs="Calibri"/>
          <w:sz w:val="24"/>
          <w:szCs w:val="24"/>
        </w:rPr>
        <w:t xml:space="preserve"> a.s., Praha </w:t>
      </w:r>
      <w:r w:rsidR="0012481B">
        <w:rPr>
          <w:rFonts w:asciiTheme="minorHAnsi" w:hAnsiTheme="minorHAnsi" w:cs="Calibri"/>
          <w:sz w:val="24"/>
          <w:szCs w:val="24"/>
        </w:rPr>
        <w:t>4, Roztylská 2321/19</w:t>
      </w:r>
    </w:p>
    <w:p w:rsidR="00950C82" w:rsidRDefault="00950C82" w:rsidP="00950C82">
      <w:pPr>
        <w:tabs>
          <w:tab w:val="left" w:pos="360"/>
          <w:tab w:val="left" w:pos="2160"/>
        </w:tabs>
        <w:spacing w:after="360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(dále jen „</w:t>
      </w:r>
      <w:r>
        <w:rPr>
          <w:rFonts w:asciiTheme="minorHAnsi" w:hAnsiTheme="minorHAnsi" w:cs="Calibri"/>
          <w:b/>
          <w:sz w:val="24"/>
          <w:szCs w:val="24"/>
        </w:rPr>
        <w:t>nájemce</w:t>
      </w:r>
      <w:r>
        <w:rPr>
          <w:rFonts w:asciiTheme="minorHAnsi" w:hAnsiTheme="minorHAnsi" w:cs="Calibri"/>
          <w:sz w:val="24"/>
          <w:szCs w:val="24"/>
        </w:rPr>
        <w:t>“)</w:t>
      </w:r>
    </w:p>
    <w:p w:rsidR="00737B30" w:rsidRPr="00737B30" w:rsidRDefault="00FD4330" w:rsidP="00737B3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D4330">
        <w:rPr>
          <w:rFonts w:asciiTheme="minorHAnsi" w:hAnsiTheme="minorHAnsi" w:cs="Arial"/>
          <w:sz w:val="24"/>
          <w:szCs w:val="24"/>
        </w:rPr>
        <w:t xml:space="preserve">Obě strany se dohodly na změnách Smlouvy o pronájmu ze dne </w:t>
      </w:r>
      <w:r w:rsidR="00CA6338">
        <w:rPr>
          <w:rFonts w:asciiTheme="minorHAnsi" w:hAnsiTheme="minorHAnsi" w:cs="Arial"/>
          <w:sz w:val="24"/>
          <w:szCs w:val="24"/>
        </w:rPr>
        <w:t>2</w:t>
      </w:r>
      <w:r w:rsidR="0002531B">
        <w:rPr>
          <w:rFonts w:asciiTheme="minorHAnsi" w:hAnsiTheme="minorHAnsi" w:cs="Arial"/>
          <w:sz w:val="24"/>
          <w:szCs w:val="24"/>
        </w:rPr>
        <w:t>.</w:t>
      </w:r>
      <w:r w:rsidRPr="00FD4330">
        <w:rPr>
          <w:rFonts w:asciiTheme="minorHAnsi" w:hAnsiTheme="minorHAnsi" w:cs="Arial"/>
          <w:sz w:val="24"/>
          <w:szCs w:val="24"/>
        </w:rPr>
        <w:t xml:space="preserve"> </w:t>
      </w:r>
      <w:r w:rsidR="0002531B">
        <w:rPr>
          <w:rFonts w:asciiTheme="minorHAnsi" w:hAnsiTheme="minorHAnsi" w:cs="Arial"/>
          <w:sz w:val="24"/>
          <w:szCs w:val="24"/>
        </w:rPr>
        <w:t>3</w:t>
      </w:r>
      <w:r w:rsidRPr="00FD4330">
        <w:rPr>
          <w:rFonts w:asciiTheme="minorHAnsi" w:hAnsiTheme="minorHAnsi" w:cs="Arial"/>
          <w:sz w:val="24"/>
          <w:szCs w:val="24"/>
        </w:rPr>
        <w:t>. 201</w:t>
      </w:r>
      <w:r w:rsidR="00CA6338">
        <w:rPr>
          <w:rFonts w:asciiTheme="minorHAnsi" w:hAnsiTheme="minorHAnsi" w:cs="Arial"/>
          <w:sz w:val="24"/>
          <w:szCs w:val="24"/>
        </w:rPr>
        <w:t>8</w:t>
      </w:r>
      <w:r w:rsidRPr="00FD4330">
        <w:rPr>
          <w:rFonts w:asciiTheme="minorHAnsi" w:hAnsiTheme="minorHAnsi" w:cs="Arial"/>
          <w:sz w:val="24"/>
          <w:szCs w:val="24"/>
        </w:rPr>
        <w:t xml:space="preserve"> v čl. III</w:t>
      </w:r>
      <w:r w:rsidR="00737B30" w:rsidRPr="00510E7A">
        <w:rPr>
          <w:rFonts w:ascii="Arial" w:hAnsi="Arial" w:cs="Arial"/>
          <w:sz w:val="24"/>
          <w:szCs w:val="24"/>
        </w:rPr>
        <w:t xml:space="preserve">. </w:t>
      </w:r>
      <w:r w:rsidR="00737B30" w:rsidRPr="00737B30">
        <w:rPr>
          <w:rFonts w:asciiTheme="minorHAnsi" w:hAnsiTheme="minorHAnsi" w:cs="Arial"/>
          <w:sz w:val="24"/>
          <w:szCs w:val="24"/>
        </w:rPr>
        <w:t xml:space="preserve">a čl. IV. Pro uvedené články platí toto znění: </w:t>
      </w:r>
    </w:p>
    <w:p w:rsidR="00FD4330" w:rsidRPr="00FD4330" w:rsidRDefault="00FD4330" w:rsidP="00FD4330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:rsidR="00CA6338" w:rsidRPr="003B12E7" w:rsidRDefault="00CA6338" w:rsidP="00CA6338">
      <w:pPr>
        <w:jc w:val="center"/>
        <w:rPr>
          <w:rFonts w:ascii="Cambria" w:hAnsi="Cambria"/>
          <w:b/>
          <w:sz w:val="28"/>
          <w:szCs w:val="28"/>
        </w:rPr>
      </w:pPr>
      <w:r w:rsidRPr="003B12E7">
        <w:rPr>
          <w:rFonts w:ascii="Cambria" w:hAnsi="Cambria"/>
          <w:b/>
          <w:sz w:val="28"/>
          <w:szCs w:val="28"/>
        </w:rPr>
        <w:t>III.</w:t>
      </w:r>
    </w:p>
    <w:p w:rsidR="00CA6338" w:rsidRPr="003B12E7" w:rsidRDefault="00CA6338" w:rsidP="00CA6338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3B12E7">
        <w:rPr>
          <w:rFonts w:ascii="Cambria" w:hAnsi="Cambria"/>
          <w:b/>
          <w:sz w:val="28"/>
          <w:szCs w:val="28"/>
        </w:rPr>
        <w:t>Doba pronájmu</w:t>
      </w:r>
    </w:p>
    <w:p w:rsidR="00CA6338" w:rsidRPr="00CA6338" w:rsidRDefault="00CA6338" w:rsidP="00CA6338">
      <w:pPr>
        <w:numPr>
          <w:ilvl w:val="0"/>
          <w:numId w:val="4"/>
        </w:numPr>
        <w:tabs>
          <w:tab w:val="clear" w:pos="720"/>
          <w:tab w:val="left" w:pos="360"/>
          <w:tab w:val="num" w:pos="426"/>
        </w:tabs>
        <w:spacing w:after="480"/>
        <w:ind w:left="397" w:hanging="397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sz w:val="24"/>
          <w:szCs w:val="24"/>
        </w:rPr>
        <w:t xml:space="preserve">Tato smlouva se uzavírá na dobu určitou jednoho roku, tj. </w:t>
      </w:r>
      <w:r w:rsidRPr="00CA6338">
        <w:rPr>
          <w:rFonts w:ascii="Calibri" w:hAnsi="Calibri" w:cs="Calibri"/>
          <w:b/>
          <w:sz w:val="24"/>
          <w:szCs w:val="24"/>
        </w:rPr>
        <w:t>od 1. dubna 20</w:t>
      </w:r>
      <w:r w:rsidR="00306200">
        <w:rPr>
          <w:rFonts w:ascii="Calibri" w:hAnsi="Calibri" w:cs="Calibri"/>
          <w:b/>
          <w:sz w:val="24"/>
          <w:szCs w:val="24"/>
        </w:rPr>
        <w:t>2</w:t>
      </w:r>
      <w:r w:rsidR="009E390C">
        <w:rPr>
          <w:rFonts w:ascii="Calibri" w:hAnsi="Calibri" w:cs="Calibri"/>
          <w:b/>
          <w:sz w:val="24"/>
          <w:szCs w:val="24"/>
        </w:rPr>
        <w:t>6</w:t>
      </w:r>
      <w:r w:rsidRPr="00CA6338">
        <w:rPr>
          <w:rFonts w:ascii="Calibri" w:hAnsi="Calibri" w:cs="Calibri"/>
          <w:b/>
          <w:sz w:val="24"/>
          <w:szCs w:val="24"/>
        </w:rPr>
        <w:t xml:space="preserve"> do 31. března 202</w:t>
      </w:r>
      <w:r w:rsidR="009E390C">
        <w:rPr>
          <w:rFonts w:ascii="Calibri" w:hAnsi="Calibri" w:cs="Calibri"/>
          <w:b/>
          <w:sz w:val="24"/>
          <w:szCs w:val="24"/>
        </w:rPr>
        <w:t>7</w:t>
      </w:r>
      <w:r w:rsidR="00A56C7B">
        <w:rPr>
          <w:rFonts w:ascii="Calibri" w:hAnsi="Calibri" w:cs="Calibri"/>
          <w:b/>
          <w:sz w:val="24"/>
          <w:szCs w:val="24"/>
        </w:rPr>
        <w:t>.</w:t>
      </w:r>
    </w:p>
    <w:p w:rsidR="00CA6338" w:rsidRPr="003B12E7" w:rsidRDefault="00CA6338" w:rsidP="00CA6338">
      <w:pPr>
        <w:jc w:val="center"/>
        <w:rPr>
          <w:rFonts w:ascii="Cambria" w:hAnsi="Cambria"/>
          <w:b/>
          <w:sz w:val="28"/>
          <w:szCs w:val="28"/>
        </w:rPr>
      </w:pPr>
      <w:r w:rsidRPr="003B12E7">
        <w:rPr>
          <w:rFonts w:ascii="Cambria" w:hAnsi="Cambria"/>
          <w:b/>
          <w:sz w:val="28"/>
          <w:szCs w:val="28"/>
        </w:rPr>
        <w:t>IV.</w:t>
      </w:r>
    </w:p>
    <w:p w:rsidR="00CA6338" w:rsidRPr="003B12E7" w:rsidRDefault="00CA6338" w:rsidP="00CA6338">
      <w:pPr>
        <w:spacing w:after="120"/>
        <w:jc w:val="center"/>
        <w:rPr>
          <w:rFonts w:ascii="Cambria" w:hAnsi="Cambria"/>
          <w:b/>
          <w:sz w:val="28"/>
          <w:szCs w:val="28"/>
        </w:rPr>
      </w:pPr>
      <w:r w:rsidRPr="003B12E7">
        <w:rPr>
          <w:rFonts w:ascii="Cambria" w:hAnsi="Cambria"/>
          <w:b/>
          <w:sz w:val="28"/>
          <w:szCs w:val="28"/>
        </w:rPr>
        <w:t>Výše nájemného</w:t>
      </w:r>
    </w:p>
    <w:p w:rsidR="00CA6338" w:rsidRPr="00CA6338" w:rsidRDefault="00CA6338" w:rsidP="00CA6338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b/>
          <w:sz w:val="24"/>
          <w:szCs w:val="24"/>
        </w:rPr>
        <w:t>Nájemné za pronájem</w:t>
      </w:r>
      <w:r w:rsidRPr="00CA6338">
        <w:rPr>
          <w:rFonts w:ascii="Calibri" w:hAnsi="Calibri" w:cs="Calibri"/>
          <w:sz w:val="24"/>
          <w:szCs w:val="24"/>
        </w:rPr>
        <w:t xml:space="preserve"> předmětu smlouvy se sjednává dohodou </w:t>
      </w:r>
      <w:r w:rsidRPr="00CA6338">
        <w:rPr>
          <w:rFonts w:ascii="Calibri" w:hAnsi="Calibri" w:cs="Calibri"/>
          <w:b/>
          <w:sz w:val="24"/>
          <w:szCs w:val="24"/>
        </w:rPr>
        <w:t xml:space="preserve">ve výši </w:t>
      </w:r>
      <w:r w:rsidR="00162BFF">
        <w:rPr>
          <w:rFonts w:ascii="Calibri" w:hAnsi="Calibri" w:cs="Calibri"/>
          <w:b/>
          <w:sz w:val="24"/>
          <w:szCs w:val="24"/>
        </w:rPr>
        <w:t>5</w:t>
      </w:r>
      <w:r w:rsidR="009E390C">
        <w:rPr>
          <w:rFonts w:ascii="Calibri" w:hAnsi="Calibri" w:cs="Calibri"/>
          <w:b/>
          <w:sz w:val="24"/>
          <w:szCs w:val="24"/>
        </w:rPr>
        <w:t>6</w:t>
      </w:r>
      <w:r w:rsidR="00162BFF">
        <w:rPr>
          <w:rFonts w:ascii="Calibri" w:hAnsi="Calibri" w:cs="Calibri"/>
          <w:b/>
          <w:sz w:val="24"/>
          <w:szCs w:val="24"/>
        </w:rPr>
        <w:t>.</w:t>
      </w:r>
      <w:r w:rsidR="009E390C">
        <w:rPr>
          <w:rFonts w:ascii="Calibri" w:hAnsi="Calibri" w:cs="Calibri"/>
          <w:b/>
          <w:sz w:val="24"/>
          <w:szCs w:val="24"/>
        </w:rPr>
        <w:t>200</w:t>
      </w:r>
      <w:r w:rsidRPr="00CA6338">
        <w:rPr>
          <w:rFonts w:ascii="Calibri" w:hAnsi="Calibri" w:cs="Calibri"/>
          <w:b/>
          <w:sz w:val="24"/>
          <w:szCs w:val="24"/>
        </w:rPr>
        <w:t>,- Kč/rok bez DPH</w:t>
      </w:r>
      <w:r w:rsidRPr="00CA6338">
        <w:rPr>
          <w:rFonts w:ascii="Calibri" w:hAnsi="Calibri" w:cs="Calibri"/>
          <w:sz w:val="24"/>
          <w:szCs w:val="24"/>
        </w:rPr>
        <w:t xml:space="preserve"> (slovy – </w:t>
      </w:r>
      <w:proofErr w:type="spellStart"/>
      <w:r w:rsidR="00162BFF">
        <w:rPr>
          <w:rFonts w:ascii="Calibri" w:hAnsi="Calibri" w:cs="Calibri"/>
          <w:sz w:val="24"/>
          <w:szCs w:val="24"/>
        </w:rPr>
        <w:t>padesát</w:t>
      </w:r>
      <w:r w:rsidR="009E390C">
        <w:rPr>
          <w:rFonts w:ascii="Calibri" w:hAnsi="Calibri" w:cs="Calibri"/>
          <w:sz w:val="24"/>
          <w:szCs w:val="24"/>
        </w:rPr>
        <w:t>šesttisícdvěstěkorunčeských</w:t>
      </w:r>
      <w:proofErr w:type="spellEnd"/>
      <w:r w:rsidRPr="00CA6338">
        <w:rPr>
          <w:rFonts w:ascii="Calibri" w:hAnsi="Calibri" w:cs="Calibri"/>
          <w:sz w:val="24"/>
          <w:szCs w:val="24"/>
        </w:rPr>
        <w:t>).</w:t>
      </w:r>
    </w:p>
    <w:p w:rsidR="00CA6338" w:rsidRPr="00CA6338" w:rsidRDefault="00CA6338" w:rsidP="00CA6338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b/>
          <w:sz w:val="24"/>
          <w:szCs w:val="24"/>
        </w:rPr>
        <w:t>Platby za služby související s pronájmem</w:t>
      </w:r>
      <w:r w:rsidRPr="00CA6338">
        <w:rPr>
          <w:rFonts w:ascii="Calibri" w:hAnsi="Calibri" w:cs="Calibri"/>
          <w:sz w:val="24"/>
          <w:szCs w:val="24"/>
        </w:rPr>
        <w:t xml:space="preserve"> jsou stanoveny </w:t>
      </w:r>
      <w:r w:rsidRPr="00CA6338">
        <w:rPr>
          <w:rFonts w:ascii="Calibri" w:hAnsi="Calibri" w:cs="Calibri"/>
          <w:b/>
          <w:sz w:val="24"/>
          <w:szCs w:val="24"/>
        </w:rPr>
        <w:t xml:space="preserve">ve výši </w:t>
      </w:r>
      <w:r w:rsidR="00925167">
        <w:rPr>
          <w:rFonts w:ascii="Calibri" w:hAnsi="Calibri" w:cs="Calibri"/>
          <w:b/>
          <w:sz w:val="24"/>
          <w:szCs w:val="24"/>
        </w:rPr>
        <w:t>1</w:t>
      </w:r>
      <w:r w:rsidR="00162BFF">
        <w:rPr>
          <w:rFonts w:ascii="Calibri" w:hAnsi="Calibri" w:cs="Calibri"/>
          <w:b/>
          <w:sz w:val="24"/>
          <w:szCs w:val="24"/>
        </w:rPr>
        <w:t>2</w:t>
      </w:r>
      <w:r w:rsidRPr="00CA6338">
        <w:rPr>
          <w:rFonts w:ascii="Calibri" w:hAnsi="Calibri" w:cs="Calibri"/>
          <w:b/>
          <w:sz w:val="24"/>
          <w:szCs w:val="24"/>
        </w:rPr>
        <w:t>.</w:t>
      </w:r>
      <w:r w:rsidR="009E390C">
        <w:rPr>
          <w:rFonts w:ascii="Calibri" w:hAnsi="Calibri" w:cs="Calibri"/>
          <w:b/>
          <w:sz w:val="24"/>
          <w:szCs w:val="24"/>
        </w:rPr>
        <w:t>76</w:t>
      </w:r>
      <w:r>
        <w:rPr>
          <w:rFonts w:ascii="Calibri" w:hAnsi="Calibri" w:cs="Calibri"/>
          <w:b/>
          <w:sz w:val="24"/>
          <w:szCs w:val="24"/>
        </w:rPr>
        <w:t>0</w:t>
      </w:r>
      <w:r w:rsidRPr="00CA6338">
        <w:rPr>
          <w:rFonts w:ascii="Calibri" w:hAnsi="Calibri" w:cs="Calibri"/>
          <w:b/>
          <w:sz w:val="24"/>
          <w:szCs w:val="24"/>
        </w:rPr>
        <w:t>,- Kč/rok bez DPH</w:t>
      </w:r>
      <w:r w:rsidRPr="00CA6338">
        <w:rPr>
          <w:rFonts w:ascii="Calibri" w:hAnsi="Calibri" w:cs="Calibri"/>
          <w:sz w:val="24"/>
          <w:szCs w:val="24"/>
        </w:rPr>
        <w:t xml:space="preserve"> (slovy – </w:t>
      </w:r>
      <w:proofErr w:type="spellStart"/>
      <w:r w:rsidR="00162BFF">
        <w:rPr>
          <w:rFonts w:ascii="Calibri" w:hAnsi="Calibri" w:cs="Calibri"/>
          <w:sz w:val="24"/>
          <w:szCs w:val="24"/>
        </w:rPr>
        <w:t>dvanácttisíc</w:t>
      </w:r>
      <w:r w:rsidR="009E390C">
        <w:rPr>
          <w:rFonts w:ascii="Calibri" w:hAnsi="Calibri" w:cs="Calibri"/>
          <w:sz w:val="24"/>
          <w:szCs w:val="24"/>
        </w:rPr>
        <w:t>sedmsetšedesátkorunčeských</w:t>
      </w:r>
      <w:proofErr w:type="spellEnd"/>
      <w:r w:rsidRPr="00CA6338">
        <w:rPr>
          <w:rFonts w:ascii="Calibri" w:hAnsi="Calibri" w:cs="Calibri"/>
          <w:sz w:val="24"/>
          <w:szCs w:val="24"/>
        </w:rPr>
        <w:t xml:space="preserve">). Platbami za služby související s pronájmem se rozumí spotřeba energií, služby při vytápění objektu, </w:t>
      </w:r>
      <w:proofErr w:type="gramStart"/>
      <w:r w:rsidRPr="00CA6338">
        <w:rPr>
          <w:rFonts w:ascii="Calibri" w:hAnsi="Calibri" w:cs="Calibri"/>
          <w:sz w:val="24"/>
          <w:szCs w:val="24"/>
        </w:rPr>
        <w:t>úklid,</w:t>
      </w:r>
      <w:proofErr w:type="gramEnd"/>
      <w:r w:rsidRPr="00CA6338">
        <w:rPr>
          <w:rFonts w:ascii="Calibri" w:hAnsi="Calibri" w:cs="Calibri"/>
          <w:sz w:val="24"/>
          <w:szCs w:val="24"/>
        </w:rPr>
        <w:t xml:space="preserve"> atd.</w:t>
      </w:r>
    </w:p>
    <w:p w:rsidR="00CA6338" w:rsidRPr="00CA6338" w:rsidRDefault="00CA6338" w:rsidP="00CA6338">
      <w:pPr>
        <w:numPr>
          <w:ilvl w:val="0"/>
          <w:numId w:val="3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b/>
          <w:sz w:val="24"/>
          <w:szCs w:val="24"/>
        </w:rPr>
        <w:t xml:space="preserve">Celková cena za nájem a za služby související s pronájmem činí </w:t>
      </w:r>
      <w:r w:rsidR="00162BFF">
        <w:rPr>
          <w:rFonts w:ascii="Calibri" w:hAnsi="Calibri" w:cs="Calibri"/>
          <w:b/>
          <w:sz w:val="24"/>
          <w:szCs w:val="24"/>
        </w:rPr>
        <w:t>6</w:t>
      </w:r>
      <w:r w:rsidR="009E390C">
        <w:rPr>
          <w:rFonts w:ascii="Calibri" w:hAnsi="Calibri" w:cs="Calibri"/>
          <w:b/>
          <w:sz w:val="24"/>
          <w:szCs w:val="24"/>
        </w:rPr>
        <w:t>8</w:t>
      </w:r>
      <w:r w:rsidRPr="00CA6338">
        <w:rPr>
          <w:rFonts w:ascii="Calibri" w:hAnsi="Calibri" w:cs="Calibri"/>
          <w:b/>
          <w:sz w:val="24"/>
          <w:szCs w:val="24"/>
        </w:rPr>
        <w:t>.</w:t>
      </w:r>
      <w:r w:rsidR="009E390C">
        <w:rPr>
          <w:rFonts w:ascii="Calibri" w:hAnsi="Calibri" w:cs="Calibri"/>
          <w:b/>
          <w:sz w:val="24"/>
          <w:szCs w:val="24"/>
        </w:rPr>
        <w:t>960</w:t>
      </w:r>
      <w:r w:rsidRPr="00CA6338">
        <w:rPr>
          <w:rFonts w:ascii="Calibri" w:hAnsi="Calibri" w:cs="Calibri"/>
          <w:b/>
          <w:sz w:val="24"/>
          <w:szCs w:val="24"/>
        </w:rPr>
        <w:t xml:space="preserve">,- Kč bez DPH </w:t>
      </w:r>
      <w:r w:rsidRPr="00CA6338">
        <w:rPr>
          <w:rFonts w:ascii="Calibri" w:hAnsi="Calibri" w:cs="Calibri"/>
          <w:sz w:val="24"/>
          <w:szCs w:val="24"/>
        </w:rPr>
        <w:t xml:space="preserve">(slovy – </w:t>
      </w:r>
      <w:proofErr w:type="spellStart"/>
      <w:r w:rsidR="00162BFF">
        <w:rPr>
          <w:rFonts w:ascii="Calibri" w:hAnsi="Calibri" w:cs="Calibri"/>
          <w:sz w:val="24"/>
          <w:szCs w:val="24"/>
        </w:rPr>
        <w:t>šedesát</w:t>
      </w:r>
      <w:r w:rsidR="009E390C">
        <w:rPr>
          <w:rFonts w:ascii="Calibri" w:hAnsi="Calibri" w:cs="Calibri"/>
          <w:sz w:val="24"/>
          <w:szCs w:val="24"/>
        </w:rPr>
        <w:t>osmtisícdevětsetšedesátkorun</w:t>
      </w:r>
      <w:r w:rsidR="00162BFF">
        <w:rPr>
          <w:rFonts w:ascii="Calibri" w:hAnsi="Calibri" w:cs="Calibri"/>
          <w:sz w:val="24"/>
          <w:szCs w:val="24"/>
        </w:rPr>
        <w:t>českých</w:t>
      </w:r>
      <w:proofErr w:type="spellEnd"/>
      <w:r w:rsidRPr="00CA6338">
        <w:rPr>
          <w:rFonts w:ascii="Calibri" w:hAnsi="Calibri" w:cs="Calibri"/>
          <w:sz w:val="24"/>
          <w:szCs w:val="24"/>
        </w:rPr>
        <w:t>).</w:t>
      </w:r>
    </w:p>
    <w:p w:rsidR="00CA6338" w:rsidRPr="00CA6338" w:rsidRDefault="00CA6338" w:rsidP="00CA6338">
      <w:pPr>
        <w:tabs>
          <w:tab w:val="left" w:pos="360"/>
        </w:tabs>
        <w:spacing w:after="60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sz w:val="24"/>
          <w:szCs w:val="24"/>
        </w:rPr>
        <w:t>4.</w:t>
      </w:r>
      <w:r w:rsidRPr="00CA6338">
        <w:rPr>
          <w:rFonts w:ascii="Calibri" w:hAnsi="Calibri" w:cs="Calibri"/>
          <w:sz w:val="24"/>
          <w:szCs w:val="24"/>
        </w:rPr>
        <w:tab/>
        <w:t>Nájemné včetně plateb za služby související s pronájmem je splatné ve čtyřech splátkách vždy k 5. dni prvního měsíce čtvrtletí na účet pronajímatele. Výše splátky je stanovena platným Splátkovým kalendářem, který tvoří nedílnou součást této smlouvy.</w:t>
      </w:r>
    </w:p>
    <w:p w:rsidR="00CA6338" w:rsidRPr="00CA6338" w:rsidRDefault="00CA6338" w:rsidP="00CA6338">
      <w:pPr>
        <w:tabs>
          <w:tab w:val="left" w:pos="360"/>
        </w:tabs>
        <w:spacing w:after="60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sz w:val="24"/>
          <w:szCs w:val="24"/>
        </w:rPr>
        <w:lastRenderedPageBreak/>
        <w:t>5.</w:t>
      </w:r>
      <w:r w:rsidRPr="00CA6338">
        <w:rPr>
          <w:rFonts w:ascii="Calibri" w:hAnsi="Calibri" w:cs="Calibri"/>
          <w:sz w:val="24"/>
          <w:szCs w:val="24"/>
        </w:rPr>
        <w:tab/>
        <w:t xml:space="preserve">Pro případ nedodržení termínu splatnosti se sjednává smluvní pokuta ve výši </w:t>
      </w:r>
      <w:proofErr w:type="gramStart"/>
      <w:r w:rsidRPr="00CA6338">
        <w:rPr>
          <w:rFonts w:ascii="Calibri" w:hAnsi="Calibri" w:cs="Calibri"/>
          <w:sz w:val="24"/>
          <w:szCs w:val="24"/>
        </w:rPr>
        <w:t>0,05%</w:t>
      </w:r>
      <w:proofErr w:type="gramEnd"/>
      <w:r w:rsidRPr="00CA6338">
        <w:rPr>
          <w:rFonts w:ascii="Calibri" w:hAnsi="Calibri" w:cs="Calibri"/>
          <w:sz w:val="24"/>
          <w:szCs w:val="24"/>
        </w:rPr>
        <w:t xml:space="preserve"> z dlužné částky za každý den prodlení.</w:t>
      </w:r>
    </w:p>
    <w:p w:rsidR="00CA6338" w:rsidRPr="00CA6338" w:rsidRDefault="00CA6338" w:rsidP="00CA6338">
      <w:pPr>
        <w:tabs>
          <w:tab w:val="left" w:pos="360"/>
        </w:tabs>
        <w:spacing w:after="60"/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sz w:val="24"/>
          <w:szCs w:val="24"/>
        </w:rPr>
        <w:t>6.</w:t>
      </w:r>
      <w:r w:rsidRPr="00CA6338">
        <w:rPr>
          <w:rFonts w:ascii="Calibri" w:hAnsi="Calibri" w:cs="Calibri"/>
          <w:sz w:val="24"/>
          <w:szCs w:val="24"/>
        </w:rPr>
        <w:tab/>
        <w:t>Povinnost platit nájemné vzniká nájemci ode dne převzetí předmětu nájmu.</w:t>
      </w:r>
    </w:p>
    <w:p w:rsidR="00CA6338" w:rsidRPr="00CA6338" w:rsidRDefault="00CA6338" w:rsidP="00CA6338">
      <w:pPr>
        <w:spacing w:after="240"/>
        <w:ind w:left="397" w:hanging="397"/>
        <w:jc w:val="both"/>
        <w:rPr>
          <w:rFonts w:ascii="Calibri" w:hAnsi="Calibri" w:cs="Calibri"/>
          <w:sz w:val="24"/>
          <w:szCs w:val="24"/>
        </w:rPr>
      </w:pPr>
      <w:r w:rsidRPr="00CA6338">
        <w:rPr>
          <w:rFonts w:ascii="Calibri" w:hAnsi="Calibri" w:cs="Calibri"/>
          <w:sz w:val="24"/>
          <w:szCs w:val="24"/>
        </w:rPr>
        <w:t>7.</w:t>
      </w:r>
      <w:r w:rsidRPr="00CA6338">
        <w:rPr>
          <w:rFonts w:ascii="Calibri" w:hAnsi="Calibri" w:cs="Calibri"/>
          <w:sz w:val="24"/>
          <w:szCs w:val="24"/>
        </w:rPr>
        <w:tab/>
        <w:t>Pronajímatel je oprávněn od 1. ledna každého běžného roku zvýšit nájemné v závislosti na inflaci naší měny. Pronajímatel může zvýšit nájemné až o míru inflace vyhlášenou ČSÚ za uplynulý rok nebo roky od poslední úpravy ceny nájmu. Navýšení ceny nájmu bude nájemci oznámeno po vyhlášení míry inflace a doúčtováno zpětně od 1. 1. běžného roku.</w:t>
      </w:r>
    </w:p>
    <w:p w:rsidR="00FD4330" w:rsidRPr="00FD4330" w:rsidRDefault="00FD4330" w:rsidP="00FD4330">
      <w:pPr>
        <w:spacing w:after="480"/>
        <w:jc w:val="both"/>
        <w:rPr>
          <w:rFonts w:asciiTheme="minorHAnsi" w:hAnsiTheme="minorHAnsi" w:cs="Arial"/>
          <w:sz w:val="24"/>
          <w:szCs w:val="24"/>
        </w:rPr>
      </w:pPr>
      <w:r w:rsidRPr="00FD4330">
        <w:rPr>
          <w:rFonts w:asciiTheme="minorHAnsi" w:hAnsiTheme="minorHAnsi" w:cs="Arial"/>
          <w:sz w:val="24"/>
          <w:szCs w:val="24"/>
        </w:rPr>
        <w:t xml:space="preserve">Dodatek č. </w:t>
      </w:r>
      <w:r w:rsidR="009E390C">
        <w:rPr>
          <w:rFonts w:asciiTheme="minorHAnsi" w:hAnsiTheme="minorHAnsi" w:cs="Arial"/>
          <w:sz w:val="24"/>
          <w:szCs w:val="24"/>
        </w:rPr>
        <w:t>8</w:t>
      </w:r>
      <w:r w:rsidRPr="00FD4330">
        <w:rPr>
          <w:rFonts w:asciiTheme="minorHAnsi" w:hAnsiTheme="minorHAnsi" w:cs="Arial"/>
          <w:sz w:val="24"/>
          <w:szCs w:val="24"/>
        </w:rPr>
        <w:t xml:space="preserve"> nabývá účinnosti dnem 1.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2531B">
        <w:rPr>
          <w:rFonts w:asciiTheme="minorHAnsi" w:hAnsiTheme="minorHAnsi" w:cs="Arial"/>
          <w:sz w:val="24"/>
          <w:szCs w:val="24"/>
        </w:rPr>
        <w:t>4</w:t>
      </w:r>
      <w:r w:rsidRPr="00FD4330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D4330">
        <w:rPr>
          <w:rFonts w:asciiTheme="minorHAnsi" w:hAnsiTheme="minorHAnsi" w:cs="Arial"/>
          <w:sz w:val="24"/>
          <w:szCs w:val="24"/>
        </w:rPr>
        <w:t>20</w:t>
      </w:r>
      <w:r w:rsidR="00306200">
        <w:rPr>
          <w:rFonts w:asciiTheme="minorHAnsi" w:hAnsiTheme="minorHAnsi" w:cs="Arial"/>
          <w:sz w:val="24"/>
          <w:szCs w:val="24"/>
        </w:rPr>
        <w:t>2</w:t>
      </w:r>
      <w:r w:rsidR="009E390C">
        <w:rPr>
          <w:rFonts w:asciiTheme="minorHAnsi" w:hAnsiTheme="minorHAnsi" w:cs="Arial"/>
          <w:sz w:val="24"/>
          <w:szCs w:val="24"/>
        </w:rPr>
        <w:t>6</w:t>
      </w:r>
      <w:r w:rsidRPr="00FD4330">
        <w:rPr>
          <w:rFonts w:asciiTheme="minorHAnsi" w:hAnsiTheme="minorHAnsi" w:cs="Arial"/>
          <w:sz w:val="24"/>
          <w:szCs w:val="24"/>
        </w:rPr>
        <w:t>,</w:t>
      </w:r>
      <w:r w:rsidR="0002531B">
        <w:rPr>
          <w:rFonts w:asciiTheme="minorHAnsi" w:hAnsiTheme="minorHAnsi" w:cs="Arial"/>
          <w:sz w:val="24"/>
          <w:szCs w:val="24"/>
        </w:rPr>
        <w:t xml:space="preserve"> </w:t>
      </w:r>
      <w:r w:rsidRPr="00FD4330">
        <w:rPr>
          <w:rFonts w:asciiTheme="minorHAnsi" w:hAnsiTheme="minorHAnsi" w:cs="Arial"/>
          <w:sz w:val="24"/>
          <w:szCs w:val="24"/>
        </w:rPr>
        <w:t xml:space="preserve">přičemž ostatní ustanovení Smlouvy o pronájmu ze dne </w:t>
      </w:r>
      <w:r w:rsidR="00CA6338">
        <w:rPr>
          <w:rFonts w:asciiTheme="minorHAnsi" w:hAnsiTheme="minorHAnsi" w:cs="Arial"/>
          <w:sz w:val="24"/>
          <w:szCs w:val="24"/>
        </w:rPr>
        <w:t>2</w:t>
      </w:r>
      <w:r w:rsidRPr="00FD4330">
        <w:rPr>
          <w:rFonts w:asciiTheme="minorHAnsi" w:hAnsiTheme="minorHAnsi" w:cs="Arial"/>
          <w:sz w:val="24"/>
          <w:szCs w:val="24"/>
        </w:rPr>
        <w:t xml:space="preserve">. </w:t>
      </w:r>
      <w:r w:rsidR="0002531B">
        <w:rPr>
          <w:rFonts w:asciiTheme="minorHAnsi" w:hAnsiTheme="minorHAnsi" w:cs="Arial"/>
          <w:sz w:val="24"/>
          <w:szCs w:val="24"/>
        </w:rPr>
        <w:t>3</w:t>
      </w:r>
      <w:r w:rsidRPr="00FD4330">
        <w:rPr>
          <w:rFonts w:asciiTheme="minorHAnsi" w:hAnsiTheme="minorHAnsi" w:cs="Arial"/>
          <w:sz w:val="24"/>
          <w:szCs w:val="24"/>
        </w:rPr>
        <w:t>. 201</w:t>
      </w:r>
      <w:r w:rsidR="00CA6338">
        <w:rPr>
          <w:rFonts w:asciiTheme="minorHAnsi" w:hAnsiTheme="minorHAnsi" w:cs="Arial"/>
          <w:sz w:val="24"/>
          <w:szCs w:val="24"/>
        </w:rPr>
        <w:t>8</w:t>
      </w:r>
      <w:r w:rsidRPr="00FD4330">
        <w:rPr>
          <w:rFonts w:asciiTheme="minorHAnsi" w:hAnsiTheme="minorHAnsi" w:cs="Arial"/>
          <w:sz w:val="24"/>
          <w:szCs w:val="24"/>
        </w:rPr>
        <w:t xml:space="preserve"> zůstávají v platnosti beze změny.</w:t>
      </w:r>
      <w:r w:rsidR="00306200">
        <w:rPr>
          <w:rFonts w:asciiTheme="minorHAnsi" w:hAnsiTheme="minorHAnsi" w:cs="Arial"/>
          <w:sz w:val="24"/>
          <w:szCs w:val="24"/>
        </w:rPr>
        <w:t xml:space="preserve"> Dodatek č. </w:t>
      </w:r>
      <w:r w:rsidR="009E390C">
        <w:rPr>
          <w:rFonts w:asciiTheme="minorHAnsi" w:hAnsiTheme="minorHAnsi" w:cs="Arial"/>
          <w:sz w:val="24"/>
          <w:szCs w:val="24"/>
        </w:rPr>
        <w:t>7</w:t>
      </w:r>
      <w:r w:rsidR="00306200">
        <w:rPr>
          <w:rFonts w:asciiTheme="minorHAnsi" w:hAnsiTheme="minorHAnsi" w:cs="Arial"/>
          <w:sz w:val="24"/>
          <w:szCs w:val="24"/>
        </w:rPr>
        <w:t xml:space="preserve"> ze dne </w:t>
      </w:r>
      <w:r w:rsidR="009170B0">
        <w:rPr>
          <w:rFonts w:asciiTheme="minorHAnsi" w:hAnsiTheme="minorHAnsi" w:cs="Arial"/>
          <w:sz w:val="24"/>
          <w:szCs w:val="24"/>
        </w:rPr>
        <w:t>5</w:t>
      </w:r>
      <w:r w:rsidR="00306200">
        <w:rPr>
          <w:rFonts w:asciiTheme="minorHAnsi" w:hAnsiTheme="minorHAnsi" w:cs="Arial"/>
          <w:sz w:val="24"/>
          <w:szCs w:val="24"/>
        </w:rPr>
        <w:t>. 3. 20</w:t>
      </w:r>
      <w:r w:rsidR="006155D3">
        <w:rPr>
          <w:rFonts w:asciiTheme="minorHAnsi" w:hAnsiTheme="minorHAnsi" w:cs="Arial"/>
          <w:sz w:val="24"/>
          <w:szCs w:val="24"/>
        </w:rPr>
        <w:t>2</w:t>
      </w:r>
      <w:r w:rsidR="009E390C">
        <w:rPr>
          <w:rFonts w:asciiTheme="minorHAnsi" w:hAnsiTheme="minorHAnsi" w:cs="Arial"/>
          <w:sz w:val="24"/>
          <w:szCs w:val="24"/>
        </w:rPr>
        <w:t>5</w:t>
      </w:r>
      <w:r w:rsidR="00306200">
        <w:rPr>
          <w:rFonts w:asciiTheme="minorHAnsi" w:hAnsiTheme="minorHAnsi" w:cs="Arial"/>
          <w:sz w:val="24"/>
          <w:szCs w:val="24"/>
        </w:rPr>
        <w:t xml:space="preserve"> pozbývá platnosti dnem 31. 3. 202</w:t>
      </w:r>
      <w:r w:rsidR="009E390C">
        <w:rPr>
          <w:rFonts w:asciiTheme="minorHAnsi" w:hAnsiTheme="minorHAnsi" w:cs="Arial"/>
          <w:sz w:val="24"/>
          <w:szCs w:val="24"/>
        </w:rPr>
        <w:t>6</w:t>
      </w:r>
      <w:r w:rsidR="00306200">
        <w:rPr>
          <w:rFonts w:asciiTheme="minorHAnsi" w:hAnsiTheme="minorHAnsi" w:cs="Arial"/>
          <w:sz w:val="24"/>
          <w:szCs w:val="24"/>
        </w:rPr>
        <w:t>.</w:t>
      </w:r>
    </w:p>
    <w:p w:rsidR="00FD4330" w:rsidRPr="00D146A4" w:rsidRDefault="00FD4330" w:rsidP="00E060D2">
      <w:pPr>
        <w:spacing w:after="480"/>
        <w:jc w:val="both"/>
        <w:rPr>
          <w:rFonts w:asciiTheme="minorHAnsi" w:hAnsiTheme="minorHAnsi" w:cs="Arial"/>
          <w:sz w:val="24"/>
          <w:szCs w:val="24"/>
        </w:rPr>
      </w:pPr>
    </w:p>
    <w:p w:rsidR="00D146A4" w:rsidRDefault="00D146A4" w:rsidP="00CA6338">
      <w:pPr>
        <w:spacing w:after="1800"/>
        <w:rPr>
          <w:rFonts w:asciiTheme="minorHAnsi" w:hAnsiTheme="minorHAnsi" w:cs="Arial"/>
          <w:sz w:val="24"/>
          <w:szCs w:val="24"/>
        </w:rPr>
      </w:pPr>
      <w:r w:rsidRPr="00D146A4">
        <w:rPr>
          <w:rFonts w:asciiTheme="minorHAnsi" w:hAnsiTheme="minorHAnsi" w:cs="Arial"/>
          <w:sz w:val="24"/>
          <w:szCs w:val="24"/>
        </w:rPr>
        <w:t xml:space="preserve">V Praze dne </w:t>
      </w:r>
      <w:r w:rsidR="009E390C">
        <w:rPr>
          <w:rFonts w:asciiTheme="minorHAnsi" w:hAnsiTheme="minorHAnsi" w:cs="Arial"/>
          <w:sz w:val="24"/>
          <w:szCs w:val="24"/>
        </w:rPr>
        <w:t>3</w:t>
      </w:r>
      <w:r w:rsidRPr="00D146A4">
        <w:rPr>
          <w:rFonts w:asciiTheme="minorHAnsi" w:hAnsiTheme="minorHAnsi" w:cs="Arial"/>
          <w:sz w:val="24"/>
          <w:szCs w:val="24"/>
        </w:rPr>
        <w:t xml:space="preserve">. </w:t>
      </w:r>
      <w:r w:rsidR="0002531B">
        <w:rPr>
          <w:rFonts w:asciiTheme="minorHAnsi" w:hAnsiTheme="minorHAnsi" w:cs="Arial"/>
          <w:sz w:val="24"/>
          <w:szCs w:val="24"/>
        </w:rPr>
        <w:t>března 20</w:t>
      </w:r>
      <w:r w:rsidR="00306200">
        <w:rPr>
          <w:rFonts w:asciiTheme="minorHAnsi" w:hAnsiTheme="minorHAnsi" w:cs="Arial"/>
          <w:sz w:val="24"/>
          <w:szCs w:val="24"/>
        </w:rPr>
        <w:t>2</w:t>
      </w:r>
      <w:r w:rsidR="009E390C">
        <w:rPr>
          <w:rFonts w:asciiTheme="minorHAnsi" w:hAnsiTheme="minorHAnsi" w:cs="Arial"/>
          <w:sz w:val="24"/>
          <w:szCs w:val="24"/>
        </w:rPr>
        <w:t>6</w:t>
      </w:r>
      <w:bookmarkStart w:id="0" w:name="_GoBack"/>
      <w:bookmarkEnd w:id="0"/>
    </w:p>
    <w:p w:rsidR="00CA6338" w:rsidRPr="00D146A4" w:rsidRDefault="00CA6338" w:rsidP="00CA6338">
      <w:pPr>
        <w:spacing w:after="1800"/>
        <w:rPr>
          <w:rFonts w:asciiTheme="minorHAnsi" w:hAnsiTheme="minorHAnsi" w:cs="Arial"/>
          <w:b/>
          <w:sz w:val="24"/>
          <w:szCs w:val="24"/>
        </w:rPr>
      </w:pPr>
    </w:p>
    <w:p w:rsidR="00D146A4" w:rsidRPr="00D146A4" w:rsidRDefault="00D146A4" w:rsidP="00D146A4">
      <w:pPr>
        <w:pStyle w:val="Podnadpis"/>
        <w:jc w:val="left"/>
        <w:rPr>
          <w:rFonts w:asciiTheme="minorHAnsi" w:hAnsiTheme="minorHAnsi" w:cs="Arial"/>
          <w:b w:val="0"/>
          <w:sz w:val="24"/>
          <w:szCs w:val="24"/>
          <w:u w:val="none"/>
        </w:rPr>
      </w:pP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………………………………</w:t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>………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…….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…………………………………</w:t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>……..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……..</w:t>
      </w:r>
    </w:p>
    <w:p w:rsidR="00D146A4" w:rsidRPr="00D146A4" w:rsidRDefault="00D146A4" w:rsidP="00E060D2">
      <w:pPr>
        <w:pStyle w:val="Podnadpis"/>
        <w:tabs>
          <w:tab w:val="left" w:pos="6804"/>
        </w:tabs>
        <w:ind w:left="709"/>
        <w:jc w:val="left"/>
        <w:rPr>
          <w:rFonts w:asciiTheme="minorHAnsi" w:hAnsiTheme="minorHAnsi" w:cs="Arial"/>
          <w:b w:val="0"/>
          <w:sz w:val="24"/>
          <w:szCs w:val="24"/>
          <w:u w:val="none"/>
        </w:rPr>
      </w:pP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>pronajímatel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="00E060D2" w:rsidRPr="00E060D2">
        <w:rPr>
          <w:rFonts w:asciiTheme="minorHAnsi" w:hAnsiTheme="minorHAnsi" w:cs="Arial"/>
          <w:b w:val="0"/>
          <w:sz w:val="24"/>
          <w:szCs w:val="24"/>
          <w:u w:val="none"/>
        </w:rPr>
        <w:t>nájemce</w:t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Pr="00D146A4">
        <w:rPr>
          <w:rFonts w:asciiTheme="minorHAnsi" w:hAnsiTheme="minorHAnsi" w:cs="Arial"/>
          <w:b w:val="0"/>
          <w:sz w:val="24"/>
          <w:szCs w:val="24"/>
          <w:u w:val="none"/>
        </w:rPr>
        <w:tab/>
      </w:r>
      <w:r w:rsidR="00E060D2">
        <w:rPr>
          <w:rFonts w:asciiTheme="minorHAnsi" w:hAnsiTheme="minorHAnsi" w:cs="Arial"/>
          <w:b w:val="0"/>
          <w:sz w:val="24"/>
          <w:szCs w:val="24"/>
          <w:u w:val="none"/>
        </w:rPr>
        <w:tab/>
      </w:r>
    </w:p>
    <w:p w:rsidR="00DD1835" w:rsidRPr="00D146A4" w:rsidRDefault="00E060D2" w:rsidP="00D146A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DD1835" w:rsidRPr="00D146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0E" w:rsidRDefault="007D790E" w:rsidP="007D790E">
      <w:r>
        <w:separator/>
      </w:r>
    </w:p>
  </w:endnote>
  <w:endnote w:type="continuationSeparator" w:id="0">
    <w:p w:rsidR="007D790E" w:rsidRDefault="007D790E" w:rsidP="007D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3266847"/>
      <w:docPartObj>
        <w:docPartGallery w:val="Page Numbers (Bottom of Page)"/>
        <w:docPartUnique/>
      </w:docPartObj>
    </w:sdtPr>
    <w:sdtEndPr/>
    <w:sdtContent>
      <w:p w:rsidR="007D790E" w:rsidRDefault="007D79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D790E" w:rsidRDefault="007D7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0E" w:rsidRDefault="007D790E" w:rsidP="007D790E">
      <w:r>
        <w:separator/>
      </w:r>
    </w:p>
  </w:footnote>
  <w:footnote w:type="continuationSeparator" w:id="0">
    <w:p w:rsidR="007D790E" w:rsidRDefault="007D790E" w:rsidP="007D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4CE3"/>
    <w:multiLevelType w:val="hybridMultilevel"/>
    <w:tmpl w:val="B234F8BE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84812"/>
    <w:multiLevelType w:val="hybridMultilevel"/>
    <w:tmpl w:val="D172A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359CF"/>
    <w:multiLevelType w:val="hybridMultilevel"/>
    <w:tmpl w:val="A99C2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377C7"/>
    <w:multiLevelType w:val="hybridMultilevel"/>
    <w:tmpl w:val="62642E5C"/>
    <w:lvl w:ilvl="0" w:tplc="7C7AD9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A4"/>
    <w:rsid w:val="0002531B"/>
    <w:rsid w:val="000262BA"/>
    <w:rsid w:val="0004722D"/>
    <w:rsid w:val="0012481B"/>
    <w:rsid w:val="00162BFF"/>
    <w:rsid w:val="001C6047"/>
    <w:rsid w:val="00217FC0"/>
    <w:rsid w:val="00306200"/>
    <w:rsid w:val="00334EBD"/>
    <w:rsid w:val="006155D3"/>
    <w:rsid w:val="00737B30"/>
    <w:rsid w:val="007B0E75"/>
    <w:rsid w:val="007D790E"/>
    <w:rsid w:val="00852A36"/>
    <w:rsid w:val="008C2B3E"/>
    <w:rsid w:val="009170B0"/>
    <w:rsid w:val="00925167"/>
    <w:rsid w:val="00950C82"/>
    <w:rsid w:val="009E390C"/>
    <w:rsid w:val="00A54137"/>
    <w:rsid w:val="00A56C7B"/>
    <w:rsid w:val="00AC0791"/>
    <w:rsid w:val="00B45CB5"/>
    <w:rsid w:val="00CA6338"/>
    <w:rsid w:val="00D146A4"/>
    <w:rsid w:val="00D818B9"/>
    <w:rsid w:val="00DD1835"/>
    <w:rsid w:val="00E060D2"/>
    <w:rsid w:val="00E14880"/>
    <w:rsid w:val="00FD4330"/>
    <w:rsid w:val="00F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49BA"/>
  <w15:docId w15:val="{9686B941-8819-4D84-B016-05CE67E3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4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146A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D146A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D146A4"/>
    <w:pPr>
      <w:jc w:val="center"/>
    </w:pPr>
    <w:rPr>
      <w:b/>
      <w:sz w:val="28"/>
      <w:u w:val="single"/>
    </w:rPr>
  </w:style>
  <w:style w:type="character" w:customStyle="1" w:styleId="PodnadpisChar">
    <w:name w:val="Podnadpis Char"/>
    <w:basedOn w:val="Standardnpsmoodstavce"/>
    <w:link w:val="Podnadpis"/>
    <w:rsid w:val="00D146A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7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9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D7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90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elektroniky a strojírenství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vera.lencova</dc:creator>
  <cp:lastModifiedBy>Věra Lencová</cp:lastModifiedBy>
  <cp:revision>2</cp:revision>
  <dcterms:created xsi:type="dcterms:W3CDTF">2026-03-02T11:31:00Z</dcterms:created>
  <dcterms:modified xsi:type="dcterms:W3CDTF">2026-03-02T11:31:00Z</dcterms:modified>
</cp:coreProperties>
</file>