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3D" w:rsidRDefault="00E56661">
      <w:pPr>
        <w:pStyle w:val="Standard"/>
        <w:rPr>
          <w:rFonts w:hint="eastAsia"/>
        </w:rPr>
      </w:pPr>
      <w:r>
        <w:rPr>
          <w:noProof/>
          <w:lang w:eastAsia="cs-CZ" w:bidi="ar-SA"/>
        </w:rPr>
        <w:drawing>
          <wp:inline distT="0" distB="0" distL="0" distR="0">
            <wp:extent cx="1743839" cy="469440"/>
            <wp:effectExtent l="0" t="0" r="8761" b="681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839" cy="469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B3D" w:rsidRDefault="00853B3D">
      <w:pPr>
        <w:pStyle w:val="Standard"/>
        <w:rPr>
          <w:rFonts w:hint="eastAsia"/>
        </w:rPr>
      </w:pPr>
    </w:p>
    <w:p w:rsidR="00853B3D" w:rsidRDefault="00E5666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Národní památkový ústav, státní příspěvková organizace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NPÚ-450/7657/2026</w:t>
      </w:r>
    </w:p>
    <w:p w:rsidR="00853B3D" w:rsidRDefault="00E56661">
      <w:pPr>
        <w:pStyle w:val="Standard"/>
        <w:rPr>
          <w:rFonts w:ascii="Calibri" w:hAnsi="Calibri"/>
        </w:rPr>
      </w:pPr>
      <w:r>
        <w:rPr>
          <w:rFonts w:ascii="Calibri" w:hAnsi="Calibri"/>
        </w:rPr>
        <w:t>se sídlem: Valdštejnské nám. 162/3, Praha 1, 118 01</w:t>
      </w:r>
    </w:p>
    <w:p w:rsidR="00853B3D" w:rsidRDefault="00E5666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IČO:  </w:t>
      </w:r>
      <w:r>
        <w:rPr>
          <w:rFonts w:ascii="Calibri" w:hAnsi="Calibri" w:cs="Arial"/>
          <w:sz w:val="22"/>
          <w:szCs w:val="22"/>
        </w:rPr>
        <w:t>75032333, DIČ: CZ  75032333</w:t>
      </w:r>
    </w:p>
    <w:p w:rsidR="00853B3D" w:rsidRDefault="00E56661">
      <w:pPr>
        <w:pStyle w:val="Standar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zastoupen: </w:t>
      </w:r>
      <w:r>
        <w:rPr>
          <w:rFonts w:ascii="Calibri" w:hAnsi="Calibri" w:cs="Arial"/>
          <w:sz w:val="22"/>
          <w:szCs w:val="22"/>
        </w:rPr>
        <w:t>ing. Petrem Šubíkem, ředitelem ÚPS v Kroměříži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sz w:val="22"/>
          <w:szCs w:val="22"/>
        </w:rPr>
        <w:t>Doručovací adresa: Sněmovní nám. 1, 767 01 Kroměříž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t>bankovní spojení: ČNB, č. ú.: 300003-60039011/0710</w:t>
      </w:r>
    </w:p>
    <w:p w:rsidR="00853B3D" w:rsidRDefault="00853B3D">
      <w:pPr>
        <w:pStyle w:val="Default"/>
        <w:widowControl w:val="0"/>
        <w:jc w:val="both"/>
      </w:pPr>
    </w:p>
    <w:p w:rsidR="00853B3D" w:rsidRDefault="00E56661">
      <w:pPr>
        <w:pStyle w:val="Default"/>
        <w:widowControl w:val="0"/>
        <w:jc w:val="both"/>
      </w:pPr>
      <w:r>
        <w:t>zástupce pro věcná jednání:</w:t>
      </w:r>
    </w:p>
    <w:p w:rsidR="00853B3D" w:rsidRDefault="00B70B00">
      <w:pPr>
        <w:pStyle w:val="Default"/>
        <w:widowControl w:val="0"/>
        <w:jc w:val="both"/>
      </w:pPr>
      <w:r>
        <w:t>xxxxxxxxxxxxxx, tel. xxxxxxxxxxxxx</w:t>
      </w:r>
      <w:r w:rsidR="00E56661">
        <w:t xml:space="preserve">, e-mail: </w:t>
      </w:r>
      <w:r>
        <w:t>xxxxxxxxxxxx</w:t>
      </w:r>
    </w:p>
    <w:p w:rsidR="00853B3D" w:rsidRDefault="00E56661">
      <w:pPr>
        <w:pStyle w:val="Default"/>
        <w:widowControl w:val="0"/>
        <w:jc w:val="both"/>
      </w:pPr>
      <w:r>
        <w:t>Státní zámek Lysice, Zámecká 1, 671 79 Lysice</w:t>
      </w:r>
    </w:p>
    <w:p w:rsidR="00853B3D" w:rsidRDefault="00B70B00">
      <w:pPr>
        <w:pStyle w:val="Default"/>
        <w:widowControl w:val="0"/>
        <w:jc w:val="both"/>
      </w:pPr>
      <w:r>
        <w:t>xxxxxxxxxxxxxx, mobil: xxxxxxxxxxxxx</w:t>
      </w:r>
    </w:p>
    <w:p w:rsidR="00853B3D" w:rsidRDefault="00E56661">
      <w:pPr>
        <w:pStyle w:val="Default"/>
        <w:widowControl w:val="0"/>
        <w:jc w:val="both"/>
      </w:pPr>
      <w:r>
        <w:t>(dále jen půjčitel)</w:t>
      </w:r>
    </w:p>
    <w:p w:rsidR="00853B3D" w:rsidRDefault="00853B3D">
      <w:pPr>
        <w:pStyle w:val="Default"/>
        <w:widowControl w:val="0"/>
        <w:jc w:val="both"/>
      </w:pPr>
    </w:p>
    <w:p w:rsidR="00853B3D" w:rsidRDefault="00E56661">
      <w:pPr>
        <w:pStyle w:val="Default"/>
        <w:widowControl w:val="0"/>
        <w:jc w:val="both"/>
      </w:pPr>
      <w:r>
        <w:t>a</w:t>
      </w:r>
    </w:p>
    <w:p w:rsidR="00853B3D" w:rsidRDefault="00853B3D">
      <w:pPr>
        <w:pStyle w:val="Default"/>
        <w:widowControl w:val="0"/>
        <w:jc w:val="both"/>
      </w:pPr>
    </w:p>
    <w:p w:rsidR="00853B3D" w:rsidRDefault="00E56661">
      <w:pPr>
        <w:pStyle w:val="Default"/>
        <w:widowControl w:val="0"/>
        <w:jc w:val="both"/>
      </w:pPr>
      <w:r>
        <w:t>Moravské zemské muzeum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b/>
          <w:sz w:val="22"/>
          <w:szCs w:val="22"/>
        </w:rPr>
        <w:t xml:space="preserve">IČ: </w:t>
      </w:r>
      <w:r>
        <w:rPr>
          <w:b/>
        </w:rPr>
        <w:t>00094862</w:t>
      </w:r>
      <w:r>
        <w:rPr>
          <w:rFonts w:cs="Arial"/>
          <w:b/>
          <w:sz w:val="22"/>
          <w:szCs w:val="22"/>
        </w:rPr>
        <w:t xml:space="preserve"> DIČ: </w:t>
      </w:r>
      <w:r>
        <w:rPr>
          <w:b/>
        </w:rPr>
        <w:t>CZ00094862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b/>
          <w:sz w:val="22"/>
          <w:szCs w:val="22"/>
        </w:rPr>
        <w:t>se sídlem Zelný trh 6, 659 37 Brno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b/>
          <w:sz w:val="22"/>
          <w:szCs w:val="22"/>
        </w:rPr>
        <w:t xml:space="preserve">zastoupené </w:t>
      </w:r>
      <w:r w:rsidR="00B70B00">
        <w:rPr>
          <w:rFonts w:cs="Arial"/>
          <w:b/>
          <w:sz w:val="22"/>
          <w:szCs w:val="22"/>
        </w:rPr>
        <w:t>xxxxxxxxxxxx</w:t>
      </w:r>
      <w:r>
        <w:rPr>
          <w:rFonts w:cs="Arial"/>
          <w:b/>
          <w:sz w:val="22"/>
          <w:szCs w:val="22"/>
        </w:rPr>
        <w:t>, generálním ředitelem Moravského zemského muzea</w:t>
      </w:r>
    </w:p>
    <w:p w:rsidR="00853B3D" w:rsidRDefault="00B70B00">
      <w:pPr>
        <w:pStyle w:val="Default"/>
        <w:keepNext/>
        <w:keepLines/>
        <w:widowControl w:val="0"/>
        <w:jc w:val="both"/>
      </w:pPr>
      <w:r>
        <w:rPr>
          <w:rFonts w:cs="Arial"/>
          <w:sz w:val="22"/>
          <w:szCs w:val="22"/>
        </w:rPr>
        <w:t>tel: xxxxxxxxxxxxxx, e-mail: xxxxxxxxxxxxx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sz w:val="22"/>
          <w:szCs w:val="22"/>
        </w:rPr>
        <w:t>zástupce pro věc</w:t>
      </w:r>
      <w:r w:rsidR="00B70B00">
        <w:rPr>
          <w:rFonts w:cs="Arial"/>
          <w:sz w:val="22"/>
          <w:szCs w:val="22"/>
        </w:rPr>
        <w:t>ná jednání: xxxxxxxxxxxxx</w:t>
      </w:r>
      <w:r>
        <w:rPr>
          <w:rFonts w:cs="Arial"/>
          <w:sz w:val="22"/>
          <w:szCs w:val="22"/>
        </w:rPr>
        <w:t>, kastelánka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sz w:val="22"/>
          <w:szCs w:val="22"/>
        </w:rPr>
        <w:t>mobil:</w:t>
      </w:r>
      <w:r>
        <w:t xml:space="preserve"> </w:t>
      </w:r>
      <w:r w:rsidR="00B70B00">
        <w:rPr>
          <w:rFonts w:cs="Arial"/>
          <w:sz w:val="22"/>
          <w:szCs w:val="22"/>
        </w:rPr>
        <w:t>xxxxxxxxxxxxxx</w:t>
      </w:r>
      <w:bookmarkStart w:id="0" w:name="_GoBack"/>
      <w:bookmarkEnd w:id="0"/>
      <w:r w:rsidR="00B70B00">
        <w:rPr>
          <w:rFonts w:cs="Arial"/>
          <w:sz w:val="22"/>
          <w:szCs w:val="22"/>
        </w:rPr>
        <w:t>, e-mail: xxxxxxxxxxxxxxx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b/>
          <w:sz w:val="22"/>
          <w:szCs w:val="22"/>
        </w:rPr>
        <w:t>Zámek Moravec, Moravec 1,</w:t>
      </w:r>
      <w:r>
        <w:rPr>
          <w:b/>
        </w:rPr>
        <w:t xml:space="preserve"> </w:t>
      </w:r>
      <w:r>
        <w:rPr>
          <w:rFonts w:cs="Arial"/>
          <w:b/>
          <w:sz w:val="22"/>
          <w:szCs w:val="22"/>
        </w:rPr>
        <w:t>592 54 Moravec</w:t>
      </w:r>
    </w:p>
    <w:p w:rsidR="00853B3D" w:rsidRDefault="00E56661">
      <w:pPr>
        <w:pStyle w:val="Default"/>
        <w:keepNext/>
        <w:keepLines/>
        <w:widowControl w:val="0"/>
        <w:jc w:val="both"/>
      </w:pPr>
      <w:r>
        <w:rPr>
          <w:rFonts w:cs="Arial"/>
          <w:sz w:val="22"/>
          <w:szCs w:val="22"/>
        </w:rPr>
        <w:t xml:space="preserve">bankovní spojení: </w:t>
      </w:r>
      <w:r w:rsidR="00B70B00">
        <w:rPr>
          <w:rFonts w:cs="Arial"/>
          <w:sz w:val="22"/>
          <w:szCs w:val="22"/>
        </w:rPr>
        <w:t>xxxxxxxxxxxxxxxxx</w:t>
      </w:r>
    </w:p>
    <w:p w:rsidR="00853B3D" w:rsidRDefault="00E56661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„vypůjčitel“)</w:t>
      </w:r>
    </w:p>
    <w:p w:rsidR="00853B3D" w:rsidRDefault="00853B3D">
      <w:pPr>
        <w:pStyle w:val="Default"/>
        <w:widowControl w:val="0"/>
        <w:jc w:val="both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Jako smluvní strany uzavřely níže uvedeného dne, měsíce a roku tento  </w:t>
      </w:r>
    </w:p>
    <w:p w:rsidR="00853B3D" w:rsidRDefault="00E56661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Dodatek č. 1</w:t>
      </w:r>
    </w:p>
    <w:p w:rsidR="00853B3D" w:rsidRDefault="00853B3D">
      <w:pPr>
        <w:pStyle w:val="Default"/>
        <w:widowControl w:val="0"/>
        <w:jc w:val="center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Článek I.</w:t>
      </w:r>
    </w:p>
    <w:p w:rsidR="00853B3D" w:rsidRDefault="00E56661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Úvodní ustanovení</w:t>
      </w:r>
    </w:p>
    <w:p w:rsidR="00853B3D" w:rsidRDefault="00853B3D">
      <w:pPr>
        <w:pStyle w:val="Default"/>
        <w:widowControl w:val="0"/>
        <w:jc w:val="center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1.1.</w:t>
      </w:r>
      <w:r>
        <w:rPr>
          <w:rFonts w:cs="Arial"/>
          <w:sz w:val="22"/>
          <w:szCs w:val="22"/>
        </w:rPr>
        <w:t xml:space="preserve">  Na základě smlouvy o výpůjčce čj. </w:t>
      </w:r>
      <w:r>
        <w:rPr>
          <w:rFonts w:cs="Arial"/>
          <w:b/>
          <w:bCs/>
          <w:sz w:val="22"/>
          <w:szCs w:val="22"/>
        </w:rPr>
        <w:t xml:space="preserve">NPÚ-450/91303/2023 </w:t>
      </w:r>
      <w:r>
        <w:rPr>
          <w:rFonts w:cs="Arial"/>
          <w:sz w:val="22"/>
          <w:szCs w:val="22"/>
        </w:rPr>
        <w:t xml:space="preserve">uzavřené mezi výše uvedenými stranami dne </w:t>
      </w:r>
      <w:r>
        <w:rPr>
          <w:rFonts w:cs="Arial"/>
          <w:b/>
          <w:bCs/>
          <w:sz w:val="22"/>
          <w:szCs w:val="22"/>
        </w:rPr>
        <w:t>28. 11. 2023</w:t>
      </w:r>
      <w:r>
        <w:rPr>
          <w:rFonts w:cs="Arial"/>
          <w:sz w:val="22"/>
          <w:szCs w:val="22"/>
        </w:rPr>
        <w:t xml:space="preserve"> (dále jen Smlouva) půjčitel bezúplatně přenechal vypůjčiteli knihovní fond Moravec z knihovního fondu Státního zámku Lysice k dočasnému užívání.</w:t>
      </w: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1.2. Předmětem tohoto Dodatku č. 1 je vynětí z výpůjčky části knihovního fondu, který bude vrácen na NPÚ-ÚPS Kroměříž k odbornému zpracování. Svazky vyňaté z výpůjčky jsou uvedené v Příloze č. 1. tohoto Dodatku č. 1. Půjčitel i vypůjčitel s tímto vyslovili</w:t>
      </w:r>
      <w:r>
        <w:rPr>
          <w:rFonts w:cs="Arial"/>
          <w:sz w:val="22"/>
          <w:szCs w:val="22"/>
        </w:rPr>
        <w:t xml:space="preserve"> souhlas.</w:t>
      </w: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Článek II</w:t>
      </w:r>
    </w:p>
    <w:p w:rsidR="00853B3D" w:rsidRDefault="00E56661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Změna smlouvy</w:t>
      </w:r>
    </w:p>
    <w:p w:rsidR="00853B3D" w:rsidRDefault="00853B3D">
      <w:pPr>
        <w:pStyle w:val="Default"/>
        <w:widowControl w:val="0"/>
        <w:jc w:val="center"/>
        <w:rPr>
          <w:rFonts w:cs="Arial"/>
          <w:b/>
          <w:bCs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Smluvní strany se dohodly, že smlouva se mění takto:</w:t>
      </w: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sz w:val="22"/>
          <w:szCs w:val="22"/>
        </w:rPr>
        <w:t>Předmětem výpůjčky je soubor knih z knihovního fondu Moravec uloženého původně na zámku Lysice a zapsaného v Ústředním seznamu kulturních památek ČR pod rejstřík</w:t>
      </w:r>
      <w:r>
        <w:rPr>
          <w:sz w:val="22"/>
          <w:szCs w:val="22"/>
        </w:rPr>
        <w:t xml:space="preserve">ovým číslem 13327/37-196923, evidovaný pod běžnými čísly 13001-18567 o celkovém počtu 8443 svazků, jejichž seznam tvoří Přílohu č. 1 původní Smlouvy. Jejich celková </w:t>
      </w:r>
      <w:r w:rsidR="00B70B00">
        <w:rPr>
          <w:sz w:val="22"/>
          <w:szCs w:val="22"/>
        </w:rPr>
        <w:t>pojistná hodnota činí xxxxxxxx</w:t>
      </w:r>
      <w:r>
        <w:rPr>
          <w:sz w:val="22"/>
          <w:szCs w:val="22"/>
        </w:rPr>
        <w:t xml:space="preserve"> Kč. Z původního seznamu jsou nově vyňaty </w:t>
      </w:r>
      <w:r>
        <w:rPr>
          <w:sz w:val="22"/>
          <w:szCs w:val="22"/>
        </w:rPr>
        <w:lastRenderedPageBreak/>
        <w:t>svazky uvedené Př</w:t>
      </w:r>
      <w:r>
        <w:rPr>
          <w:sz w:val="22"/>
          <w:szCs w:val="22"/>
        </w:rPr>
        <w:t>íloze č. 1 Dodatku č. 1. v počtu 25 svazků.</w:t>
      </w:r>
    </w:p>
    <w:p w:rsidR="00853B3D" w:rsidRDefault="00853B3D">
      <w:pPr>
        <w:pStyle w:val="Default"/>
        <w:widowControl w:val="0"/>
        <w:rPr>
          <w:sz w:val="22"/>
          <w:szCs w:val="22"/>
        </w:rPr>
      </w:pP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2. Ostatní ustanovení smlouvy zůstávají beze změny.</w:t>
      </w:r>
    </w:p>
    <w:p w:rsidR="00853B3D" w:rsidRDefault="00853B3D">
      <w:pPr>
        <w:pStyle w:val="Default"/>
        <w:widowControl w:val="0"/>
        <w:rPr>
          <w:sz w:val="22"/>
          <w:szCs w:val="22"/>
        </w:rPr>
      </w:pPr>
    </w:p>
    <w:p w:rsidR="00853B3D" w:rsidRDefault="00853B3D">
      <w:pPr>
        <w:pStyle w:val="Default"/>
        <w:widowControl w:val="0"/>
        <w:rPr>
          <w:sz w:val="22"/>
          <w:szCs w:val="22"/>
        </w:rPr>
      </w:pPr>
    </w:p>
    <w:p w:rsidR="00853B3D" w:rsidRDefault="00E56661">
      <w:pPr>
        <w:pStyle w:val="Default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III</w:t>
      </w:r>
    </w:p>
    <w:p w:rsidR="00853B3D" w:rsidRDefault="00E56661">
      <w:pPr>
        <w:pStyle w:val="Default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853B3D" w:rsidRDefault="00853B3D">
      <w:pPr>
        <w:pStyle w:val="Default"/>
        <w:widowControl w:val="0"/>
        <w:rPr>
          <w:rFonts w:cs="Arial"/>
          <w:b/>
          <w:bCs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Tento dodatek se uzavírá elektronickou formou s kvalifikovanými elektronickými podpisy smluvních stran.</w:t>
      </w: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Tento </w:t>
      </w:r>
      <w:r>
        <w:rPr>
          <w:rFonts w:cs="Arial"/>
          <w:sz w:val="22"/>
          <w:szCs w:val="22"/>
        </w:rPr>
        <w:t xml:space="preserve">dodatek nabývá platnosti a účinnosti dnem podpisu oběma smluvními stranami. // Tento dodatek podléhá povinnosti uveřejnění dle zákona č. 340/2015 Sb., o zvláštních podmínkách účinnosti některých smluv, uveřejňování těchto smluv a o registru smluv (zákon o </w:t>
      </w:r>
      <w:r>
        <w:rPr>
          <w:rFonts w:cs="Arial"/>
          <w:sz w:val="22"/>
          <w:szCs w:val="22"/>
        </w:rPr>
        <w:t>registru smluv), ve znění pozdějších předpisů. Účinnosti nabývá dnem uveřejnění v registru smluv, uveřejnění zajistí pronajímatel. Smluvní strany berou na vědomí, že tento dodatek může být předmětem zveřejnění i dle jiných právních předpisů.</w:t>
      </w: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Tento dodat</w:t>
      </w:r>
      <w:r>
        <w:rPr>
          <w:rFonts w:cs="Arial"/>
          <w:sz w:val="22"/>
          <w:szCs w:val="22"/>
        </w:rPr>
        <w:t>ek je uzavřen v souladu s příslušnými ustanoveními obecně závazných právních předpisů, a to zejména zákona č. 89/2012 Sb., občanský zákoník, ve znění pozdějších předpisů, a zákona č. 219/2000 Sb., o majetku České republiky a jejím vystupování v právních vz</w:t>
      </w:r>
      <w:r>
        <w:rPr>
          <w:rFonts w:cs="Arial"/>
          <w:sz w:val="22"/>
          <w:szCs w:val="22"/>
        </w:rPr>
        <w:t>tazích, ve znění pozdějších předpisů.</w:t>
      </w:r>
    </w:p>
    <w:p w:rsidR="00853B3D" w:rsidRDefault="00E56661">
      <w:pPr>
        <w:pStyle w:val="Default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Smluvní strany prohlašují, že tento dodatek uzavřely podle své pravé a svobodné vůle prosté omylů, nikoliv v tísni. Znění dodatku je pro obě smluvní strany určité a srozumitelné.</w:t>
      </w: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p w:rsidR="00853B3D" w:rsidRDefault="00853B3D">
      <w:pPr>
        <w:pStyle w:val="Default"/>
        <w:widowControl w:val="0"/>
        <w:rPr>
          <w:rFonts w:cs="Arial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53B3D">
        <w:tblPrEx>
          <w:tblCellMar>
            <w:top w:w="0" w:type="dxa"/>
            <w:bottom w:w="0" w:type="dxa"/>
          </w:tblCellMar>
        </w:tblPrEx>
        <w:trPr>
          <w:trHeight w:val="1695"/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r>
              <w:rPr>
                <w:rFonts w:ascii="Calibri" w:hAnsi="Calibri" w:cs="Calibri"/>
                <w:shd w:val="clear" w:color="auto" w:fill="FFFFFF"/>
              </w:rPr>
              <w:t>Kroměříži</w:t>
            </w:r>
            <w:r w:rsidR="00B70B00">
              <w:rPr>
                <w:rFonts w:ascii="Calibri" w:hAnsi="Calibri" w:cs="Calibri"/>
              </w:rPr>
              <w:t>, dne 16. 2. 2026</w:t>
            </w: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…………………………………………..</w:t>
            </w: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(podpis pronajímatele)</w:t>
            </w: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/razítko/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3D" w:rsidRDefault="00B70B00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V Brně, dne 24. 2. 2026</w:t>
            </w:r>
            <w:r w:rsidR="00E56661">
              <w:rPr>
                <w:rFonts w:ascii="Calibri" w:hAnsi="Calibri" w:cs="Calibri"/>
                <w:shd w:val="clear" w:color="auto" w:fill="FFFFFF"/>
              </w:rPr>
              <w:t>    </w:t>
            </w: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853B3D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…………………………………………..</w:t>
            </w: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(podpis nájemce)</w:t>
            </w:r>
          </w:p>
          <w:p w:rsidR="00853B3D" w:rsidRDefault="00E56661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/razítko/</w:t>
            </w:r>
          </w:p>
        </w:tc>
      </w:tr>
    </w:tbl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853B3D">
      <w:pPr>
        <w:pStyle w:val="Standard"/>
        <w:widowControl w:val="0"/>
        <w:rPr>
          <w:rFonts w:cs="Arial" w:hint="eastAsia"/>
          <w:sz w:val="22"/>
          <w:szCs w:val="22"/>
        </w:rPr>
      </w:pPr>
    </w:p>
    <w:p w:rsidR="00853B3D" w:rsidRDefault="00E56661">
      <w:pPr>
        <w:pStyle w:val="Standard"/>
        <w:widowControl w:val="0"/>
        <w:jc w:val="center"/>
        <w:rPr>
          <w:rFonts w:cs="Arial" w:hint="eastAsia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>Příloha č. 1. Dodatku č. 1. NPÚ-450/7657/2026</w:t>
      </w:r>
    </w:p>
    <w:p w:rsidR="00853B3D" w:rsidRDefault="00853B3D">
      <w:pPr>
        <w:pStyle w:val="Standard"/>
        <w:widowControl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14275: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14276: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14277: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14278: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14280: </w:t>
      </w:r>
    </w:p>
    <w:p w:rsidR="00B70B00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14286a-c: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14289a-b: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14290a-b: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14294: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14295: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15514: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16599a-b: 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16602: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16605a-d: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16608: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18307: </w:t>
      </w:r>
    </w:p>
    <w:p w:rsidR="00853B3D" w:rsidRDefault="00E5666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ZK MO 18329: </w:t>
      </w:r>
    </w:p>
    <w:sectPr w:rsidR="00853B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1" w:rsidRDefault="00E56661">
      <w:pPr>
        <w:rPr>
          <w:rFonts w:hint="eastAsia"/>
        </w:rPr>
      </w:pPr>
      <w:r>
        <w:separator/>
      </w:r>
    </w:p>
  </w:endnote>
  <w:endnote w:type="continuationSeparator" w:id="0">
    <w:p w:rsidR="00E56661" w:rsidRDefault="00E566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1" w:rsidRDefault="00E5666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6661" w:rsidRDefault="00E566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53B3D"/>
    <w:rsid w:val="00853B3D"/>
    <w:rsid w:val="00B70B00"/>
    <w:rsid w:val="00E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76322-2D92-4706-A1AC-D59F1DB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alibri" w:eastAsia="Times New Roman" w:hAnsi="Calibri" w:cs="Calibri"/>
      <w:color w:val="000000"/>
    </w:r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Jindřiška</dc:creator>
  <cp:lastModifiedBy>Suchánková Jindřiška</cp:lastModifiedBy>
  <cp:revision>2</cp:revision>
  <cp:lastPrinted>2026-02-03T10:45:00Z</cp:lastPrinted>
  <dcterms:created xsi:type="dcterms:W3CDTF">2026-03-02T17:54:00Z</dcterms:created>
  <dcterms:modified xsi:type="dcterms:W3CDTF">2026-03-02T17:54:00Z</dcterms:modified>
</cp:coreProperties>
</file>