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84FE3" w14:textId="77777777" w:rsidR="003B4436" w:rsidRPr="003B4436" w:rsidRDefault="003B4436" w:rsidP="003B4436">
      <w:pPr>
        <w:pStyle w:val="Nadpis1"/>
      </w:pPr>
      <w:r w:rsidRPr="003B4436">
        <w:t>Řízení rizik</w:t>
      </w:r>
    </w:p>
    <w:p w14:paraId="611D9F50" w14:textId="77777777" w:rsidR="003B4436" w:rsidRPr="003B4436" w:rsidRDefault="003B4436" w:rsidP="003B4436">
      <w:pPr>
        <w:pStyle w:val="Nadpis2"/>
        <w:keepNext w:val="0"/>
        <w:keepLines w:val="0"/>
      </w:pPr>
      <w:r w:rsidRPr="003B4436">
        <w:t>Výčet a definice hlavních druhů rizik</w:t>
      </w:r>
    </w:p>
    <w:p w14:paraId="4875B6D3" w14:textId="04A4ADCB" w:rsidR="003B4436" w:rsidRDefault="003B4436" w:rsidP="003B4436">
      <w:r>
        <w:t>Pro účely</w:t>
      </w:r>
      <w:r w:rsidR="00771700">
        <w:t xml:space="preserve"> finančního řízení Fondu IFN pro SC 3.5 </w:t>
      </w:r>
      <w:r>
        <w:t>(dále jen „Fond</w:t>
      </w:r>
      <w:r w:rsidR="00FE264D">
        <w:t xml:space="preserve"> IFN</w:t>
      </w:r>
      <w:r w:rsidR="00091250">
        <w:t>“) ve smyslu Dohody o </w:t>
      </w:r>
      <w:r>
        <w:t>financování (dále jen „</w:t>
      </w:r>
      <w:r w:rsidR="00BB5E7F">
        <w:t>Dohoda</w:t>
      </w:r>
      <w:r>
        <w:t>“)</w:t>
      </w:r>
      <w:r w:rsidR="00FE264D">
        <w:t xml:space="preserve"> uzavřené mezi SFŽP a Ministerstvem</w:t>
      </w:r>
      <w:r>
        <w:t xml:space="preserve"> jsou identifikována následující hlavní rizika</w:t>
      </w:r>
      <w:r w:rsidR="00CF7165" w:rsidRPr="00CF7165">
        <w:t xml:space="preserve"> z hlediska možných ztrát alokace vyčleněné pro IFN</w:t>
      </w:r>
      <w:r w:rsidR="005C39E7">
        <w:t>.</w:t>
      </w:r>
    </w:p>
    <w:p w14:paraId="66F392AB" w14:textId="77777777" w:rsidR="003B4436" w:rsidRPr="00091250" w:rsidRDefault="003B4436" w:rsidP="00091250">
      <w:pPr>
        <w:pStyle w:val="Nadpis3"/>
        <w:rPr>
          <w:rStyle w:val="Nadpis3Char"/>
          <w:b/>
          <w:sz w:val="22"/>
        </w:rPr>
      </w:pPr>
      <w:r w:rsidRPr="00091250">
        <w:rPr>
          <w:rStyle w:val="Nadpis3Char"/>
          <w:b/>
          <w:sz w:val="22"/>
        </w:rPr>
        <w:t>Úvěrové riziko (</w:t>
      </w:r>
      <w:proofErr w:type="spellStart"/>
      <w:r w:rsidRPr="00091250">
        <w:rPr>
          <w:rStyle w:val="Nadpis3Char"/>
          <w:b/>
          <w:sz w:val="22"/>
        </w:rPr>
        <w:t>credit</w:t>
      </w:r>
      <w:proofErr w:type="spellEnd"/>
      <w:r w:rsidRPr="00091250">
        <w:rPr>
          <w:rStyle w:val="Nadpis3Char"/>
          <w:b/>
          <w:sz w:val="22"/>
        </w:rPr>
        <w:t xml:space="preserve"> risk)</w:t>
      </w:r>
    </w:p>
    <w:p w14:paraId="294E980B" w14:textId="23C2E93C" w:rsidR="003B4436" w:rsidRPr="003B4436" w:rsidRDefault="003B4436" w:rsidP="003B4436">
      <w:r>
        <w:t>P</w:t>
      </w:r>
      <w:r w:rsidRPr="003B4436">
        <w:t xml:space="preserve">říjemce </w:t>
      </w:r>
      <w:r w:rsidR="00D92CC1">
        <w:t>zá</w:t>
      </w:r>
      <w:r w:rsidRPr="003B4436">
        <w:t xml:space="preserve">půjčky nedostojí svým závazkům vůči </w:t>
      </w:r>
      <w:r w:rsidR="00FE264D">
        <w:t>SFŽP</w:t>
      </w:r>
      <w:r w:rsidRPr="003B4436">
        <w:t>, jedná se o ne</w:t>
      </w:r>
      <w:r w:rsidR="005C39E7">
        <w:t>jvýznamnější riziko ve vztahu k </w:t>
      </w:r>
      <w:r w:rsidRPr="003B4436">
        <w:t xml:space="preserve">ustanovením </w:t>
      </w:r>
      <w:r w:rsidR="00BB5E7F">
        <w:t>Dohody</w:t>
      </w:r>
      <w:r w:rsidR="005C39E7">
        <w:t>.</w:t>
      </w:r>
    </w:p>
    <w:p w14:paraId="472BA361" w14:textId="77777777" w:rsidR="003B4436" w:rsidRPr="00771700" w:rsidRDefault="003B4436" w:rsidP="00771700">
      <w:pPr>
        <w:pStyle w:val="Nadpis3"/>
      </w:pPr>
      <w:r w:rsidRPr="00771700">
        <w:t>Riziko likvidity (</w:t>
      </w:r>
      <w:proofErr w:type="spellStart"/>
      <w:r w:rsidRPr="00771700">
        <w:t>liquidity</w:t>
      </w:r>
      <w:proofErr w:type="spellEnd"/>
      <w:r w:rsidRPr="00771700">
        <w:t xml:space="preserve"> risk)</w:t>
      </w:r>
    </w:p>
    <w:p w14:paraId="7027A1B8" w14:textId="5E8FFCF4" w:rsidR="003B4436" w:rsidRDefault="00FE264D" w:rsidP="003B4436">
      <w:r>
        <w:t xml:space="preserve">SFŽP </w:t>
      </w:r>
      <w:r w:rsidR="003B4436" w:rsidRPr="003B4436">
        <w:t>nebude mít dostatek volných finančních prostředků ke krytí svých závazků.</w:t>
      </w:r>
    </w:p>
    <w:p w14:paraId="3B73F5BF" w14:textId="088D68F7" w:rsidR="003B4436" w:rsidRDefault="003B4436" w:rsidP="003B4436">
      <w:pPr>
        <w:pStyle w:val="Nadpis3"/>
        <w:keepNext w:val="0"/>
      </w:pPr>
      <w:r>
        <w:t>Kurzové riziko (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risk) </w:t>
      </w:r>
    </w:p>
    <w:p w14:paraId="18077AA2" w14:textId="77777777" w:rsidR="00627E0D" w:rsidRDefault="003B4436" w:rsidP="00627E0D">
      <w:r>
        <w:t>Při významných změnách kurzu CZK/EUR</w:t>
      </w:r>
      <w:r w:rsidR="003C0EC6">
        <w:t xml:space="preserve">. </w:t>
      </w:r>
    </w:p>
    <w:p w14:paraId="3636D2AD" w14:textId="71F857CA" w:rsidR="003B4436" w:rsidRPr="00091250" w:rsidRDefault="003B4436" w:rsidP="00091250">
      <w:pPr>
        <w:pStyle w:val="Nadpis3"/>
      </w:pPr>
      <w:r w:rsidRPr="00091250">
        <w:rPr>
          <w:rStyle w:val="Nadpis3Char"/>
          <w:b/>
          <w:sz w:val="22"/>
        </w:rPr>
        <w:t>Provozní riziko (</w:t>
      </w:r>
      <w:proofErr w:type="spellStart"/>
      <w:r w:rsidRPr="00091250">
        <w:rPr>
          <w:rStyle w:val="Nadpis3Char"/>
          <w:b/>
          <w:sz w:val="22"/>
        </w:rPr>
        <w:t>operation</w:t>
      </w:r>
      <w:proofErr w:type="spellEnd"/>
      <w:r w:rsidRPr="00091250">
        <w:rPr>
          <w:rStyle w:val="Nadpis3Char"/>
          <w:b/>
          <w:sz w:val="22"/>
        </w:rPr>
        <w:t xml:space="preserve"> risk)</w:t>
      </w:r>
    </w:p>
    <w:p w14:paraId="703CF4A9" w14:textId="340085BA" w:rsidR="003B4436" w:rsidRPr="003B4436" w:rsidRDefault="003B4436" w:rsidP="003B4436">
      <w:r>
        <w:t>R</w:t>
      </w:r>
      <w:r w:rsidRPr="003B4436">
        <w:t xml:space="preserve">iziko ztrát způsobených selháním lidského faktoru nebo </w:t>
      </w:r>
      <w:r w:rsidR="00FE264D">
        <w:t>informačních</w:t>
      </w:r>
      <w:r w:rsidRPr="003B4436">
        <w:t xml:space="preserve"> systémů. </w:t>
      </w:r>
    </w:p>
    <w:p w14:paraId="6D82F1FA" w14:textId="77777777" w:rsidR="003B4436" w:rsidRDefault="003B4436" w:rsidP="003B4436">
      <w:pPr>
        <w:pStyle w:val="Nadpis3"/>
        <w:keepNext w:val="0"/>
      </w:pPr>
      <w:r>
        <w:t>Ostatní rizika</w:t>
      </w:r>
    </w:p>
    <w:p w14:paraId="5389E3F4" w14:textId="77777777" w:rsidR="003B4436" w:rsidRDefault="003B4436" w:rsidP="00CE2256">
      <w:pPr>
        <w:pStyle w:val="Nadpis4"/>
      </w:pPr>
      <w:r w:rsidRPr="00624C93">
        <w:rPr>
          <w:b/>
        </w:rPr>
        <w:t>Právní riziko:</w:t>
      </w:r>
      <w:r>
        <w:t xml:space="preserve"> riziko nejednoznačné právní konstrukce smluv s příjemci, riziko nevymahatelnosti zajišťovacích instrumentů, riziko zásadních legislativních změn.</w:t>
      </w:r>
    </w:p>
    <w:p w14:paraId="6BFAE347" w14:textId="77777777" w:rsidR="003B4436" w:rsidRDefault="003B4436" w:rsidP="00CE2256">
      <w:pPr>
        <w:pStyle w:val="Nadpis4"/>
      </w:pPr>
      <w:r w:rsidRPr="00624C93">
        <w:rPr>
          <w:b/>
        </w:rPr>
        <w:t>Riziko cen nemovitostí:</w:t>
      </w:r>
      <w:r>
        <w:t xml:space="preserve"> při významném poklesu cen nemovitostí klesá hodnota zástav a tím stoupá hodnota nekrytého rizika.</w:t>
      </w:r>
    </w:p>
    <w:p w14:paraId="12EDFA41" w14:textId="1316FAAD" w:rsidR="003B4436" w:rsidRDefault="003B4436" w:rsidP="00CE2256">
      <w:pPr>
        <w:pStyle w:val="Nadpis4"/>
      </w:pPr>
      <w:r w:rsidRPr="00624C93">
        <w:rPr>
          <w:b/>
        </w:rPr>
        <w:t>Personální riziko:</w:t>
      </w:r>
      <w:r>
        <w:t xml:space="preserve"> vysoká míra fluktuace, n</w:t>
      </w:r>
      <w:r w:rsidR="007F1D94">
        <w:t xml:space="preserve">eudržení klíčových </w:t>
      </w:r>
      <w:r w:rsidR="00FE264D">
        <w:t xml:space="preserve">zaměstnanců </w:t>
      </w:r>
      <w:r w:rsidR="007F1D94">
        <w:t>a </w:t>
      </w:r>
      <w:r>
        <w:t>nenahrazení adekvátní náhradou.</w:t>
      </w:r>
    </w:p>
    <w:p w14:paraId="4EA652F9" w14:textId="1361750F" w:rsidR="003B4436" w:rsidRDefault="003B4436" w:rsidP="00CE2256">
      <w:pPr>
        <w:pStyle w:val="Nadpis4"/>
      </w:pPr>
      <w:r w:rsidRPr="00624C93">
        <w:rPr>
          <w:b/>
        </w:rPr>
        <w:t>Reputační riziko:</w:t>
      </w:r>
      <w:r>
        <w:t xml:space="preserve"> možné ohrožení dobrého jména </w:t>
      </w:r>
      <w:r w:rsidR="00FE264D">
        <w:t>SFŽP</w:t>
      </w:r>
      <w:r>
        <w:t>, zejména z důvodu významné trestné činnosti ohrožující výkon činnosti Fondu, popř. významného trendu v</w:t>
      </w:r>
      <w:r w:rsidR="005C39E7">
        <w:t xml:space="preserve"> boji proti legalizaci příjmů z </w:t>
      </w:r>
      <w:r>
        <w:t>trestné činnosti.</w:t>
      </w:r>
    </w:p>
    <w:p w14:paraId="5DC9FF9C" w14:textId="77777777" w:rsidR="003B4436" w:rsidRDefault="003B4436" w:rsidP="00771700">
      <w:pPr>
        <w:pStyle w:val="Nadpis2"/>
        <w:keepLines w:val="0"/>
      </w:pPr>
      <w:r>
        <w:t>Metody řízení hlavních druhů rizik</w:t>
      </w:r>
    </w:p>
    <w:p w14:paraId="295FE5C1" w14:textId="77777777" w:rsidR="003B4436" w:rsidRDefault="003B4436" w:rsidP="003B4436">
      <w:pPr>
        <w:pStyle w:val="Nadpis3"/>
        <w:keepNext w:val="0"/>
      </w:pPr>
      <w:r>
        <w:t>Úvěrové riziko</w:t>
      </w:r>
    </w:p>
    <w:p w14:paraId="5EFDEE09" w14:textId="26B4EA03" w:rsidR="003B4436" w:rsidRDefault="00FE264D" w:rsidP="00CE2256">
      <w:pPr>
        <w:pStyle w:val="Nadpis4"/>
      </w:pPr>
      <w:r>
        <w:t xml:space="preserve">SFŽP </w:t>
      </w:r>
      <w:r w:rsidR="003B4436">
        <w:t>aplikuje</w:t>
      </w:r>
      <w:r w:rsidR="00B47463">
        <w:t xml:space="preserve"> </w:t>
      </w:r>
      <w:r>
        <w:t xml:space="preserve">odbornou </w:t>
      </w:r>
      <w:r w:rsidR="003B4436">
        <w:t xml:space="preserve">metodiku pro vyhodnocení úvěrové způsobilosti a ratingu žadatele o </w:t>
      </w:r>
      <w:r w:rsidR="00067B68">
        <w:t>zá</w:t>
      </w:r>
      <w:r w:rsidR="003B4436">
        <w:t>půjčku, která je standardní pro finanční sektor.</w:t>
      </w:r>
    </w:p>
    <w:p w14:paraId="4EA1AFB4" w14:textId="561AF483" w:rsidR="003B4436" w:rsidRDefault="003B4436" w:rsidP="00CE2256">
      <w:pPr>
        <w:pStyle w:val="Nadpis4"/>
      </w:pPr>
      <w:r>
        <w:t xml:space="preserve">K eliminaci rizika využívá </w:t>
      </w:r>
      <w:r w:rsidR="00FE264D">
        <w:t xml:space="preserve">SFŽP </w:t>
      </w:r>
      <w:r>
        <w:t xml:space="preserve">specifické metody vyhodnocení úvěrové způsobilosti a ratingu pro jednotlivé typy žadatelů: </w:t>
      </w:r>
      <w:r w:rsidR="00FE264D">
        <w:t>úze</w:t>
      </w:r>
      <w:r w:rsidR="00B46149">
        <w:t>m</w:t>
      </w:r>
      <w:r w:rsidR="00FE264D">
        <w:t>ní samosprávné celky</w:t>
      </w:r>
      <w:r>
        <w:t>, podnikatelské subjekty, nevládní a neziskový sektor.</w:t>
      </w:r>
    </w:p>
    <w:p w14:paraId="2BDE5D77" w14:textId="69F061C2" w:rsidR="003B4436" w:rsidRDefault="003B4436" w:rsidP="00CE2256">
      <w:pPr>
        <w:pStyle w:val="Nadpis4"/>
      </w:pPr>
      <w:r>
        <w:lastRenderedPageBreak/>
        <w:t xml:space="preserve">Před uzavřením Smlouvy o poskytnutí podpory </w:t>
      </w:r>
      <w:r w:rsidR="003C0EC6">
        <w:t xml:space="preserve">Správce FN </w:t>
      </w:r>
      <w:r>
        <w:t xml:space="preserve">vyhodnocuje ve smyslu Nařízení </w:t>
      </w:r>
      <w:r w:rsidR="00C500DB">
        <w:t>K</w:t>
      </w:r>
      <w:r>
        <w:t xml:space="preserve">omise (EU) č. 651/2014, je-li to relevantní pro konkrétní žádost o </w:t>
      </w:r>
      <w:r w:rsidR="00163187">
        <w:t>zá</w:t>
      </w:r>
      <w:r>
        <w:t>půjčku, zda žadatel není podnikem v obtížích.</w:t>
      </w:r>
    </w:p>
    <w:p w14:paraId="0CB4663D" w14:textId="02EC36E3" w:rsidR="003B4436" w:rsidRDefault="003B4436" w:rsidP="00CE2256">
      <w:pPr>
        <w:pStyle w:val="Nadpis4"/>
      </w:pPr>
      <w:r>
        <w:t>Realizace výše uvedených opatření má charakter předběžné finanční kontroly před vznikem závazku</w:t>
      </w:r>
      <w:r w:rsidR="00B47463">
        <w:t xml:space="preserve"> </w:t>
      </w:r>
      <w:r w:rsidR="00FE264D">
        <w:t xml:space="preserve">SFŽP </w:t>
      </w:r>
      <w:r>
        <w:t xml:space="preserve">ve smyslu zákona </w:t>
      </w:r>
      <w:r w:rsidR="004C5A63">
        <w:t xml:space="preserve">č. </w:t>
      </w:r>
      <w:r>
        <w:t>320/2001 Sb.</w:t>
      </w:r>
      <w:r w:rsidR="004C5A63">
        <w:t>,</w:t>
      </w:r>
      <w:r>
        <w:t xml:space="preserve"> o finanční kontrole ve veřejné správě.</w:t>
      </w:r>
    </w:p>
    <w:p w14:paraId="7FC2FAFD" w14:textId="2D7D4FA0" w:rsidR="003B4436" w:rsidRDefault="003B4436" w:rsidP="00CE2256">
      <w:pPr>
        <w:pStyle w:val="Nadpis4"/>
      </w:pPr>
      <w:r>
        <w:t>Pro přímé zajišťování proti riziku (</w:t>
      </w:r>
      <w:proofErr w:type="spellStart"/>
      <w:r>
        <w:t>hedging</w:t>
      </w:r>
      <w:proofErr w:type="spellEnd"/>
      <w:r>
        <w:t xml:space="preserve">) </w:t>
      </w:r>
      <w:r w:rsidR="00FE264D">
        <w:t xml:space="preserve">SFŽP </w:t>
      </w:r>
      <w:r>
        <w:t>realizuje:</w:t>
      </w:r>
    </w:p>
    <w:p w14:paraId="7623AB07" w14:textId="15E61998" w:rsidR="003B4436" w:rsidRDefault="003B4436" w:rsidP="003B4436">
      <w:pPr>
        <w:pStyle w:val="Nadpis5"/>
      </w:pPr>
      <w:r>
        <w:t>smluvní zajišťovací instrumenty definované v Metodickém pokynu pro zajištění pohledávek k Směrnici MŽP č. 8/2017. Pohledávky</w:t>
      </w:r>
      <w:r w:rsidR="00B47463">
        <w:t xml:space="preserve"> </w:t>
      </w:r>
      <w:r w:rsidR="00FE264D">
        <w:t xml:space="preserve">SFŽP </w:t>
      </w:r>
      <w:r>
        <w:t xml:space="preserve">jsou vždy smluvně zajištěny ve výši minimálně 100 % jejich nominální hodnoty. </w:t>
      </w:r>
    </w:p>
    <w:p w14:paraId="516513C4" w14:textId="45E32D49" w:rsidR="003B4436" w:rsidRDefault="003B4436" w:rsidP="003B4436">
      <w:pPr>
        <w:pStyle w:val="Nadpis5"/>
      </w:pPr>
      <w:r>
        <w:t>příslušná ustanovení zákona č. 218/2000 Sb.</w:t>
      </w:r>
      <w:r w:rsidR="004C5A63">
        <w:t>,</w:t>
      </w:r>
      <w:r>
        <w:t xml:space="preserve"> o rozpočtových pravidlech, zejména o spolupráci s </w:t>
      </w:r>
      <w:r w:rsidR="007838B9">
        <w:t>orgány finanční správy</w:t>
      </w:r>
      <w:r>
        <w:t xml:space="preserve"> při porušení rozpočtové kázně a nesplácení závazků dlužníka</w:t>
      </w:r>
      <w:r w:rsidR="007838B9">
        <w:t xml:space="preserve">, resp. </w:t>
      </w:r>
      <w:r w:rsidR="003C0EC6">
        <w:t>K</w:t>
      </w:r>
      <w:r w:rsidR="00DF3631">
        <w:t xml:space="preserve">onečného </w:t>
      </w:r>
      <w:r w:rsidR="007838B9">
        <w:t>příjemce Podpory</w:t>
      </w:r>
      <w:r>
        <w:t>.</w:t>
      </w:r>
    </w:p>
    <w:p w14:paraId="2DB43985" w14:textId="616EA9D4" w:rsidR="003B4436" w:rsidRDefault="003B4436" w:rsidP="003B4436">
      <w:pPr>
        <w:pStyle w:val="Nadpis5"/>
      </w:pPr>
      <w:r>
        <w:t>ustanovení zákona č. 219/2000 Sb.</w:t>
      </w:r>
      <w:r w:rsidR="004C5A63">
        <w:t>,</w:t>
      </w:r>
      <w:r>
        <w:t xml:space="preserve"> o majetku státu, zejména o správě státních prostředků (péče řádného hospodáře, princip 3 E) formou konzervativní správy úvěrového portfolia.</w:t>
      </w:r>
    </w:p>
    <w:p w14:paraId="760F6BB2" w14:textId="16AD91B3" w:rsidR="003B4436" w:rsidRDefault="003B4436" w:rsidP="00CE2256">
      <w:pPr>
        <w:pStyle w:val="Nadpis4"/>
        <w:keepNext/>
      </w:pPr>
      <w:r>
        <w:t>SFŽP je nebankovní specializovanou státní f</w:t>
      </w:r>
      <w:r w:rsidR="007F1D94">
        <w:t xml:space="preserve">inanční institucí </w:t>
      </w:r>
      <w:proofErr w:type="spellStart"/>
      <w:r w:rsidR="007F1D94">
        <w:t>sui</w:t>
      </w:r>
      <w:proofErr w:type="spellEnd"/>
      <w:r w:rsidR="007F1D94">
        <w:t xml:space="preserve"> </w:t>
      </w:r>
      <w:proofErr w:type="spellStart"/>
      <w:r w:rsidR="007F1D94">
        <w:t>generis</w:t>
      </w:r>
      <w:proofErr w:type="spellEnd"/>
      <w:r w:rsidR="007F1D94">
        <w:t xml:space="preserve"> a </w:t>
      </w:r>
      <w:r>
        <w:t>přestože nepodléhá bankovnímu dohledu ČNB, přiměřené aplikuje vyhlášku ČNB č. </w:t>
      </w:r>
      <w:r w:rsidR="001B26E9">
        <w:t>163</w:t>
      </w:r>
      <w:r w:rsidR="00D95F13">
        <w:t>/2014 </w:t>
      </w:r>
      <w:bookmarkStart w:id="0" w:name="_GoBack"/>
      <w:bookmarkEnd w:id="0"/>
      <w:r>
        <w:t>Sb.</w:t>
      </w:r>
      <w:r w:rsidR="004C5A63">
        <w:t>,</w:t>
      </w:r>
      <w:r>
        <w:t xml:space="preserve"> o výkonu činnosti bank, spořitelních a úvěrních družstev a</w:t>
      </w:r>
      <w:r w:rsidR="007F1D94">
        <w:t> </w:t>
      </w:r>
      <w:r>
        <w:t>obchodníků s cennými p</w:t>
      </w:r>
      <w:r w:rsidR="005C39E7">
        <w:t>apíry (dále jen „Vyhláška“) a v </w:t>
      </w:r>
      <w:r>
        <w:t>rámci správy úvěrového portfolia provádí:</w:t>
      </w:r>
    </w:p>
    <w:p w14:paraId="48A37756" w14:textId="3473ECEE" w:rsidR="003B4436" w:rsidRDefault="003B4436" w:rsidP="003B4436">
      <w:pPr>
        <w:pStyle w:val="Nadpis5"/>
      </w:pPr>
      <w:r>
        <w:t xml:space="preserve">interní kategorizaci pohledávek </w:t>
      </w:r>
      <w:r w:rsidR="003C0EC6">
        <w:t xml:space="preserve">Správce FN </w:t>
      </w:r>
      <w:r>
        <w:t xml:space="preserve">z poskytnutých </w:t>
      </w:r>
      <w:r w:rsidR="00D92CC1">
        <w:t>zá</w:t>
      </w:r>
      <w:r>
        <w:t>půjček podle Pravidel pro posuzování aktiv (Hlava IV Vyhlášky) ve struktuře:</w:t>
      </w:r>
    </w:p>
    <w:p w14:paraId="4225F8D5" w14:textId="147BB362" w:rsidR="00CE2256" w:rsidRDefault="003B4436" w:rsidP="003B4436">
      <w:pPr>
        <w:pStyle w:val="Nadpis6"/>
      </w:pPr>
      <w:r>
        <w:t>pohledávky bez selhání dlužníka: standardní / sledované</w:t>
      </w:r>
      <w:r w:rsidR="005C39E7">
        <w:t>;</w:t>
      </w:r>
    </w:p>
    <w:p w14:paraId="45C7CE02" w14:textId="689D60DC" w:rsidR="00CE2256" w:rsidRDefault="003B4436" w:rsidP="003B4436">
      <w:pPr>
        <w:pStyle w:val="Nadpis6"/>
      </w:pPr>
      <w:r>
        <w:t>pohledávky se selháním dlužníka: nestandardní / pochybné/ ztrátové</w:t>
      </w:r>
      <w:r w:rsidR="005C39E7">
        <w:t>;</w:t>
      </w:r>
    </w:p>
    <w:p w14:paraId="1D36F945" w14:textId="7B43ED7C" w:rsidR="00CE2256" w:rsidRDefault="003B4436" w:rsidP="003B4436">
      <w:pPr>
        <w:pStyle w:val="Nadpis5"/>
      </w:pPr>
      <w:r>
        <w:t xml:space="preserve">průběžné vyhodnocování kvality zajištění zůstatkové hodnoty </w:t>
      </w:r>
      <w:r w:rsidR="00D92CC1">
        <w:t>zá</w:t>
      </w:r>
      <w:r>
        <w:t>půjčky, aktuálního ratingu a úvěrové způsobilosti zejména v kategorii sledované pohledávky a pohledávky se selháním dlužníka.</w:t>
      </w:r>
    </w:p>
    <w:p w14:paraId="61059E09" w14:textId="77FABA29" w:rsidR="00CE2256" w:rsidRDefault="003B4436" w:rsidP="00CE2256">
      <w:pPr>
        <w:pStyle w:val="Nadpis5"/>
        <w:keepNext/>
      </w:pPr>
      <w:r>
        <w:lastRenderedPageBreak/>
        <w:t xml:space="preserve">analýzy výstupů monitoringu splácení </w:t>
      </w:r>
      <w:r w:rsidR="00D92CC1">
        <w:t>zá</w:t>
      </w:r>
      <w:r>
        <w:t>půjček a vyhodnocení úvěrového portfolia, které poskytují:</w:t>
      </w:r>
    </w:p>
    <w:p w14:paraId="2F8CB489" w14:textId="77777777" w:rsidR="00CE2256" w:rsidRDefault="003B4436" w:rsidP="003B4436">
      <w:pPr>
        <w:pStyle w:val="Nadpis6"/>
      </w:pPr>
      <w:r>
        <w:t>podklady pro realizaci běžných č</w:t>
      </w:r>
      <w:r w:rsidR="00CE2256">
        <w:t xml:space="preserve">i právních opatření u dotčených </w:t>
      </w:r>
      <w:r>
        <w:t>dlužníků,</w:t>
      </w:r>
    </w:p>
    <w:p w14:paraId="43F6A983" w14:textId="77777777" w:rsidR="003B4436" w:rsidRDefault="003B4436" w:rsidP="00CE2256">
      <w:pPr>
        <w:pStyle w:val="Nadpis6"/>
      </w:pPr>
      <w:r>
        <w:t>zpětnou vazbu pro případné změny podmínek hodnocení typových žadatelů a ná</w:t>
      </w:r>
      <w:r w:rsidR="00CE2256">
        <w:t>roků na zajišťovací instrumenty.</w:t>
      </w:r>
    </w:p>
    <w:p w14:paraId="68D1D3D7" w14:textId="77777777" w:rsidR="003B4436" w:rsidRDefault="003B4436" w:rsidP="00CE2256">
      <w:pPr>
        <w:pStyle w:val="Nadpis3"/>
      </w:pPr>
      <w:r>
        <w:t xml:space="preserve">Riziko likvidity </w:t>
      </w:r>
    </w:p>
    <w:p w14:paraId="54B8C35C" w14:textId="5E553762" w:rsidR="003B4436" w:rsidRDefault="007838B9" w:rsidP="00CE2256">
      <w:pPr>
        <w:pStyle w:val="Nadpis4"/>
      </w:pPr>
      <w:r>
        <w:t xml:space="preserve">SFŽP </w:t>
      </w:r>
      <w:r w:rsidR="003B4436">
        <w:t>obezřetně finančně řídí zejména Bilanci zdrojů a závazků</w:t>
      </w:r>
      <w:r w:rsidR="00B47463">
        <w:t xml:space="preserve"> </w:t>
      </w:r>
      <w:r>
        <w:t xml:space="preserve">SFŽP </w:t>
      </w:r>
      <w:r w:rsidR="003B4436">
        <w:t>(dále jen „Bilance“), a to z hlediska výše, splatnosti, struktury a specifik jejich jednotlivých segmentů. Alokace pro konkrét</w:t>
      </w:r>
      <w:r w:rsidR="00771700">
        <w:t>ní Výzvy pro podávání žádostí o </w:t>
      </w:r>
      <w:r w:rsidR="000015DE">
        <w:t>zá</w:t>
      </w:r>
      <w:r w:rsidR="003B4436">
        <w:t>půjčky musí být vždy podložena aktuální Bilancí a schváleným výdajový</w:t>
      </w:r>
      <w:r w:rsidR="00C00976">
        <w:t>m</w:t>
      </w:r>
      <w:r w:rsidR="003B4436">
        <w:t xml:space="preserve"> limitem</w:t>
      </w:r>
      <w:r w:rsidR="00CE2256">
        <w:t>.</w:t>
      </w:r>
    </w:p>
    <w:p w14:paraId="4F2B7B9C" w14:textId="32743816" w:rsidR="003B4436" w:rsidRDefault="003B4436" w:rsidP="00CE2256">
      <w:pPr>
        <w:pStyle w:val="Nadpis4"/>
      </w:pPr>
      <w:r>
        <w:t>Ofenz</w:t>
      </w:r>
      <w:r w:rsidR="00CE2256">
        <w:t>i</w:t>
      </w:r>
      <w:r>
        <w:t xml:space="preserve">vní strategie k řízení likvidity Fondu </w:t>
      </w:r>
      <w:r w:rsidR="001B275A">
        <w:t>IFN</w:t>
      </w:r>
      <w:r w:rsidR="005C39E7">
        <w:t xml:space="preserve"> </w:t>
      </w:r>
      <w:r>
        <w:t xml:space="preserve">spočívá ve schopnosti průběžného krytí všech </w:t>
      </w:r>
      <w:proofErr w:type="spellStart"/>
      <w:r>
        <w:t>out-flow</w:t>
      </w:r>
      <w:proofErr w:type="spellEnd"/>
      <w:r>
        <w:t xml:space="preserve"> Fondu </w:t>
      </w:r>
      <w:r w:rsidR="00C279C4">
        <w:t xml:space="preserve">IFN </w:t>
      </w:r>
      <w:r>
        <w:t>při zajištění reinvestiční výkonnosti Fondu</w:t>
      </w:r>
      <w:r w:rsidR="00C279C4">
        <w:t xml:space="preserve"> IFN</w:t>
      </w:r>
      <w:r>
        <w:t>.</w:t>
      </w:r>
    </w:p>
    <w:p w14:paraId="5231EBAF" w14:textId="5B115CF9" w:rsidR="003B4436" w:rsidRDefault="00C279C4" w:rsidP="00CE2256">
      <w:pPr>
        <w:pStyle w:val="Nadpis4"/>
      </w:pPr>
      <w:r>
        <w:t xml:space="preserve">Bilanci </w:t>
      </w:r>
      <w:r w:rsidR="003B4436">
        <w:t xml:space="preserve">a Cash </w:t>
      </w:r>
      <w:proofErr w:type="spellStart"/>
      <w:r w:rsidR="003B4436">
        <w:t>flow</w:t>
      </w:r>
      <w:proofErr w:type="spellEnd"/>
      <w:r w:rsidR="003B4436">
        <w:t xml:space="preserve"> Fond</w:t>
      </w:r>
      <w:r>
        <w:t xml:space="preserve"> IFN</w:t>
      </w:r>
      <w:r w:rsidR="003B4436">
        <w:t xml:space="preserve"> adminis</w:t>
      </w:r>
      <w:r w:rsidR="00771700">
        <w:t xml:space="preserve">truje </w:t>
      </w:r>
      <w:r>
        <w:t xml:space="preserve">SFŽP </w:t>
      </w:r>
      <w:r w:rsidR="00771700">
        <w:t>v</w:t>
      </w:r>
      <w:r>
        <w:t xml:space="preserve"> rámci</w:t>
      </w:r>
      <w:r w:rsidR="00771700">
        <w:t xml:space="preserve"> samostatné</w:t>
      </w:r>
      <w:r w:rsidR="00C00976">
        <w:t>ho</w:t>
      </w:r>
      <w:r w:rsidR="00771700">
        <w:t xml:space="preserve"> finanční</w:t>
      </w:r>
      <w:r w:rsidR="00C00976">
        <w:t>ho</w:t>
      </w:r>
      <w:r w:rsidR="00771700">
        <w:t xml:space="preserve"> a </w:t>
      </w:r>
      <w:r w:rsidR="003B4436">
        <w:t>rozpočtové</w:t>
      </w:r>
      <w:r w:rsidR="00C00976">
        <w:t>ho</w:t>
      </w:r>
      <w:r w:rsidR="003B4436">
        <w:t xml:space="preserve"> okruhu.</w:t>
      </w:r>
    </w:p>
    <w:p w14:paraId="602B7482" w14:textId="5AB0D7D6" w:rsidR="003B4436" w:rsidRDefault="007838B9" w:rsidP="00CE2256">
      <w:pPr>
        <w:pStyle w:val="Nadpis4"/>
      </w:pPr>
      <w:r>
        <w:t xml:space="preserve">SFŽP </w:t>
      </w:r>
      <w:r w:rsidR="003B4436">
        <w:t>používá postupy definované Směrnicí 1</w:t>
      </w:r>
      <w:r w:rsidR="00CE2256">
        <w:t>1 Vnitřní hospodaření SFŽP ČR v </w:t>
      </w:r>
      <w:r w:rsidR="003B4436">
        <w:t>platném znění</w:t>
      </w:r>
      <w:r w:rsidR="00CE2256">
        <w:t>.</w:t>
      </w:r>
    </w:p>
    <w:p w14:paraId="7E219A8E" w14:textId="4D551CC2" w:rsidR="003B4436" w:rsidRDefault="003B4436" w:rsidP="00CE2256">
      <w:pPr>
        <w:pStyle w:val="Nadpis3"/>
      </w:pPr>
      <w:r>
        <w:t>Kurzové riziko</w:t>
      </w:r>
    </w:p>
    <w:p w14:paraId="6A333909" w14:textId="52CF65B3" w:rsidR="003B4436" w:rsidRDefault="003B4436" w:rsidP="00436355">
      <w:pPr>
        <w:ind w:left="708"/>
      </w:pPr>
      <w:r>
        <w:t>Zajištění proti dopadům pří</w:t>
      </w:r>
      <w:r w:rsidR="005C39E7">
        <w:t xml:space="preserve">padné volatility kurzu CZK/EUR </w:t>
      </w:r>
      <w:r>
        <w:t xml:space="preserve">ve vztahu k alokaci zdrojů OPŽP a k certifikaci a refundaci </w:t>
      </w:r>
      <w:r w:rsidR="003C0EC6">
        <w:t xml:space="preserve">vkladů do </w:t>
      </w:r>
      <w:r>
        <w:t xml:space="preserve">Fondu </w:t>
      </w:r>
      <w:r w:rsidR="001B275A">
        <w:t>FN</w:t>
      </w:r>
      <w:r w:rsidR="007838B9">
        <w:t xml:space="preserve"> </w:t>
      </w:r>
      <w:r>
        <w:t>v rámci OPŽP realizuje Říd</w:t>
      </w:r>
      <w:r w:rsidR="00771700">
        <w:t>i</w:t>
      </w:r>
      <w:r>
        <w:t>cí orgán (MŽP) s využitím metody řízeného zůstatku alokace Fondu</w:t>
      </w:r>
      <w:r w:rsidR="001B275A">
        <w:t xml:space="preserve"> IFN</w:t>
      </w:r>
      <w:r>
        <w:t>, resp. bilance zdro</w:t>
      </w:r>
      <w:r w:rsidR="00771700">
        <w:t>jů a </w:t>
      </w:r>
      <w:r>
        <w:t>závazků Fondu</w:t>
      </w:r>
      <w:r w:rsidR="005C39E7">
        <w:t xml:space="preserve"> </w:t>
      </w:r>
      <w:r w:rsidR="001B275A">
        <w:t>IFN</w:t>
      </w:r>
      <w:r>
        <w:t>, zejména při poskytování dotace formou tranší na základě Rozhodnutí o poskytnutí dotace ze státního rozpočtu do zdrojů</w:t>
      </w:r>
      <w:r w:rsidR="005C39E7">
        <w:t xml:space="preserve"> </w:t>
      </w:r>
      <w:r>
        <w:t>Fondu</w:t>
      </w:r>
      <w:r w:rsidR="001B275A">
        <w:t xml:space="preserve"> IFN</w:t>
      </w:r>
      <w:r w:rsidR="00231CBF">
        <w:t>.</w:t>
      </w:r>
    </w:p>
    <w:p w14:paraId="4AAFCB70" w14:textId="77777777" w:rsidR="003B4436" w:rsidRDefault="003B4436" w:rsidP="00CE2256">
      <w:pPr>
        <w:pStyle w:val="Nadpis3"/>
      </w:pPr>
      <w:r>
        <w:t xml:space="preserve">Provozní a ostatní rizika </w:t>
      </w:r>
    </w:p>
    <w:p w14:paraId="551C7468" w14:textId="7FFE9232" w:rsidR="003B4436" w:rsidRDefault="003B4436" w:rsidP="00CE2256">
      <w:pPr>
        <w:pStyle w:val="Nadpis4"/>
      </w:pPr>
      <w:r>
        <w:t xml:space="preserve">Ke krytí provozních rizik </w:t>
      </w:r>
      <w:r w:rsidR="007838B9">
        <w:t>SFŽP</w:t>
      </w:r>
      <w:r w:rsidR="00B47463">
        <w:t xml:space="preserve"> </w:t>
      </w:r>
      <w:r>
        <w:t xml:space="preserve">aplikuje příslušnou </w:t>
      </w:r>
      <w:r w:rsidR="007838B9">
        <w:t xml:space="preserve">vnitřní </w:t>
      </w:r>
      <w:r>
        <w:t>legislativu, zejména:</w:t>
      </w:r>
    </w:p>
    <w:p w14:paraId="3FAAA920" w14:textId="77777777" w:rsidR="003B4436" w:rsidRDefault="003B4436" w:rsidP="00CE2256">
      <w:pPr>
        <w:pStyle w:val="Nadpis5"/>
      </w:pPr>
      <w:r>
        <w:t>SM 01 Služební řád, SM 05 Pracovní řád,</w:t>
      </w:r>
    </w:p>
    <w:p w14:paraId="11270752" w14:textId="7899C2D7" w:rsidR="003B4436" w:rsidRDefault="003B4436" w:rsidP="00CE2256">
      <w:pPr>
        <w:pStyle w:val="Nadpis5"/>
      </w:pPr>
      <w:r>
        <w:t>Man</w:t>
      </w:r>
      <w:r w:rsidR="00771700">
        <w:t xml:space="preserve">uály pracovních postupů OPŽP a </w:t>
      </w:r>
      <w:r>
        <w:t>FN</w:t>
      </w:r>
      <w:r w:rsidR="005C39E7">
        <w:t>,</w:t>
      </w:r>
    </w:p>
    <w:p w14:paraId="21508E56" w14:textId="24F16534" w:rsidR="003B4436" w:rsidRDefault="005C39E7" w:rsidP="00CE2256">
      <w:pPr>
        <w:pStyle w:val="Nadpis5"/>
      </w:pPr>
      <w:r>
        <w:t>SM 12 Informační technologie,</w:t>
      </w:r>
    </w:p>
    <w:p w14:paraId="120087D0" w14:textId="0DC9AF77" w:rsidR="005C39E7" w:rsidRPr="005C39E7" w:rsidRDefault="005C39E7" w:rsidP="005C39E7">
      <w:pPr>
        <w:pStyle w:val="Nadpis5"/>
      </w:pPr>
      <w:r>
        <w:t>SM 14 Vnitřní kontrolní systém,</w:t>
      </w:r>
    </w:p>
    <w:p w14:paraId="55AD3F68" w14:textId="0D5D0E4C" w:rsidR="003B4436" w:rsidRDefault="003B4436" w:rsidP="00CE2256">
      <w:pPr>
        <w:pStyle w:val="Nadpis5"/>
      </w:pPr>
      <w:r>
        <w:t>SM 35 Provozní procedury IT</w:t>
      </w:r>
      <w:r w:rsidR="005C39E7">
        <w:t>,</w:t>
      </w:r>
    </w:p>
    <w:p w14:paraId="72666559" w14:textId="45FA3793" w:rsidR="003B4436" w:rsidRDefault="003B4436" w:rsidP="003B4436">
      <w:pPr>
        <w:pStyle w:val="Nadpis5"/>
      </w:pPr>
      <w:r>
        <w:t xml:space="preserve">SM 46 </w:t>
      </w:r>
      <w:r w:rsidR="00CE2256">
        <w:t>Bezpečnostní politika informací</w:t>
      </w:r>
      <w:r w:rsidR="005C39E7">
        <w:t>.</w:t>
      </w:r>
    </w:p>
    <w:p w14:paraId="5D4B0F1A" w14:textId="68E5B5FD" w:rsidR="003B4436" w:rsidRDefault="003B4436" w:rsidP="00091250">
      <w:pPr>
        <w:pStyle w:val="Nadpis4"/>
        <w:keepNext/>
      </w:pPr>
      <w:r>
        <w:lastRenderedPageBreak/>
        <w:t xml:space="preserve">Krytí ostatních rizik spojených s realizací </w:t>
      </w:r>
      <w:r w:rsidR="00A406A5">
        <w:t>Dohody</w:t>
      </w:r>
      <w:r>
        <w:t>:</w:t>
      </w:r>
    </w:p>
    <w:p w14:paraId="238F3762" w14:textId="6C709996" w:rsidR="003B4436" w:rsidRDefault="003B4436" w:rsidP="00CE2256">
      <w:pPr>
        <w:pStyle w:val="Nadpis5"/>
      </w:pPr>
      <w:r>
        <w:t xml:space="preserve">Právní rizika </w:t>
      </w:r>
      <w:r w:rsidR="007838B9">
        <w:t xml:space="preserve">SFŽP </w:t>
      </w:r>
      <w:r>
        <w:t xml:space="preserve">eliminuje Odbor právní </w:t>
      </w:r>
      <w:r w:rsidR="007838B9">
        <w:t xml:space="preserve">odpovídajícím </w:t>
      </w:r>
      <w:r>
        <w:t>nastavením právních aktů</w:t>
      </w:r>
      <w:r w:rsidR="0071009B">
        <w:t xml:space="preserve"> </w:t>
      </w:r>
      <w:r>
        <w:t>podle platné evropské a náro</w:t>
      </w:r>
      <w:r w:rsidR="001D7FE4">
        <w:t>dní legislativy</w:t>
      </w:r>
      <w:r>
        <w:t>.</w:t>
      </w:r>
    </w:p>
    <w:p w14:paraId="484C6366" w14:textId="0BCAFA0D" w:rsidR="003B4436" w:rsidRDefault="003B4436" w:rsidP="00CE2256">
      <w:pPr>
        <w:pStyle w:val="Nadpis5"/>
      </w:pPr>
      <w:r>
        <w:t>Riziko cen nemovitostí</w:t>
      </w:r>
      <w:r w:rsidR="00B47463">
        <w:t xml:space="preserve"> </w:t>
      </w:r>
      <w:r w:rsidR="00771700">
        <w:t xml:space="preserve">kryje </w:t>
      </w:r>
      <w:r w:rsidR="007838B9">
        <w:t xml:space="preserve">SFŽP </w:t>
      </w:r>
      <w:r w:rsidR="00771700">
        <w:t>konzervativními postupy a </w:t>
      </w:r>
      <w:r>
        <w:t>navýšením hodnoty zastavených nemovitostí nad 100% nominální ceny v závislosti na stupni ratingu, úvěrové způsobilosti a celkové dob</w:t>
      </w:r>
      <w:r w:rsidR="009148BA">
        <w:t>ě</w:t>
      </w:r>
      <w:r>
        <w:t xml:space="preserve"> splatnosti </w:t>
      </w:r>
      <w:r w:rsidR="00042AE1">
        <w:t>zá</w:t>
      </w:r>
      <w:r>
        <w:t xml:space="preserve">půjčky. Reálný stav nemovitostí v čase a jejich hodnotu ve vztahu k </w:t>
      </w:r>
      <w:r w:rsidR="00F84AD7">
        <w:t xml:space="preserve">nesplaceným </w:t>
      </w:r>
      <w:r>
        <w:t>zůstatk</w:t>
      </w:r>
      <w:r w:rsidR="00F84AD7">
        <w:t>ům</w:t>
      </w:r>
      <w:r>
        <w:t xml:space="preserve"> </w:t>
      </w:r>
      <w:r w:rsidR="001A2E34">
        <w:t>zá</w:t>
      </w:r>
      <w:r>
        <w:t>půjč</w:t>
      </w:r>
      <w:r w:rsidR="00F84AD7">
        <w:t>e</w:t>
      </w:r>
      <w:r>
        <w:t xml:space="preserve">k </w:t>
      </w:r>
      <w:r w:rsidR="007838B9">
        <w:t xml:space="preserve">SFŽP </w:t>
      </w:r>
      <w:r>
        <w:t>ověřuje v rámci správy úvěrového portfolia, včetně monitorovacích návštěv přímo v míst</w:t>
      </w:r>
      <w:r w:rsidR="00F84AD7">
        <w:t>ech</w:t>
      </w:r>
      <w:r>
        <w:t xml:space="preserve"> nemovitost</w:t>
      </w:r>
      <w:r w:rsidR="00F84AD7">
        <w:t>í</w:t>
      </w:r>
      <w:r>
        <w:t>.</w:t>
      </w:r>
    </w:p>
    <w:p w14:paraId="358E0DC2" w14:textId="3C04079A" w:rsidR="003B4436" w:rsidRDefault="003B4436" w:rsidP="00CE2256">
      <w:pPr>
        <w:pStyle w:val="Nadpis5"/>
      </w:pPr>
      <w:r>
        <w:t xml:space="preserve">Personální riziko eliminuje Odbor řízení lidských zdrojů prováděním aktivní a motivační personální politiky definované </w:t>
      </w:r>
      <w:r w:rsidR="007838B9">
        <w:t>vnitřní</w:t>
      </w:r>
      <w:r w:rsidR="00B47463">
        <w:t xml:space="preserve"> </w:t>
      </w:r>
      <w:r>
        <w:t>legislativou SFŽP.</w:t>
      </w:r>
    </w:p>
    <w:p w14:paraId="25B28CD1" w14:textId="3F994B41" w:rsidR="003B4436" w:rsidRDefault="003B4436" w:rsidP="00CE2256">
      <w:pPr>
        <w:pStyle w:val="Nadpis5"/>
      </w:pPr>
      <w:r>
        <w:t xml:space="preserve">Reputační riziko ošetřuje </w:t>
      </w:r>
      <w:r w:rsidR="007838B9">
        <w:t xml:space="preserve">SFŽP vnitřními </w:t>
      </w:r>
      <w:r>
        <w:t>předpisy, zejména SM 40 Oznámení podezření a šetření nekalého jednání</w:t>
      </w:r>
      <w:r w:rsidR="001F4F81">
        <w:t>.</w:t>
      </w:r>
    </w:p>
    <w:p w14:paraId="2EC07F0F" w14:textId="317A80E3" w:rsidR="003C0EC6" w:rsidRDefault="003C0EC6" w:rsidP="003C0EC6">
      <w:pPr>
        <w:ind w:left="708"/>
      </w:pPr>
      <w:r>
        <w:t>c)</w:t>
      </w:r>
      <w:r w:rsidRPr="003C0EC6">
        <w:t xml:space="preserve"> </w:t>
      </w:r>
      <w:r>
        <w:t>Řídicí orgán postupuje při zajištění proti případné ztrátě alokace OPŽP z</w:t>
      </w:r>
      <w:r w:rsidR="00831112">
        <w:t> </w:t>
      </w:r>
      <w:r>
        <w:t>důvodu</w:t>
      </w:r>
      <w:r w:rsidR="00831112">
        <w:t xml:space="preserve"> </w:t>
      </w:r>
      <w:r w:rsidR="003C437F">
        <w:t xml:space="preserve">rizika </w:t>
      </w:r>
      <w:r>
        <w:t>neprofinancování prostředků Fondu IFN na účty Konečných příjemců do konce období způsobilosti výdajů (tzn. do 31. 12. 2023)</w:t>
      </w:r>
      <w:r w:rsidR="003C437F">
        <w:t xml:space="preserve"> analyzováním vzniklé situace s přihlédnutím k dané časové a tržní situaci navrhne opatření k řešení zmíněného rizika (např. redefinice aktuální výzvy nebo realokace prostředků v rámci OPŽP)</w:t>
      </w:r>
      <w:r>
        <w:t>. Řídicí orgán zejména odpovídá za flexibilní vypisování výzev ve vztahu k zůstatku alokace, elasticitě poptávky a časovému faktoru, včetně průběžného finančního</w:t>
      </w:r>
      <w:r w:rsidR="00091250">
        <w:t xml:space="preserve"> řízení alokace podle pravidla N+</w:t>
      </w:r>
      <w:r>
        <w:t>3. Při hrozícím nevyužití prostředků FN realizuje Řídicí orgán jejich včasnou realokaci v rámci OPŽP, případné reálné ztráty alokace OPŽP, vyčleněné na FN z výše uvedených důvodů, jsou při finančním vypořádání dotace (</w:t>
      </w:r>
      <w:proofErr w:type="spellStart"/>
      <w:r>
        <w:t>RopD</w:t>
      </w:r>
      <w:proofErr w:type="spellEnd"/>
      <w:r>
        <w:t>) řešeny v souladu s Dohodou.</w:t>
      </w:r>
    </w:p>
    <w:p w14:paraId="4DD0F063" w14:textId="77777777" w:rsidR="003B4436" w:rsidRDefault="003B4436" w:rsidP="00CE2256">
      <w:pPr>
        <w:pStyle w:val="Nadpis2"/>
      </w:pPr>
      <w:r>
        <w:t xml:space="preserve">Sdílení relevantních rizik a vymáhání pohledávek </w:t>
      </w:r>
    </w:p>
    <w:p w14:paraId="63A2E439" w14:textId="61370335" w:rsidR="003B4436" w:rsidRDefault="003B4436" w:rsidP="00CE2256">
      <w:pPr>
        <w:pStyle w:val="Nadpis4"/>
      </w:pPr>
      <w:r>
        <w:t>Fond</w:t>
      </w:r>
      <w:r w:rsidR="007838B9">
        <w:t xml:space="preserve"> IFN</w:t>
      </w:r>
      <w:r>
        <w:t xml:space="preserve"> zřízený podle předmětné </w:t>
      </w:r>
      <w:r w:rsidR="00A406A5">
        <w:t>Dohody</w:t>
      </w:r>
      <w:r w:rsidR="00F60FA9">
        <w:t xml:space="preserve"> </w:t>
      </w:r>
      <w:r>
        <w:t xml:space="preserve">nebude disponovat zdroji externích investorů, věřitelů či donátorů. </w:t>
      </w:r>
    </w:p>
    <w:p w14:paraId="7B1A4BE0" w14:textId="3882C973" w:rsidR="003B4436" w:rsidRDefault="003B4436" w:rsidP="00CE2256">
      <w:pPr>
        <w:pStyle w:val="Nadpis4"/>
      </w:pPr>
      <w:r>
        <w:t xml:space="preserve">Sdílení rizik pro účely </w:t>
      </w:r>
      <w:r w:rsidR="00A406A5">
        <w:t>Dohody</w:t>
      </w:r>
      <w:r w:rsidR="00F60FA9">
        <w:t xml:space="preserve"> </w:t>
      </w:r>
      <w:r>
        <w:t xml:space="preserve">se s ohledem na bod a) týká rizik </w:t>
      </w:r>
      <w:r w:rsidR="006A3C6E">
        <w:t xml:space="preserve">Ministerstva </w:t>
      </w:r>
      <w:r>
        <w:t>(ESIF, res</w:t>
      </w:r>
      <w:r w:rsidR="00771700">
        <w:t xml:space="preserve">p. státní rozpočet), a Správce </w:t>
      </w:r>
      <w:r w:rsidR="007838B9">
        <w:t xml:space="preserve">finančního nástroje </w:t>
      </w:r>
      <w:r>
        <w:t>(</w:t>
      </w:r>
      <w:r w:rsidR="007838B9">
        <w:t>SFŽP</w:t>
      </w:r>
      <w:r>
        <w:t>)</w:t>
      </w:r>
      <w:r w:rsidR="00771700">
        <w:t>.</w:t>
      </w:r>
    </w:p>
    <w:p w14:paraId="3ADDC32A" w14:textId="2C36F89D" w:rsidR="003B4436" w:rsidRDefault="007838B9" w:rsidP="00CE2256">
      <w:pPr>
        <w:pStyle w:val="Nadpis4"/>
      </w:pPr>
      <w:r>
        <w:t xml:space="preserve">SFŽP </w:t>
      </w:r>
      <w:r w:rsidR="003B4436">
        <w:t>je povinen vymáhat svým jménem a na sv</w:t>
      </w:r>
      <w:r w:rsidR="001D7FE4">
        <w:t xml:space="preserve">ůj účet splatné částky </w:t>
      </w:r>
      <w:r w:rsidR="00E44E96">
        <w:t>zá</w:t>
      </w:r>
      <w:r w:rsidR="001D7FE4">
        <w:t>půjčky v </w:t>
      </w:r>
      <w:r w:rsidR="003B4436">
        <w:t>souladu s platnými právními př</w:t>
      </w:r>
      <w:r w:rsidR="00771700">
        <w:t>edpisy a Směrnicí MŽP č. 8/2017</w:t>
      </w:r>
      <w:r w:rsidR="003B4436">
        <w:t xml:space="preserve">, včetně uplatňování smluvních sankcí na základě Smlouvy, a to postupy upravenými </w:t>
      </w:r>
      <w:r>
        <w:t xml:space="preserve">vnitřní </w:t>
      </w:r>
      <w:r w:rsidR="003B4436">
        <w:t>legislativou SFŽP – SM 11 Vnitřní hospodaření, Pří</w:t>
      </w:r>
      <w:r w:rsidR="001D7FE4">
        <w:t xml:space="preserve">loha 13 – Správa pohledávek </w:t>
      </w:r>
      <w:r w:rsidR="001D7FE4">
        <w:lastRenderedPageBreak/>
        <w:t>v </w:t>
      </w:r>
      <w:r w:rsidR="003B4436">
        <w:t xml:space="preserve">platném znění. Pohledávky po splatnosti u jistiny </w:t>
      </w:r>
      <w:r w:rsidR="00E44E96">
        <w:t>zá</w:t>
      </w:r>
      <w:r w:rsidR="003B4436">
        <w:t xml:space="preserve">půjčky vymáhají ze zákona místně příslušné </w:t>
      </w:r>
      <w:r>
        <w:t>orgány finanční správy</w:t>
      </w:r>
      <w:r w:rsidR="003B4436">
        <w:t>, ostatní smluvní pohledávky po splatnosti vymáhá</w:t>
      </w:r>
      <w:r w:rsidR="00B47463">
        <w:t xml:space="preserve"> </w:t>
      </w:r>
      <w:r>
        <w:t xml:space="preserve">SFŽP </w:t>
      </w:r>
      <w:r w:rsidR="003B4436">
        <w:t>včetně realizace smluvních zajišťovacích instrumentů.</w:t>
      </w:r>
    </w:p>
    <w:p w14:paraId="5249CF78" w14:textId="39B62887" w:rsidR="00943583" w:rsidRDefault="007838B9" w:rsidP="00943583">
      <w:pPr>
        <w:pStyle w:val="Nadpis4"/>
      </w:pPr>
      <w:r>
        <w:t xml:space="preserve">SFŽP </w:t>
      </w:r>
      <w:r w:rsidR="003B4436">
        <w:t xml:space="preserve">bude poskytování, splácení, vymáhání a finanční vypořádání </w:t>
      </w:r>
      <w:r>
        <w:t>zá</w:t>
      </w:r>
      <w:r w:rsidR="003B4436">
        <w:t xml:space="preserve">půjček monitorovat a zabezpečovat v souladu s platnými právními předpisy, Směrnicí MŽP č. 8/2017, Závaznými pokyny pro žadatele/ příjemce </w:t>
      </w:r>
      <w:r w:rsidR="00B02A3A">
        <w:t xml:space="preserve">podpory v rámci IFN </w:t>
      </w:r>
      <w:r w:rsidR="00091250">
        <w:t>a </w:t>
      </w:r>
      <w:r w:rsidR="003B4436">
        <w:t>pracovními postupy, uplatňovanými podle zásad stanovených vnitřními předpisy SFŽP, zejména SM 11 – Vnitřní hospodaření SFŽP ČR v platném znění.</w:t>
      </w:r>
    </w:p>
    <w:p w14:paraId="40E16717" w14:textId="04C48CF8" w:rsidR="00073DA9" w:rsidRPr="00073DA9" w:rsidRDefault="00073DA9" w:rsidP="00943583">
      <w:pPr>
        <w:pStyle w:val="Nadpis4"/>
      </w:pPr>
      <w:r w:rsidRPr="00513FF0">
        <w:t>Výše akceptované default</w:t>
      </w:r>
      <w:r w:rsidR="006A3C6E">
        <w:t xml:space="preserve"> </w:t>
      </w:r>
      <w:proofErr w:type="spellStart"/>
      <w:r w:rsidR="006A3C6E">
        <w:t>rate</w:t>
      </w:r>
      <w:proofErr w:type="spellEnd"/>
      <w:r w:rsidRPr="00513FF0">
        <w:t xml:space="preserve"> (tj. snížení disponibilních prostředků Fondu IFN bez náhrady z národních zdrojů) činí </w:t>
      </w:r>
      <w:r w:rsidR="009873B4">
        <w:t xml:space="preserve">10 </w:t>
      </w:r>
      <w:r w:rsidRPr="00513FF0">
        <w:t xml:space="preserve">% z prostředků poskytnutých </w:t>
      </w:r>
      <w:r w:rsidR="00F60FA9" w:rsidRPr="00513FF0">
        <w:t>z </w:t>
      </w:r>
      <w:r w:rsidRPr="00513FF0">
        <w:t>Fond</w:t>
      </w:r>
      <w:r w:rsidR="00F60FA9" w:rsidRPr="00513FF0">
        <w:t>u IFN</w:t>
      </w:r>
      <w:r w:rsidRPr="00513FF0">
        <w:t xml:space="preserve"> </w:t>
      </w:r>
      <w:r w:rsidR="00F60FA9" w:rsidRPr="00513FF0">
        <w:t>K</w:t>
      </w:r>
      <w:r w:rsidRPr="00513FF0">
        <w:t xml:space="preserve">onečným příjemcům a je uplatňována v souladu </w:t>
      </w:r>
      <w:r w:rsidR="00E202C8" w:rsidRPr="00513FF0">
        <w:t>s </w:t>
      </w:r>
      <w:r w:rsidR="00FC0666" w:rsidRPr="00513FF0">
        <w:t>Dohod</w:t>
      </w:r>
      <w:r w:rsidR="00FC0666">
        <w:t>ou</w:t>
      </w:r>
      <w:r w:rsidR="00E202C8" w:rsidRPr="00513FF0">
        <w:t xml:space="preserve">, </w:t>
      </w:r>
      <w:r w:rsidRPr="00513FF0">
        <w:t>Příloh</w:t>
      </w:r>
      <w:r w:rsidR="00E202C8" w:rsidRPr="00513FF0">
        <w:t xml:space="preserve">a </w:t>
      </w:r>
      <w:r w:rsidRPr="00513FF0">
        <w:t>č. 1 – Investiční strategie, zejména bod 5.2.3., včetně postupů při překročení akceptované default</w:t>
      </w:r>
      <w:r w:rsidR="00D92CC1">
        <w:t xml:space="preserve"> </w:t>
      </w:r>
      <w:proofErr w:type="spellStart"/>
      <w:r w:rsidR="00D92CC1">
        <w:t>rate</w:t>
      </w:r>
      <w:proofErr w:type="spellEnd"/>
      <w:r w:rsidR="009D1230" w:rsidRPr="00513FF0">
        <w:t>.</w:t>
      </w:r>
    </w:p>
    <w:p w14:paraId="0B2F08CC" w14:textId="1C3D868E" w:rsidR="00DF666F" w:rsidRDefault="003B4436" w:rsidP="006A3C6E">
      <w:pPr>
        <w:pStyle w:val="Nadpis4"/>
        <w:numPr>
          <w:ilvl w:val="2"/>
          <w:numId w:val="4"/>
        </w:numPr>
      </w:pPr>
      <w:r>
        <w:t xml:space="preserve">Pro kontroly věcné správnosti, způsobilosti výdajů, věcný monitoring projektů </w:t>
      </w:r>
      <w:r w:rsidR="006A3C6E">
        <w:t>K</w:t>
      </w:r>
      <w:r w:rsidR="00FE339A">
        <w:t xml:space="preserve">onečných příjemců </w:t>
      </w:r>
      <w:r>
        <w:t xml:space="preserve">včetně návštěv na místě, dále pro průběžné a následné kontroly realizace projektů, kontroly indikátorů, ekologických efektů, udržitelnosti podpořených projektů </w:t>
      </w:r>
      <w:r w:rsidR="009D1230">
        <w:t>z</w:t>
      </w:r>
      <w:r w:rsidR="00B02A3A">
        <w:t> rozpočtu SFŽP</w:t>
      </w:r>
      <w:r>
        <w:t xml:space="preserve">, závěrečné vyhodnocení projektů </w:t>
      </w:r>
      <w:r w:rsidR="006A3C6E">
        <w:t>K</w:t>
      </w:r>
      <w:r w:rsidR="00FE339A">
        <w:t xml:space="preserve">onečných příjemců </w:t>
      </w:r>
      <w:r>
        <w:t xml:space="preserve">- platí v plném rozsahu ustanovení příslušných dokumentů pro specifický cíl OPŽP 3. 5. Podezření na </w:t>
      </w:r>
      <w:r w:rsidR="00B02A3A">
        <w:t xml:space="preserve">Nesrovnalost </w:t>
      </w:r>
      <w:r>
        <w:t xml:space="preserve">a rizika s tím spojená </w:t>
      </w:r>
      <w:r w:rsidR="001D7FE4">
        <w:t xml:space="preserve">řeší </w:t>
      </w:r>
      <w:r w:rsidR="00DF666F">
        <w:t xml:space="preserve">SFŽP v době trvání OPŽP v souladu s ustanoveními Metodiky finančních toků. </w:t>
      </w:r>
    </w:p>
    <w:p w14:paraId="08608C7B" w14:textId="7EC87D1D" w:rsidR="003B4436" w:rsidRDefault="003B4436" w:rsidP="006A3C6E">
      <w:pPr>
        <w:pStyle w:val="Nadpis4"/>
        <w:numPr>
          <w:ilvl w:val="2"/>
          <w:numId w:val="4"/>
        </w:numPr>
      </w:pPr>
      <w:r>
        <w:t>Při uzavírání programového období 2014 – 2020 j</w:t>
      </w:r>
      <w:r w:rsidR="001D7FE4">
        <w:t>e</w:t>
      </w:r>
      <w:r w:rsidR="00B47463">
        <w:t xml:space="preserve"> </w:t>
      </w:r>
      <w:r w:rsidR="00B02A3A">
        <w:t xml:space="preserve">SFŽP </w:t>
      </w:r>
      <w:r w:rsidR="001D7FE4">
        <w:t>povinen rizika spojená s </w:t>
      </w:r>
      <w:r>
        <w:t>řádným dokončením projektů</w:t>
      </w:r>
      <w:r w:rsidR="00FD36A8">
        <w:t xml:space="preserve"> </w:t>
      </w:r>
      <w:r w:rsidR="00D92CC1">
        <w:t>K</w:t>
      </w:r>
      <w:r w:rsidR="00FD36A8">
        <w:t>onečných příjemců</w:t>
      </w:r>
      <w:r w:rsidR="00091250">
        <w:t>, jejich funkčností a </w:t>
      </w:r>
      <w:r>
        <w:t xml:space="preserve">dofinancováním způsobilých výdajů řešit v souladu s </w:t>
      </w:r>
      <w:r w:rsidR="00091250">
        <w:t xml:space="preserve">metodickými pokyny </w:t>
      </w:r>
      <w:r w:rsidR="006A3C6E">
        <w:t>pro</w:t>
      </w:r>
      <w:r>
        <w:t xml:space="preserve"> uzavírání programového období 2014 – 2020.</w:t>
      </w:r>
    </w:p>
    <w:p w14:paraId="7AF9F5C4" w14:textId="53DD9C91" w:rsidR="003B4436" w:rsidRDefault="00163187" w:rsidP="00CE2256">
      <w:pPr>
        <w:pStyle w:val="Nadpis4"/>
      </w:pPr>
      <w:r>
        <w:t>SFŽP je povinen v rámci vymáhání pro</w:t>
      </w:r>
      <w:r w:rsidR="00E97DDD">
        <w:t>středků, které byly neoprávněně použity ze strany Konečných příjemců postupovat v soulad</w:t>
      </w:r>
      <w:r w:rsidR="00091250">
        <w:t>u s vnitřní legislativou SFŽP a </w:t>
      </w:r>
      <w:r w:rsidR="00E97DDD">
        <w:t xml:space="preserve">v souladu s příslušnými ustanoveními zákona č. 218/2000 Sb., o rozpočtových pravidlech. V souladu s </w:t>
      </w:r>
      <w:r w:rsidR="003B4436">
        <w:t xml:space="preserve">Nařízením Komise v přenesené pravomoci (EU) č. 480/2014, čl. 6, bod 3 </w:t>
      </w:r>
      <w:r w:rsidR="00E97DDD">
        <w:t xml:space="preserve">je pak povinen doložit splnění níže uvedených podmínek, a to kumulativně: </w:t>
      </w:r>
    </w:p>
    <w:p w14:paraId="62564B0D" w14:textId="6045DAEA" w:rsidR="003B4436" w:rsidRDefault="003B4436" w:rsidP="00CE2256">
      <w:pPr>
        <w:pStyle w:val="Nadpis5"/>
      </w:pPr>
      <w:r>
        <w:t xml:space="preserve">K </w:t>
      </w:r>
      <w:r w:rsidR="00E97DDD">
        <w:t xml:space="preserve">porušení podmínek poskytnutí Podpory </w:t>
      </w:r>
      <w:r>
        <w:t>doš</w:t>
      </w:r>
      <w:r w:rsidR="00CE2256">
        <w:t>lo na úrovni</w:t>
      </w:r>
      <w:r w:rsidR="00B47463">
        <w:t xml:space="preserve"> </w:t>
      </w:r>
      <w:r w:rsidR="00FE5D63">
        <w:t xml:space="preserve">Konečných </w:t>
      </w:r>
      <w:r w:rsidR="00CE2256">
        <w:t>příjemců.</w:t>
      </w:r>
    </w:p>
    <w:p w14:paraId="238A0C76" w14:textId="70472B78" w:rsidR="003B4436" w:rsidRDefault="00E97DDD" w:rsidP="00CE2256">
      <w:pPr>
        <w:pStyle w:val="Nadpis5"/>
      </w:pPr>
      <w:r>
        <w:t xml:space="preserve">SFŽP </w:t>
      </w:r>
      <w:r w:rsidR="003B4436">
        <w:t xml:space="preserve">vyhověl ustanovení čl. 6, bod 1 výše </w:t>
      </w:r>
      <w:r w:rsidR="00091250">
        <w:t>uvedeného Nařízení, pokud jde o </w:t>
      </w:r>
      <w:r w:rsidR="003B4436">
        <w:t>příspěvky z p</w:t>
      </w:r>
      <w:r w:rsidR="00CE2256">
        <w:t xml:space="preserve">rogramu vykazující </w:t>
      </w:r>
      <w:r>
        <w:t>dané pochybení</w:t>
      </w:r>
      <w:r w:rsidR="00CE2256">
        <w:t>.</w:t>
      </w:r>
    </w:p>
    <w:p w14:paraId="0603E4FF" w14:textId="73FDEB92" w:rsidR="003B4436" w:rsidRPr="0034177F" w:rsidRDefault="003B4436" w:rsidP="00FC4E82">
      <w:pPr>
        <w:pStyle w:val="Nadpis5"/>
        <w:rPr>
          <w:rFonts w:ascii="Arial" w:hAnsi="Arial" w:cs="Arial"/>
          <w:szCs w:val="24"/>
        </w:rPr>
      </w:pPr>
      <w:r>
        <w:lastRenderedPageBreak/>
        <w:t xml:space="preserve">Částky </w:t>
      </w:r>
      <w:r w:rsidR="00E97DDD">
        <w:t>odpovídající danému pochybení</w:t>
      </w:r>
      <w:r>
        <w:t xml:space="preserve"> nebylo možné získat zpět navzdory tomu, že </w:t>
      </w:r>
      <w:r w:rsidR="00E97DDD">
        <w:t xml:space="preserve">SFŽP </w:t>
      </w:r>
      <w:r>
        <w:t xml:space="preserve">s péčí řádného hospodáře podnikl veškerá použitelná smluvní a právní opatření. </w:t>
      </w:r>
      <w:r w:rsidR="00FE5D63">
        <w:t xml:space="preserve">Řídicí </w:t>
      </w:r>
      <w:r>
        <w:t>orgán OPŽP je povinen v těchto případech prověřit, zda</w:t>
      </w:r>
      <w:r w:rsidR="00B47463">
        <w:t xml:space="preserve"> </w:t>
      </w:r>
      <w:r w:rsidR="00FE5D63">
        <w:t xml:space="preserve">SFŽP </w:t>
      </w:r>
      <w:r>
        <w:t xml:space="preserve">použil veškeré právní prostředky, které umožňuje právní řád ČR, pro vymožení částky dotčené porušením této povinnosti od </w:t>
      </w:r>
      <w:r w:rsidR="00D92CC1">
        <w:t>K</w:t>
      </w:r>
      <w:r>
        <w:t>onečného příjemce.</w:t>
      </w:r>
    </w:p>
    <w:p w14:paraId="502BB7D9" w14:textId="023DD9B0" w:rsidR="003B4436" w:rsidRDefault="00EE1F2F" w:rsidP="00CE2256">
      <w:pPr>
        <w:pStyle w:val="Nadpis4"/>
      </w:pPr>
      <w:r>
        <w:t>P</w:t>
      </w:r>
      <w:r w:rsidR="003B4436">
        <w:t xml:space="preserve">oužitelná smluvní a právní opatření </w:t>
      </w:r>
      <w:r>
        <w:t xml:space="preserve">SFŽP </w:t>
      </w:r>
      <w:r w:rsidR="003B4436">
        <w:t>zahrnují zejména postupy definované Směrnicí 11 Vnitřní hospodaření SFŽP ČR, Příl</w:t>
      </w:r>
      <w:r w:rsidR="001D7FE4">
        <w:t>oha č. 13 – Správa pohledávek v </w:t>
      </w:r>
      <w:r w:rsidR="003B4436">
        <w:t>platném znění.</w:t>
      </w:r>
    </w:p>
    <w:p w14:paraId="3838DEB1" w14:textId="762374D5" w:rsidR="00920CF9" w:rsidRDefault="00FE5D63" w:rsidP="00771700">
      <w:pPr>
        <w:pStyle w:val="Nadpis4"/>
      </w:pPr>
      <w:r>
        <w:t xml:space="preserve">SFŽP </w:t>
      </w:r>
      <w:r w:rsidR="003B4436">
        <w:t>je povinen použít veškeré právní prostředky, které umožňuje právní řád ČR, pro vymožení částky dotčené porušením smluvních po</w:t>
      </w:r>
      <w:r w:rsidR="001D7FE4">
        <w:t xml:space="preserve">vinností </w:t>
      </w:r>
      <w:r w:rsidR="00D92CC1">
        <w:t>K</w:t>
      </w:r>
      <w:r w:rsidR="009C034D">
        <w:t>onečného příjemce i </w:t>
      </w:r>
      <w:r w:rsidR="001D7FE4">
        <w:t>v </w:t>
      </w:r>
      <w:r w:rsidR="003B4436">
        <w:t xml:space="preserve">době po uzavření programu, zejména při porušení </w:t>
      </w:r>
      <w:r>
        <w:t>rozpočtové kázně</w:t>
      </w:r>
      <w:r w:rsidR="003B4436">
        <w:t>, povinností spojených se zajišťovacími instrumenty a spr</w:t>
      </w:r>
      <w:r w:rsidR="00771700">
        <w:t>ávou úvěrového portfolia Fondu</w:t>
      </w:r>
      <w:r w:rsidR="00757A46">
        <w:t xml:space="preserve"> IFN</w:t>
      </w:r>
      <w:r w:rsidR="00771700">
        <w:t>.</w:t>
      </w:r>
    </w:p>
    <w:sectPr w:rsidR="00920CF9" w:rsidSect="005C39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273C" w14:textId="77777777" w:rsidR="00233159" w:rsidRDefault="00233159" w:rsidP="003B4436">
      <w:pPr>
        <w:spacing w:after="0" w:line="240" w:lineRule="auto"/>
      </w:pPr>
      <w:r>
        <w:separator/>
      </w:r>
    </w:p>
  </w:endnote>
  <w:endnote w:type="continuationSeparator" w:id="0">
    <w:p w14:paraId="31FAE109" w14:textId="77777777" w:rsidR="00233159" w:rsidRDefault="00233159" w:rsidP="003B4436">
      <w:pPr>
        <w:spacing w:after="0" w:line="240" w:lineRule="auto"/>
      </w:pPr>
      <w:r>
        <w:continuationSeparator/>
      </w:r>
    </w:p>
  </w:endnote>
  <w:endnote w:type="continuationNotice" w:id="1">
    <w:p w14:paraId="5E7BE402" w14:textId="77777777" w:rsidR="00233159" w:rsidRDefault="00233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258105429"/>
      <w:docPartObj>
        <w:docPartGallery w:val="Page Numbers (Bottom of Page)"/>
        <w:docPartUnique/>
      </w:docPartObj>
    </w:sdtPr>
    <w:sdtEndPr/>
    <w:sdtContent>
      <w:p w14:paraId="3B834BF9" w14:textId="77777777" w:rsidR="003E51F9" w:rsidRPr="003E51F9" w:rsidRDefault="003E51F9" w:rsidP="003E51F9">
        <w:pPr>
          <w:pStyle w:val="Zpat"/>
          <w:jc w:val="center"/>
          <w:rPr>
            <w:color w:val="808080" w:themeColor="background1" w:themeShade="80"/>
          </w:rPr>
        </w:pPr>
        <w:r w:rsidRPr="003E51F9">
          <w:rPr>
            <w:color w:val="808080" w:themeColor="background1" w:themeShade="80"/>
          </w:rPr>
          <w:fldChar w:fldCharType="begin"/>
        </w:r>
        <w:r w:rsidRPr="003E51F9">
          <w:rPr>
            <w:color w:val="808080" w:themeColor="background1" w:themeShade="80"/>
          </w:rPr>
          <w:instrText>PAGE   \* MERGEFORMAT</w:instrText>
        </w:r>
        <w:r w:rsidRPr="003E51F9">
          <w:rPr>
            <w:color w:val="808080" w:themeColor="background1" w:themeShade="80"/>
          </w:rPr>
          <w:fldChar w:fldCharType="separate"/>
        </w:r>
        <w:r w:rsidR="00D95F13">
          <w:rPr>
            <w:noProof/>
            <w:color w:val="808080" w:themeColor="background1" w:themeShade="80"/>
          </w:rPr>
          <w:t>6</w:t>
        </w:r>
        <w:r w:rsidRPr="003E51F9">
          <w:rPr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388C" w14:textId="77777777" w:rsidR="00233159" w:rsidRDefault="00233159" w:rsidP="003B4436">
      <w:pPr>
        <w:spacing w:after="0" w:line="240" w:lineRule="auto"/>
      </w:pPr>
      <w:r>
        <w:separator/>
      </w:r>
    </w:p>
  </w:footnote>
  <w:footnote w:type="continuationSeparator" w:id="0">
    <w:p w14:paraId="0CF6E73A" w14:textId="77777777" w:rsidR="00233159" w:rsidRDefault="00233159" w:rsidP="003B4436">
      <w:pPr>
        <w:spacing w:after="0" w:line="240" w:lineRule="auto"/>
      </w:pPr>
      <w:r>
        <w:continuationSeparator/>
      </w:r>
    </w:p>
  </w:footnote>
  <w:footnote w:type="continuationNotice" w:id="1">
    <w:p w14:paraId="6D25AB0A" w14:textId="77777777" w:rsidR="00233159" w:rsidRDefault="00233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D98C" w14:textId="77777777" w:rsidR="003B4436" w:rsidRPr="003E51F9" w:rsidRDefault="003E51F9" w:rsidP="003E51F9">
    <w:pPr>
      <w:pStyle w:val="Zhlav"/>
      <w:spacing w:before="240" w:after="480"/>
      <w:rPr>
        <w:color w:val="808080" w:themeColor="background1" w:themeShade="8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A0B1FB" wp14:editId="6CD8C79E">
          <wp:simplePos x="0" y="0"/>
          <wp:positionH relativeFrom="column">
            <wp:posOffset>4681855</wp:posOffset>
          </wp:positionH>
          <wp:positionV relativeFrom="paragraph">
            <wp:posOffset>110490</wp:posOffset>
          </wp:positionV>
          <wp:extent cx="1012884" cy="360000"/>
          <wp:effectExtent l="0" t="0" r="0" b="2540"/>
          <wp:wrapTopAndBottom/>
          <wp:docPr id="2" name="Obrázek 2" descr="C:\Users\User\Downloads\2492-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2492-loga_sfzp\SFZP_H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8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cs-CZ"/>
      </w:rPr>
      <w:drawing>
        <wp:anchor distT="0" distB="0" distL="114300" distR="114300" simplePos="0" relativeHeight="251660288" behindDoc="0" locked="0" layoutInCell="1" allowOverlap="1" wp14:anchorId="536EE5A5" wp14:editId="606CBE7C">
          <wp:simplePos x="0" y="0"/>
          <wp:positionH relativeFrom="column">
            <wp:posOffset>-4445</wp:posOffset>
          </wp:positionH>
          <wp:positionV relativeFrom="paragraph">
            <wp:posOffset>113665</wp:posOffset>
          </wp:positionV>
          <wp:extent cx="1662831" cy="360000"/>
          <wp:effectExtent l="0" t="0" r="0" b="2540"/>
          <wp:wrapTopAndBottom/>
          <wp:docPr id="1" name="Obrázek 1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83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36" w:rsidRPr="003E51F9">
      <w:rPr>
        <w:color w:val="808080" w:themeColor="background1" w:themeShade="80"/>
      </w:rPr>
      <w:t>Dohoda o financo</w:t>
    </w:r>
    <w:r>
      <w:rPr>
        <w:color w:val="808080" w:themeColor="background1" w:themeShade="80"/>
      </w:rPr>
      <w:t>vání – Příloha č. 5 Řízení rizik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75C"/>
    <w:multiLevelType w:val="hybridMultilevel"/>
    <w:tmpl w:val="5896D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55DE"/>
    <w:multiLevelType w:val="hybridMultilevel"/>
    <w:tmpl w:val="9964199E"/>
    <w:lvl w:ilvl="0" w:tplc="0405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41797147"/>
    <w:multiLevelType w:val="multilevel"/>
    <w:tmpl w:val="8988C502"/>
    <w:lvl w:ilvl="0">
      <w:start w:val="1"/>
      <w:numFmt w:val="decimal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4"/>
      <w:lvlText w:val="%3)"/>
      <w:lvlJc w:val="right"/>
      <w:pPr>
        <w:ind w:left="851" w:hanging="284"/>
      </w:pPr>
      <w:rPr>
        <w:rFonts w:hint="default"/>
      </w:rPr>
    </w:lvl>
    <w:lvl w:ilvl="3">
      <w:start w:val="1"/>
      <w:numFmt w:val="bullet"/>
      <w:pStyle w:val="Nadpis5"/>
      <w:suff w:val="space"/>
      <w:lvlText w:val=""/>
      <w:lvlJc w:val="left"/>
      <w:pPr>
        <w:ind w:left="1588" w:hanging="170"/>
      </w:pPr>
      <w:rPr>
        <w:rFonts w:ascii="Symbol" w:hAnsi="Symbol" w:hint="default"/>
        <w:color w:val="auto"/>
      </w:rPr>
    </w:lvl>
    <w:lvl w:ilvl="4">
      <w:start w:val="1"/>
      <w:numFmt w:val="none"/>
      <w:pStyle w:val="Nadpis6"/>
      <w:suff w:val="space"/>
      <w:lvlText w:val="-"/>
      <w:lvlJc w:val="left"/>
      <w:pPr>
        <w:ind w:left="2155" w:hanging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36"/>
    <w:rsid w:val="000015DE"/>
    <w:rsid w:val="000254A1"/>
    <w:rsid w:val="00030EDF"/>
    <w:rsid w:val="00042AE1"/>
    <w:rsid w:val="00044442"/>
    <w:rsid w:val="00054B23"/>
    <w:rsid w:val="00067B68"/>
    <w:rsid w:val="00073DA9"/>
    <w:rsid w:val="00084DAB"/>
    <w:rsid w:val="000860E0"/>
    <w:rsid w:val="00091250"/>
    <w:rsid w:val="000C3574"/>
    <w:rsid w:val="000E7B5B"/>
    <w:rsid w:val="000F2D69"/>
    <w:rsid w:val="00106C86"/>
    <w:rsid w:val="00122204"/>
    <w:rsid w:val="001305DF"/>
    <w:rsid w:val="00157683"/>
    <w:rsid w:val="00163187"/>
    <w:rsid w:val="00197FBF"/>
    <w:rsid w:val="001A2E34"/>
    <w:rsid w:val="001B26E9"/>
    <w:rsid w:val="001B275A"/>
    <w:rsid w:val="001C0F54"/>
    <w:rsid w:val="001C5CC3"/>
    <w:rsid w:val="001D6D6B"/>
    <w:rsid w:val="001D7FE4"/>
    <w:rsid w:val="001E10B0"/>
    <w:rsid w:val="001F4F81"/>
    <w:rsid w:val="00206D3B"/>
    <w:rsid w:val="0022310C"/>
    <w:rsid w:val="00231CBF"/>
    <w:rsid w:val="00233159"/>
    <w:rsid w:val="0023336C"/>
    <w:rsid w:val="002507B0"/>
    <w:rsid w:val="002538E2"/>
    <w:rsid w:val="00270BB5"/>
    <w:rsid w:val="002B51C6"/>
    <w:rsid w:val="002C38CC"/>
    <w:rsid w:val="00321247"/>
    <w:rsid w:val="00333AD1"/>
    <w:rsid w:val="003342FD"/>
    <w:rsid w:val="0034177F"/>
    <w:rsid w:val="00354AF3"/>
    <w:rsid w:val="00357D62"/>
    <w:rsid w:val="003B4436"/>
    <w:rsid w:val="003C0EC6"/>
    <w:rsid w:val="003C437F"/>
    <w:rsid w:val="003E090D"/>
    <w:rsid w:val="003E51F9"/>
    <w:rsid w:val="003F012F"/>
    <w:rsid w:val="00427182"/>
    <w:rsid w:val="00436355"/>
    <w:rsid w:val="00441823"/>
    <w:rsid w:val="0048383D"/>
    <w:rsid w:val="004C5A63"/>
    <w:rsid w:val="004D3C04"/>
    <w:rsid w:val="004F7167"/>
    <w:rsid w:val="0050319F"/>
    <w:rsid w:val="0050677E"/>
    <w:rsid w:val="005111F0"/>
    <w:rsid w:val="00513FF0"/>
    <w:rsid w:val="00570392"/>
    <w:rsid w:val="00593484"/>
    <w:rsid w:val="005A68B2"/>
    <w:rsid w:val="005B77A0"/>
    <w:rsid w:val="005C0531"/>
    <w:rsid w:val="005C39E7"/>
    <w:rsid w:val="005F4AF6"/>
    <w:rsid w:val="0061510D"/>
    <w:rsid w:val="00621E1A"/>
    <w:rsid w:val="00624C93"/>
    <w:rsid w:val="00627E0D"/>
    <w:rsid w:val="00632545"/>
    <w:rsid w:val="0066094B"/>
    <w:rsid w:val="0067154D"/>
    <w:rsid w:val="00680994"/>
    <w:rsid w:val="006815BE"/>
    <w:rsid w:val="006A122F"/>
    <w:rsid w:val="006A215A"/>
    <w:rsid w:val="006A3C6E"/>
    <w:rsid w:val="006A3CB3"/>
    <w:rsid w:val="006D01AC"/>
    <w:rsid w:val="006F005F"/>
    <w:rsid w:val="006F688B"/>
    <w:rsid w:val="00701B43"/>
    <w:rsid w:val="0071009B"/>
    <w:rsid w:val="00757A46"/>
    <w:rsid w:val="007646A3"/>
    <w:rsid w:val="00771700"/>
    <w:rsid w:val="00774A72"/>
    <w:rsid w:val="00780C30"/>
    <w:rsid w:val="00781FAA"/>
    <w:rsid w:val="007838B9"/>
    <w:rsid w:val="00795EF7"/>
    <w:rsid w:val="007B5DF5"/>
    <w:rsid w:val="007E1D95"/>
    <w:rsid w:val="007F1D94"/>
    <w:rsid w:val="0080245C"/>
    <w:rsid w:val="008174AD"/>
    <w:rsid w:val="00817D14"/>
    <w:rsid w:val="008217E8"/>
    <w:rsid w:val="00831112"/>
    <w:rsid w:val="00832CEC"/>
    <w:rsid w:val="00880022"/>
    <w:rsid w:val="008B4463"/>
    <w:rsid w:val="008B5A46"/>
    <w:rsid w:val="008E1D49"/>
    <w:rsid w:val="0091169E"/>
    <w:rsid w:val="009148BA"/>
    <w:rsid w:val="00920CF9"/>
    <w:rsid w:val="00943583"/>
    <w:rsid w:val="0095501A"/>
    <w:rsid w:val="0096433A"/>
    <w:rsid w:val="009873B4"/>
    <w:rsid w:val="009C034D"/>
    <w:rsid w:val="009D1230"/>
    <w:rsid w:val="009E4991"/>
    <w:rsid w:val="00A0453E"/>
    <w:rsid w:val="00A200F8"/>
    <w:rsid w:val="00A33383"/>
    <w:rsid w:val="00A406A5"/>
    <w:rsid w:val="00A62586"/>
    <w:rsid w:val="00A712CC"/>
    <w:rsid w:val="00A80E20"/>
    <w:rsid w:val="00A94A89"/>
    <w:rsid w:val="00AB2751"/>
    <w:rsid w:val="00AC2745"/>
    <w:rsid w:val="00AD3842"/>
    <w:rsid w:val="00AF3858"/>
    <w:rsid w:val="00AF5C4E"/>
    <w:rsid w:val="00B02A3A"/>
    <w:rsid w:val="00B129FA"/>
    <w:rsid w:val="00B243C3"/>
    <w:rsid w:val="00B46149"/>
    <w:rsid w:val="00B47463"/>
    <w:rsid w:val="00B953B8"/>
    <w:rsid w:val="00BB5E7F"/>
    <w:rsid w:val="00BD3481"/>
    <w:rsid w:val="00BE0963"/>
    <w:rsid w:val="00BE3098"/>
    <w:rsid w:val="00BE4DFF"/>
    <w:rsid w:val="00C00976"/>
    <w:rsid w:val="00C03810"/>
    <w:rsid w:val="00C076F4"/>
    <w:rsid w:val="00C279C4"/>
    <w:rsid w:val="00C30EE6"/>
    <w:rsid w:val="00C500DB"/>
    <w:rsid w:val="00C61EF1"/>
    <w:rsid w:val="00C727D7"/>
    <w:rsid w:val="00C76F8D"/>
    <w:rsid w:val="00C8180A"/>
    <w:rsid w:val="00CD7F00"/>
    <w:rsid w:val="00CE2256"/>
    <w:rsid w:val="00CF7165"/>
    <w:rsid w:val="00D0067F"/>
    <w:rsid w:val="00D109AA"/>
    <w:rsid w:val="00D14218"/>
    <w:rsid w:val="00D17639"/>
    <w:rsid w:val="00D361DE"/>
    <w:rsid w:val="00D434BE"/>
    <w:rsid w:val="00D77D7C"/>
    <w:rsid w:val="00D92CC1"/>
    <w:rsid w:val="00D938A9"/>
    <w:rsid w:val="00D95F13"/>
    <w:rsid w:val="00DC0220"/>
    <w:rsid w:val="00DD58C3"/>
    <w:rsid w:val="00DE025A"/>
    <w:rsid w:val="00DE0DDC"/>
    <w:rsid w:val="00DF3631"/>
    <w:rsid w:val="00DF666F"/>
    <w:rsid w:val="00E202C8"/>
    <w:rsid w:val="00E22A67"/>
    <w:rsid w:val="00E44E96"/>
    <w:rsid w:val="00E97DDD"/>
    <w:rsid w:val="00EE1F2F"/>
    <w:rsid w:val="00EE5A12"/>
    <w:rsid w:val="00EF1019"/>
    <w:rsid w:val="00EF7F55"/>
    <w:rsid w:val="00F017BF"/>
    <w:rsid w:val="00F14935"/>
    <w:rsid w:val="00F419D1"/>
    <w:rsid w:val="00F60FA9"/>
    <w:rsid w:val="00F84AD7"/>
    <w:rsid w:val="00F85E00"/>
    <w:rsid w:val="00FB5F8E"/>
    <w:rsid w:val="00FC0666"/>
    <w:rsid w:val="00FC4E82"/>
    <w:rsid w:val="00FD36A8"/>
    <w:rsid w:val="00FE264D"/>
    <w:rsid w:val="00FE339A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1EAD"/>
  <w15:docId w15:val="{7BFBF100-4B27-4740-832B-2E0741FC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9E7"/>
    <w:pPr>
      <w:spacing w:after="120" w:line="360" w:lineRule="auto"/>
      <w:jc w:val="both"/>
    </w:pPr>
    <w:rPr>
      <w:rFonts w:ascii="Georgia" w:hAnsi="Georgia"/>
    </w:rPr>
  </w:style>
  <w:style w:type="paragraph" w:styleId="Nadpis1">
    <w:name w:val="heading 1"/>
    <w:basedOn w:val="Normln"/>
    <w:next w:val="Normln"/>
    <w:link w:val="Nadpis1Char"/>
    <w:uiPriority w:val="9"/>
    <w:qFormat/>
    <w:rsid w:val="003B4436"/>
    <w:pPr>
      <w:outlineLvl w:val="0"/>
    </w:pPr>
    <w:rPr>
      <w:rFonts w:cs="Arial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436"/>
    <w:pPr>
      <w:keepNext/>
      <w:keepLines/>
      <w:numPr>
        <w:numId w:val="1"/>
      </w:numPr>
      <w:spacing w:before="40" w:after="0"/>
      <w:outlineLvl w:val="1"/>
    </w:pPr>
    <w:rPr>
      <w:rFonts w:eastAsiaTheme="majorEastAsia" w:cs="Arial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2256"/>
    <w:pPr>
      <w:keepNext/>
      <w:numPr>
        <w:ilvl w:val="1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39E7"/>
    <w:pPr>
      <w:numPr>
        <w:ilvl w:val="2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39E7"/>
    <w:pPr>
      <w:numPr>
        <w:ilvl w:val="3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C39E7"/>
    <w:pPr>
      <w:keepNext/>
      <w:keepLines/>
      <w:numPr>
        <w:ilvl w:val="4"/>
        <w:numId w:val="1"/>
      </w:numPr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436"/>
  </w:style>
  <w:style w:type="paragraph" w:styleId="Zpat">
    <w:name w:val="footer"/>
    <w:basedOn w:val="Normln"/>
    <w:link w:val="ZpatChar"/>
    <w:uiPriority w:val="99"/>
    <w:unhideWhenUsed/>
    <w:rsid w:val="003B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436"/>
  </w:style>
  <w:style w:type="character" w:customStyle="1" w:styleId="Nadpis1Char">
    <w:name w:val="Nadpis 1 Char"/>
    <w:basedOn w:val="Standardnpsmoodstavce"/>
    <w:link w:val="Nadpis1"/>
    <w:uiPriority w:val="9"/>
    <w:rsid w:val="003B4436"/>
    <w:rPr>
      <w:rFonts w:ascii="Arial" w:hAnsi="Arial" w:cs="Arial"/>
      <w:b/>
      <w:sz w:val="32"/>
    </w:rPr>
  </w:style>
  <w:style w:type="character" w:customStyle="1" w:styleId="Nadpis2Char">
    <w:name w:val="Nadpis 2 Char"/>
    <w:basedOn w:val="Standardnpsmoodstavce"/>
    <w:link w:val="Nadpis2"/>
    <w:uiPriority w:val="9"/>
    <w:rsid w:val="003B4436"/>
    <w:rPr>
      <w:rFonts w:ascii="Georgia" w:eastAsiaTheme="majorEastAsia" w:hAnsi="Georgia" w:cs="Arial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E2256"/>
    <w:rPr>
      <w:rFonts w:ascii="Georgia" w:eastAsiaTheme="majorEastAsia" w:hAnsi="Georgia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C39E7"/>
    <w:rPr>
      <w:rFonts w:ascii="Georgia" w:eastAsiaTheme="majorEastAsia" w:hAnsi="Georg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5C39E7"/>
    <w:rPr>
      <w:rFonts w:ascii="Georgia" w:eastAsiaTheme="majorEastAsia" w:hAnsi="Georg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5C39E7"/>
    <w:rPr>
      <w:rFonts w:ascii="Georgia" w:eastAsiaTheme="majorEastAsia" w:hAnsi="Georgia" w:cstheme="majorBidi"/>
    </w:rPr>
  </w:style>
  <w:style w:type="character" w:styleId="Odkaznakoment">
    <w:name w:val="annotation reference"/>
    <w:basedOn w:val="Standardnpsmoodstavce"/>
    <w:uiPriority w:val="99"/>
    <w:semiHidden/>
    <w:unhideWhenUsed/>
    <w:rsid w:val="00FE5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D63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D63"/>
    <w:rPr>
      <w:rFonts w:ascii="Georgia" w:hAnsi="Georg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D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149"/>
    <w:pPr>
      <w:spacing w:after="0" w:line="240" w:lineRule="auto"/>
      <w:ind w:left="720"/>
      <w:jc w:val="left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2F0E-9B2F-41A7-A0CC-21E1213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Hlaváček</dc:creator>
  <cp:lastModifiedBy>Jan Hlaváček</cp:lastModifiedBy>
  <cp:revision>3</cp:revision>
  <cp:lastPrinted>2017-08-24T09:16:00Z</cp:lastPrinted>
  <dcterms:created xsi:type="dcterms:W3CDTF">2017-08-24T10:29:00Z</dcterms:created>
  <dcterms:modified xsi:type="dcterms:W3CDTF">2017-09-08T12:12:00Z</dcterms:modified>
</cp:coreProperties>
</file>