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B66A6" w14:textId="0F254FC9" w:rsidR="002D4304" w:rsidRDefault="00F13B39" w:rsidP="002D4304">
      <w:pPr>
        <w:rPr>
          <w:rFonts w:cs="Arial"/>
          <w:b/>
          <w:sz w:val="32"/>
          <w:szCs w:val="32"/>
        </w:rPr>
      </w:pPr>
      <w:r>
        <w:rPr>
          <w:rFonts w:cs="Arial"/>
          <w:b/>
          <w:sz w:val="32"/>
          <w:szCs w:val="32"/>
        </w:rPr>
        <w:t>Investiční strategie finančního nástroje pro SC 3.5 Snížit environmentální rizika a rozvíjet systémy jejich řízení</w:t>
      </w:r>
    </w:p>
    <w:p w14:paraId="6567300C" w14:textId="20CF1E6F" w:rsidR="00F13B39" w:rsidRPr="005B1D54" w:rsidRDefault="00F13B39" w:rsidP="00F13B39">
      <w:r w:rsidRPr="005B1D54">
        <w:t>Ministerstvo životního prostředí (dále jen „MŽP“</w:t>
      </w:r>
      <w:r w:rsidR="000476BB">
        <w:t>) v souladu s Nařízením (EU) č. </w:t>
      </w:r>
      <w:r w:rsidRPr="005B1D54">
        <w:t xml:space="preserve">1303/2013 </w:t>
      </w:r>
      <w:r w:rsidR="00CB23C1">
        <w:t xml:space="preserve">(dále jen „Obecné nařízení“) </w:t>
      </w:r>
      <w:r w:rsidRPr="005B1D54">
        <w:t xml:space="preserve">nechalo zpracovat předběžné posouzení možnosti využití finančních nástrojů </w:t>
      </w:r>
      <w:r w:rsidR="000476BB" w:rsidRPr="005B1D54">
        <w:t xml:space="preserve">(dále jen „FN“) </w:t>
      </w:r>
      <w:r w:rsidRPr="005B1D54">
        <w:t>v</w:t>
      </w:r>
      <w:r w:rsidR="000476BB">
        <w:t> </w:t>
      </w:r>
      <w:r w:rsidR="000476BB" w:rsidRPr="005B1D54">
        <w:t>Operační</w:t>
      </w:r>
      <w:r w:rsidR="000476BB">
        <w:t>m</w:t>
      </w:r>
      <w:r w:rsidR="000476BB" w:rsidRPr="005B1D54">
        <w:t xml:space="preserve"> programu Životní prostředí 2014 – 2020 (dále jen „OPŽP“)</w:t>
      </w:r>
      <w:r w:rsidRPr="005B1D54">
        <w:t xml:space="preserve">, které definovalo vhodné oblasti pro využití FN, formy a základní parametry těchto FN. </w:t>
      </w:r>
    </w:p>
    <w:p w14:paraId="42AB2EC6" w14:textId="0B75D6F9" w:rsidR="00F13B39" w:rsidRPr="005B1D54" w:rsidRDefault="00F13B39" w:rsidP="00F13B39">
      <w:r w:rsidRPr="005B1D54">
        <w:t xml:space="preserve">Jednou z oblastí, kde budou </w:t>
      </w:r>
      <w:r w:rsidR="000476BB">
        <w:t xml:space="preserve">FN </w:t>
      </w:r>
      <w:r w:rsidRPr="005B1D54">
        <w:t>realizovány, je oblast specifického cíle 3.5 Snížit environmentální rizika a rozvíjet systémy jejich řízení (dále jen „SC 3.5“) v</w:t>
      </w:r>
      <w:r>
        <w:t xml:space="preserve"> rámci prioritní osy 3 Odpady a </w:t>
      </w:r>
      <w:r w:rsidRPr="005B1D54">
        <w:t xml:space="preserve">materiálové toky, ekologické </w:t>
      </w:r>
      <w:r w:rsidR="000476BB">
        <w:t>zátěže a </w:t>
      </w:r>
      <w:r w:rsidRPr="005B1D54">
        <w:t>rizika. Využití FN v této oblasti taktéž požaduje i Evropská komise, aby mohly být podpořeny i soukromoprávní subjekty.</w:t>
      </w:r>
    </w:p>
    <w:p w14:paraId="3C2E49C8" w14:textId="5D4FE3CE" w:rsidR="00F13B39" w:rsidRPr="005B1D54" w:rsidRDefault="00F13B39" w:rsidP="00F13B39">
      <w:r w:rsidRPr="005B1D54">
        <w:t>V rámci předběžného posouzení došlo k charakteristice oblasti SC 3.5 a navržení vhodné investiční strategie FN pro tuto oblast, která byla vhodně modifikována na základě aktuálních tržních podmínek a testu potenciálu poptávky mezi možnými žadateli o danou podporu. Výsledkem je tento dokum</w:t>
      </w:r>
      <w:r w:rsidR="000476BB">
        <w:t>ent, který je přílohou Dohody o </w:t>
      </w:r>
      <w:r w:rsidRPr="005B1D54">
        <w:t xml:space="preserve">financování uzavřené mezi </w:t>
      </w:r>
      <w:r w:rsidR="000476BB">
        <w:t>Řídicím orgánem</w:t>
      </w:r>
      <w:r w:rsidR="003119C2">
        <w:t xml:space="preserve"> (MŽP)</w:t>
      </w:r>
      <w:r w:rsidR="000476BB">
        <w:t xml:space="preserve"> a S</w:t>
      </w:r>
      <w:r w:rsidRPr="005B1D54">
        <w:t>právcem FN</w:t>
      </w:r>
      <w:r w:rsidR="00CB23C1">
        <w:t xml:space="preserve"> (dále jen „Dohoda“)</w:t>
      </w:r>
      <w:r w:rsidRPr="005B1D54">
        <w:t>.</w:t>
      </w:r>
    </w:p>
    <w:p w14:paraId="7BE398BB" w14:textId="0FC9B4D5" w:rsidR="007C226C" w:rsidRDefault="00F13B39" w:rsidP="00F13B39">
      <w:r w:rsidRPr="005B1D54">
        <w:t xml:space="preserve">Tento FN je z pohledu </w:t>
      </w:r>
      <w:r w:rsidR="000476BB">
        <w:t xml:space="preserve">OPŽP </w:t>
      </w:r>
      <w:r w:rsidRPr="005B1D54">
        <w:t>pilotním FN, jehož cílem je uvést do praxe návratnou formu podpory z Evropských strukturálních a investičních fondů v oblasti životního prostředí. Lze ho chápat i jako přípravu resortu životního prostředí na období po skončení programového období 2014 – 2020, kdy se očekává ústup od čistě dotační podpory a vyšší využití návratných forem podpory. Je tedy více než žádoucí, aby bylo získáno maximum možných zkušeností již v</w:t>
      </w:r>
      <w:r w:rsidR="00A0194B">
        <w:t> </w:t>
      </w:r>
      <w:r w:rsidRPr="005B1D54">
        <w:t>programovém období 2014 – 2020.</w:t>
      </w:r>
    </w:p>
    <w:p w14:paraId="381FD65E" w14:textId="4C59B695" w:rsidR="00F13B39" w:rsidRDefault="007C226C" w:rsidP="007C226C">
      <w:pPr>
        <w:spacing w:after="200" w:line="276" w:lineRule="auto"/>
        <w:jc w:val="left"/>
      </w:pPr>
      <w:r>
        <w:br w:type="page"/>
      </w:r>
    </w:p>
    <w:p w14:paraId="09E3E45E" w14:textId="0FA6D5E4" w:rsidR="00F13B39" w:rsidRDefault="00F13B39" w:rsidP="00F13B39">
      <w:pPr>
        <w:pStyle w:val="Nadpis1"/>
      </w:pPr>
      <w:r>
        <w:lastRenderedPageBreak/>
        <w:t>Charakteristika specifického cíle</w:t>
      </w:r>
    </w:p>
    <w:p w14:paraId="5220302F" w14:textId="77777777" w:rsidR="00F13B39" w:rsidRPr="00E86EE6" w:rsidRDefault="00F13B39" w:rsidP="00F13B39">
      <w:r w:rsidRPr="00E86EE6">
        <w:t xml:space="preserve">Finanční nástroj reaguje na dílčí oblast podpory v rámci specifického cíle 3.5 OPŽP, který cílí na snížení environmentálního rizika a rozvíjení systémů jejich řízení. </w:t>
      </w:r>
    </w:p>
    <w:p w14:paraId="5CDD45F9" w14:textId="015B6DDF" w:rsidR="007C226C" w:rsidRPr="007C226C" w:rsidRDefault="007C226C" w:rsidP="007C226C">
      <w:pPr>
        <w:pStyle w:val="Titulek"/>
      </w:pPr>
      <w:r w:rsidRPr="007C226C">
        <w:t xml:space="preserve">Tabulka </w:t>
      </w:r>
      <w:fldSimple w:instr=" SEQ Tabulka \* ARABIC ">
        <w:r w:rsidR="00A0194B">
          <w:rPr>
            <w:noProof/>
          </w:rPr>
          <w:t>1</w:t>
        </w:r>
      </w:fldSimple>
      <w:r w:rsidRPr="007C226C">
        <w:t>: Základní identifikace analyzované části specifického cíle 3.5 OPŽP</w:t>
      </w:r>
    </w:p>
    <w:tbl>
      <w:tblPr>
        <w:tblStyle w:val="Styl1"/>
        <w:tblW w:w="0" w:type="auto"/>
        <w:tblCellMar>
          <w:top w:w="113" w:type="dxa"/>
          <w:bottom w:w="113" w:type="dxa"/>
        </w:tblCellMar>
        <w:tblLook w:val="04A0" w:firstRow="1" w:lastRow="0" w:firstColumn="1" w:lastColumn="0" w:noHBand="0" w:noVBand="1"/>
      </w:tblPr>
      <w:tblGrid>
        <w:gridCol w:w="2281"/>
        <w:gridCol w:w="6781"/>
      </w:tblGrid>
      <w:tr w:rsidR="00F13B39" w:rsidRPr="004F3788" w14:paraId="67DB0783" w14:textId="77777777" w:rsidTr="000476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vAlign w:val="center"/>
          </w:tcPr>
          <w:p w14:paraId="52F04D87" w14:textId="56E37056" w:rsidR="00F13B39" w:rsidRPr="00F13B39" w:rsidRDefault="00F13B39" w:rsidP="000476BB">
            <w:pPr>
              <w:spacing w:after="0"/>
              <w:jc w:val="left"/>
              <w:rPr>
                <w:b w:val="0"/>
              </w:rPr>
            </w:pPr>
            <w:r w:rsidRPr="00F13B39">
              <w:t>Oblast podpory SC 3.5 Snížit environmentální rizika a rozvíjet systémy jejich řízení</w:t>
            </w:r>
          </w:p>
        </w:tc>
      </w:tr>
      <w:tr w:rsidR="00F13B39" w:rsidRPr="004F3788" w14:paraId="39CBF795" w14:textId="77777777" w:rsidTr="000476BB">
        <w:trPr>
          <w:trHeight w:val="979"/>
        </w:trPr>
        <w:tc>
          <w:tcPr>
            <w:cnfStyle w:val="001000000000" w:firstRow="0" w:lastRow="0" w:firstColumn="1" w:lastColumn="0" w:oddVBand="0" w:evenVBand="0" w:oddHBand="0" w:evenHBand="0" w:firstRowFirstColumn="0" w:firstRowLastColumn="0" w:lastRowFirstColumn="0" w:lastRowLastColumn="0"/>
            <w:tcW w:w="2281" w:type="dxa"/>
            <w:vAlign w:val="center"/>
          </w:tcPr>
          <w:p w14:paraId="58BC13C4" w14:textId="77777777" w:rsidR="00F13B39" w:rsidRPr="00F13B39" w:rsidRDefault="00F13B39" w:rsidP="000476BB">
            <w:pPr>
              <w:spacing w:after="0"/>
              <w:jc w:val="left"/>
              <w:rPr>
                <w:rFonts w:cs="Arial"/>
              </w:rPr>
            </w:pPr>
            <w:r w:rsidRPr="00F13B39">
              <w:rPr>
                <w:rFonts w:cs="Arial"/>
              </w:rPr>
              <w:t>Příklad podporovaných projektů</w:t>
            </w:r>
          </w:p>
        </w:tc>
        <w:tc>
          <w:tcPr>
            <w:tcW w:w="6781" w:type="dxa"/>
            <w:vAlign w:val="center"/>
          </w:tcPr>
          <w:p w14:paraId="424F249D" w14:textId="77777777" w:rsidR="00F13B39" w:rsidRPr="00F13B39" w:rsidRDefault="00F13B39" w:rsidP="000476BB">
            <w:pPr>
              <w:pStyle w:val="Odstavecseseznamem"/>
              <w:numPr>
                <w:ilvl w:val="0"/>
                <w:numId w:val="21"/>
              </w:numPr>
              <w:spacing w:after="0"/>
              <w:ind w:left="441" w:hanging="283"/>
              <w:jc w:val="left"/>
              <w:cnfStyle w:val="000000000000" w:firstRow="0" w:lastRow="0" w:firstColumn="0" w:lastColumn="0" w:oddVBand="0" w:evenVBand="0" w:oddHBand="0" w:evenHBand="0" w:firstRowFirstColumn="0" w:firstRowLastColumn="0" w:lastRowFirstColumn="0" w:lastRowLastColumn="0"/>
              <w:rPr>
                <w:szCs w:val="22"/>
              </w:rPr>
            </w:pPr>
            <w:r w:rsidRPr="00F13B39">
              <w:rPr>
                <w:szCs w:val="22"/>
              </w:rPr>
              <w:t>Rekonstrukce zařízení výrob s nebezpečnými chemickými látkami,</w:t>
            </w:r>
          </w:p>
          <w:p w14:paraId="713C6FC7" w14:textId="77777777" w:rsidR="00F13B39" w:rsidRPr="00F13B39" w:rsidRDefault="00F13B39" w:rsidP="000476BB">
            <w:pPr>
              <w:pStyle w:val="Odstavecseseznamem"/>
              <w:numPr>
                <w:ilvl w:val="0"/>
                <w:numId w:val="21"/>
              </w:numPr>
              <w:spacing w:after="0"/>
              <w:ind w:left="441" w:hanging="283"/>
              <w:jc w:val="left"/>
              <w:cnfStyle w:val="000000000000" w:firstRow="0" w:lastRow="0" w:firstColumn="0" w:lastColumn="0" w:oddVBand="0" w:evenVBand="0" w:oddHBand="0" w:evenHBand="0" w:firstRowFirstColumn="0" w:firstRowLastColumn="0" w:lastRowFirstColumn="0" w:lastRowLastColumn="0"/>
              <w:rPr>
                <w:szCs w:val="22"/>
              </w:rPr>
            </w:pPr>
            <w:r w:rsidRPr="00F13B39">
              <w:rPr>
                <w:szCs w:val="22"/>
              </w:rPr>
              <w:t>Rekonstrukce chladícího zařízení - změnou chladiva, snížením množství kapalného čpavku, náhradou chladícího zařízení, modernizací rozvodů,</w:t>
            </w:r>
          </w:p>
          <w:p w14:paraId="36990FD8" w14:textId="77777777" w:rsidR="00F13B39" w:rsidRPr="00F13B39" w:rsidRDefault="00F13B39" w:rsidP="000476BB">
            <w:pPr>
              <w:pStyle w:val="Odstavecseseznamem"/>
              <w:numPr>
                <w:ilvl w:val="0"/>
                <w:numId w:val="21"/>
              </w:numPr>
              <w:spacing w:after="0"/>
              <w:ind w:left="441" w:hanging="283"/>
              <w:jc w:val="left"/>
              <w:cnfStyle w:val="000000000000" w:firstRow="0" w:lastRow="0" w:firstColumn="0" w:lastColumn="0" w:oddVBand="0" w:evenVBand="0" w:oddHBand="0" w:evenHBand="0" w:firstRowFirstColumn="0" w:firstRowLastColumn="0" w:lastRowFirstColumn="0" w:lastRowLastColumn="0"/>
              <w:rPr>
                <w:szCs w:val="22"/>
              </w:rPr>
            </w:pPr>
            <w:r w:rsidRPr="00F13B39">
              <w:rPr>
                <w:szCs w:val="22"/>
              </w:rPr>
              <w:t>Protipožární izolace zásobníků LPG,</w:t>
            </w:r>
          </w:p>
          <w:p w14:paraId="29019056" w14:textId="77777777" w:rsidR="00F13B39" w:rsidRPr="00F13B39" w:rsidRDefault="00F13B39" w:rsidP="000476BB">
            <w:pPr>
              <w:pStyle w:val="Odstavecseseznamem"/>
              <w:numPr>
                <w:ilvl w:val="0"/>
                <w:numId w:val="21"/>
              </w:numPr>
              <w:spacing w:after="0"/>
              <w:ind w:left="441" w:hanging="283"/>
              <w:jc w:val="left"/>
              <w:cnfStyle w:val="000000000000" w:firstRow="0" w:lastRow="0" w:firstColumn="0" w:lastColumn="0" w:oddVBand="0" w:evenVBand="0" w:oddHBand="0" w:evenHBand="0" w:firstRowFirstColumn="0" w:firstRowLastColumn="0" w:lastRowFirstColumn="0" w:lastRowLastColumn="0"/>
              <w:rPr>
                <w:szCs w:val="22"/>
              </w:rPr>
            </w:pPr>
            <w:r w:rsidRPr="00F13B39">
              <w:rPr>
                <w:szCs w:val="22"/>
              </w:rPr>
              <w:t>Vybudování bezpečného stáčení vstupních surovin a nových produktů,</w:t>
            </w:r>
          </w:p>
          <w:p w14:paraId="3C0AF5EE" w14:textId="77777777" w:rsidR="00F13B39" w:rsidRPr="00F13B39" w:rsidRDefault="00F13B39" w:rsidP="000476BB">
            <w:pPr>
              <w:pStyle w:val="Odstavecseseznamem"/>
              <w:numPr>
                <w:ilvl w:val="0"/>
                <w:numId w:val="21"/>
              </w:numPr>
              <w:spacing w:after="0"/>
              <w:ind w:left="441" w:hanging="283"/>
              <w:jc w:val="left"/>
              <w:cnfStyle w:val="000000000000" w:firstRow="0" w:lastRow="0" w:firstColumn="0" w:lastColumn="0" w:oddVBand="0" w:evenVBand="0" w:oddHBand="0" w:evenHBand="0" w:firstRowFirstColumn="0" w:firstRowLastColumn="0" w:lastRowFirstColumn="0" w:lastRowLastColumn="0"/>
              <w:rPr>
                <w:szCs w:val="22"/>
              </w:rPr>
            </w:pPr>
            <w:r w:rsidRPr="00F13B39">
              <w:rPr>
                <w:szCs w:val="22"/>
              </w:rPr>
              <w:t>Rekonstrukce skladovacích nádrží vč. realizace havarijních jímek,</w:t>
            </w:r>
          </w:p>
          <w:p w14:paraId="0B897844" w14:textId="77777777" w:rsidR="00F13B39" w:rsidRPr="00F13B39" w:rsidRDefault="00F13B39" w:rsidP="000476BB">
            <w:pPr>
              <w:pStyle w:val="Odstavecseseznamem"/>
              <w:numPr>
                <w:ilvl w:val="0"/>
                <w:numId w:val="21"/>
              </w:numPr>
              <w:spacing w:after="0"/>
              <w:ind w:left="441" w:hanging="283"/>
              <w:jc w:val="left"/>
              <w:cnfStyle w:val="000000000000" w:firstRow="0" w:lastRow="0" w:firstColumn="0" w:lastColumn="0" w:oddVBand="0" w:evenVBand="0" w:oddHBand="0" w:evenHBand="0" w:firstRowFirstColumn="0" w:firstRowLastColumn="0" w:lastRowFirstColumn="0" w:lastRowLastColumn="0"/>
              <w:rPr>
                <w:szCs w:val="22"/>
              </w:rPr>
            </w:pPr>
            <w:r w:rsidRPr="00F13B39">
              <w:rPr>
                <w:szCs w:val="22"/>
              </w:rPr>
              <w:t>Rekonstrukce skladů hořlavých kapalin,</w:t>
            </w:r>
          </w:p>
          <w:p w14:paraId="33D78326" w14:textId="77777777" w:rsidR="00F13B39" w:rsidRPr="00F13B39" w:rsidRDefault="00F13B39" w:rsidP="000476BB">
            <w:pPr>
              <w:pStyle w:val="Odstavecseseznamem"/>
              <w:numPr>
                <w:ilvl w:val="0"/>
                <w:numId w:val="21"/>
              </w:numPr>
              <w:spacing w:after="0"/>
              <w:ind w:left="441" w:hanging="283"/>
              <w:jc w:val="left"/>
              <w:cnfStyle w:val="000000000000" w:firstRow="0" w:lastRow="0" w:firstColumn="0" w:lastColumn="0" w:oddVBand="0" w:evenVBand="0" w:oddHBand="0" w:evenHBand="0" w:firstRowFirstColumn="0" w:firstRowLastColumn="0" w:lastRowFirstColumn="0" w:lastRowLastColumn="0"/>
              <w:rPr>
                <w:szCs w:val="22"/>
              </w:rPr>
            </w:pPr>
            <w:r w:rsidRPr="00F13B39">
              <w:rPr>
                <w:szCs w:val="22"/>
              </w:rPr>
              <w:t>Rekonstrukce skladovacích nádrží kapalných uhlovodíků,</w:t>
            </w:r>
          </w:p>
          <w:p w14:paraId="6DCF165A" w14:textId="77777777" w:rsidR="00F13B39" w:rsidRPr="00F13B39" w:rsidRDefault="00F13B39" w:rsidP="000476BB">
            <w:pPr>
              <w:pStyle w:val="Odstavecseseznamem"/>
              <w:numPr>
                <w:ilvl w:val="0"/>
                <w:numId w:val="21"/>
              </w:numPr>
              <w:spacing w:after="0"/>
              <w:ind w:left="441" w:hanging="283"/>
              <w:jc w:val="left"/>
              <w:cnfStyle w:val="000000000000" w:firstRow="0" w:lastRow="0" w:firstColumn="0" w:lastColumn="0" w:oddVBand="0" w:evenVBand="0" w:oddHBand="0" w:evenHBand="0" w:firstRowFirstColumn="0" w:firstRowLastColumn="0" w:lastRowFirstColumn="0" w:lastRowLastColumn="0"/>
              <w:rPr>
                <w:szCs w:val="22"/>
              </w:rPr>
            </w:pPr>
            <w:r w:rsidRPr="00F13B39">
              <w:rPr>
                <w:szCs w:val="22"/>
              </w:rPr>
              <w:t>Rekonstrukce skladů kapalných průmyslových hnojiv,</w:t>
            </w:r>
          </w:p>
          <w:p w14:paraId="3C997AD3" w14:textId="77777777" w:rsidR="00F13B39" w:rsidRPr="00F13B39" w:rsidRDefault="00F13B39" w:rsidP="000476BB">
            <w:pPr>
              <w:pStyle w:val="Odstavecseseznamem"/>
              <w:numPr>
                <w:ilvl w:val="0"/>
                <w:numId w:val="21"/>
              </w:numPr>
              <w:spacing w:after="0"/>
              <w:ind w:left="441" w:hanging="283"/>
              <w:jc w:val="left"/>
              <w:cnfStyle w:val="000000000000" w:firstRow="0" w:lastRow="0" w:firstColumn="0" w:lastColumn="0" w:oddVBand="0" w:evenVBand="0" w:oddHBand="0" w:evenHBand="0" w:firstRowFirstColumn="0" w:firstRowLastColumn="0" w:lastRowFirstColumn="0" w:lastRowLastColumn="0"/>
              <w:rPr>
                <w:szCs w:val="22"/>
              </w:rPr>
            </w:pPr>
            <w:r w:rsidRPr="00F13B39">
              <w:rPr>
                <w:szCs w:val="22"/>
              </w:rPr>
              <w:t>Výstavba zabezpečených skladů agrochemikálií,</w:t>
            </w:r>
          </w:p>
          <w:p w14:paraId="6709BB81" w14:textId="77777777" w:rsidR="00F13B39" w:rsidRPr="00F13B39" w:rsidRDefault="00F13B39" w:rsidP="000476BB">
            <w:pPr>
              <w:pStyle w:val="Odstavecseseznamem"/>
              <w:numPr>
                <w:ilvl w:val="0"/>
                <w:numId w:val="21"/>
              </w:numPr>
              <w:spacing w:after="0"/>
              <w:ind w:left="441" w:hanging="283"/>
              <w:jc w:val="left"/>
              <w:cnfStyle w:val="000000000000" w:firstRow="0" w:lastRow="0" w:firstColumn="0" w:lastColumn="0" w:oddVBand="0" w:evenVBand="0" w:oddHBand="0" w:evenHBand="0" w:firstRowFirstColumn="0" w:firstRowLastColumn="0" w:lastRowFirstColumn="0" w:lastRowLastColumn="0"/>
              <w:rPr>
                <w:szCs w:val="22"/>
              </w:rPr>
            </w:pPr>
            <w:r w:rsidRPr="00F13B39">
              <w:rPr>
                <w:szCs w:val="22"/>
              </w:rPr>
              <w:t>Modernizace zabezpečovacího zařízení u vlečky pro přepravu nebezpečných látek,</w:t>
            </w:r>
          </w:p>
          <w:p w14:paraId="7B6B2F4F" w14:textId="77777777" w:rsidR="00F13B39" w:rsidRPr="00F13B39" w:rsidRDefault="00F13B39" w:rsidP="000476BB">
            <w:pPr>
              <w:numPr>
                <w:ilvl w:val="0"/>
                <w:numId w:val="21"/>
              </w:numPr>
              <w:spacing w:after="100" w:afterAutospacing="1"/>
              <w:ind w:left="441" w:hanging="283"/>
              <w:contextualSpacing/>
              <w:jc w:val="left"/>
              <w:cnfStyle w:val="000000000000" w:firstRow="0" w:lastRow="0" w:firstColumn="0" w:lastColumn="0" w:oddVBand="0" w:evenVBand="0" w:oddHBand="0" w:evenHBand="0" w:firstRowFirstColumn="0" w:firstRowLastColumn="0" w:lastRowFirstColumn="0" w:lastRowLastColumn="0"/>
              <w:rPr>
                <w:rFonts w:cs="Arial"/>
                <w:lang w:eastAsia="x-none"/>
              </w:rPr>
            </w:pPr>
            <w:r w:rsidRPr="00F13B39">
              <w:rPr>
                <w:rFonts w:cs="Arial"/>
                <w:color w:val="000000"/>
                <w:lang w:eastAsia="x-none"/>
              </w:rPr>
              <w:t>Rekonstrukce nebo nákup technologií vedoucích k omezení emisí znečišťujících životní prostředí (použití tzv. nejlepších dostupných technik (BAT) a nově vznikajících technik uvedených např. v referenčních dokumentech o BAT)</w:t>
            </w:r>
            <w:r w:rsidRPr="00F13B39">
              <w:rPr>
                <w:rFonts w:cs="Arial"/>
                <w:lang w:eastAsia="x-none"/>
              </w:rPr>
              <w:t>,</w:t>
            </w:r>
          </w:p>
          <w:p w14:paraId="5A02D5AB" w14:textId="77777777" w:rsidR="00F13B39" w:rsidRPr="00F13B39" w:rsidRDefault="00F13B39" w:rsidP="000476BB">
            <w:pPr>
              <w:numPr>
                <w:ilvl w:val="0"/>
                <w:numId w:val="21"/>
              </w:numPr>
              <w:spacing w:after="100" w:afterAutospacing="1"/>
              <w:ind w:left="441" w:hanging="283"/>
              <w:contextualSpacing/>
              <w:jc w:val="left"/>
              <w:cnfStyle w:val="000000000000" w:firstRow="0" w:lastRow="0" w:firstColumn="0" w:lastColumn="0" w:oddVBand="0" w:evenVBand="0" w:oddHBand="0" w:evenHBand="0" w:firstRowFirstColumn="0" w:firstRowLastColumn="0" w:lastRowFirstColumn="0" w:lastRowLastColumn="0"/>
              <w:rPr>
                <w:rFonts w:cs="Arial"/>
                <w:lang w:eastAsia="x-none"/>
              </w:rPr>
            </w:pPr>
            <w:r w:rsidRPr="00F13B39">
              <w:rPr>
                <w:rFonts w:cs="Arial"/>
                <w:color w:val="000000"/>
                <w:lang w:eastAsia="x-none"/>
              </w:rPr>
              <w:t>Rekonstrukce</w:t>
            </w:r>
            <w:r w:rsidRPr="00F13B39">
              <w:rPr>
                <w:rFonts w:cs="Arial"/>
                <w:lang w:eastAsia="x-none"/>
              </w:rPr>
              <w:t xml:space="preserve"> nebo nákup technologií pro monitoring průmyslového znečištění jednotlivých složek životního prostředí.</w:t>
            </w:r>
          </w:p>
        </w:tc>
      </w:tr>
      <w:tr w:rsidR="00F13B39" w:rsidRPr="004F3788" w14:paraId="26DA5FDD" w14:textId="77777777" w:rsidTr="000476BB">
        <w:trPr>
          <w:trHeight w:val="79"/>
        </w:trPr>
        <w:tc>
          <w:tcPr>
            <w:cnfStyle w:val="001000000000" w:firstRow="0" w:lastRow="0" w:firstColumn="1" w:lastColumn="0" w:oddVBand="0" w:evenVBand="0" w:oddHBand="0" w:evenHBand="0" w:firstRowFirstColumn="0" w:firstRowLastColumn="0" w:lastRowFirstColumn="0" w:lastRowLastColumn="0"/>
            <w:tcW w:w="2281" w:type="dxa"/>
            <w:vAlign w:val="center"/>
          </w:tcPr>
          <w:p w14:paraId="60E5EFA3" w14:textId="77777777" w:rsidR="00F13B39" w:rsidRPr="00F13B39" w:rsidRDefault="00F13B39" w:rsidP="000476BB">
            <w:pPr>
              <w:spacing w:after="0"/>
              <w:jc w:val="left"/>
              <w:rPr>
                <w:rFonts w:cs="Arial"/>
              </w:rPr>
            </w:pPr>
            <w:r w:rsidRPr="00F13B39">
              <w:rPr>
                <w:rFonts w:cs="Arial"/>
              </w:rPr>
              <w:t>Hlavní cílové skupiny</w:t>
            </w:r>
          </w:p>
        </w:tc>
        <w:tc>
          <w:tcPr>
            <w:tcW w:w="6781" w:type="dxa"/>
            <w:vAlign w:val="center"/>
          </w:tcPr>
          <w:p w14:paraId="70271841" w14:textId="77777777" w:rsidR="00F13B39" w:rsidRPr="00F13B39" w:rsidRDefault="00F13B39" w:rsidP="000476BB">
            <w:pPr>
              <w:spacing w:after="100" w:afterAutospacing="1" w:line="276" w:lineRule="auto"/>
              <w:jc w:val="left"/>
              <w:cnfStyle w:val="000000000000" w:firstRow="0" w:lastRow="0" w:firstColumn="0" w:lastColumn="0" w:oddVBand="0" w:evenVBand="0" w:oddHBand="0" w:evenHBand="0" w:firstRowFirstColumn="0" w:firstRowLastColumn="0" w:lastRowFirstColumn="0" w:lastRowLastColumn="0"/>
              <w:rPr>
                <w:rFonts w:cs="Arial"/>
                <w:lang w:eastAsia="cs-CZ"/>
              </w:rPr>
            </w:pPr>
            <w:r w:rsidRPr="00F13B39">
              <w:rPr>
                <w:rFonts w:cs="Arial"/>
                <w:lang w:eastAsia="cs-CZ"/>
              </w:rPr>
              <w:t>Subjekty angažující se v oblasti omezování environmentálních rizik a průmyslového znečištění.</w:t>
            </w:r>
          </w:p>
        </w:tc>
      </w:tr>
      <w:tr w:rsidR="00F13B39" w:rsidRPr="004F3788" w14:paraId="41F4D90E" w14:textId="77777777" w:rsidTr="000476BB">
        <w:trPr>
          <w:trHeight w:val="32"/>
        </w:trPr>
        <w:tc>
          <w:tcPr>
            <w:cnfStyle w:val="001000000000" w:firstRow="0" w:lastRow="0" w:firstColumn="1" w:lastColumn="0" w:oddVBand="0" w:evenVBand="0" w:oddHBand="0" w:evenHBand="0" w:firstRowFirstColumn="0" w:firstRowLastColumn="0" w:lastRowFirstColumn="0" w:lastRowLastColumn="0"/>
            <w:tcW w:w="2281" w:type="dxa"/>
            <w:vAlign w:val="center"/>
          </w:tcPr>
          <w:p w14:paraId="229C6AA4" w14:textId="77777777" w:rsidR="00F13B39" w:rsidRPr="00F13B39" w:rsidRDefault="00F13B39" w:rsidP="000476BB">
            <w:pPr>
              <w:spacing w:after="0"/>
              <w:jc w:val="left"/>
              <w:rPr>
                <w:rFonts w:cs="Arial"/>
              </w:rPr>
            </w:pPr>
            <w:r w:rsidRPr="00F13B39">
              <w:rPr>
                <w:rFonts w:cs="Arial"/>
              </w:rPr>
              <w:lastRenderedPageBreak/>
              <w:t>Cílová území</w:t>
            </w:r>
          </w:p>
        </w:tc>
        <w:tc>
          <w:tcPr>
            <w:tcW w:w="6781" w:type="dxa"/>
            <w:vAlign w:val="center"/>
          </w:tcPr>
          <w:p w14:paraId="65B3E8BF" w14:textId="77777777" w:rsidR="00F13B39" w:rsidRPr="00F13B39" w:rsidRDefault="00F13B39" w:rsidP="000476BB">
            <w:pPr>
              <w:spacing w:after="0"/>
              <w:jc w:val="left"/>
              <w:cnfStyle w:val="000000000000" w:firstRow="0" w:lastRow="0" w:firstColumn="0" w:lastColumn="0" w:oddVBand="0" w:evenVBand="0" w:oddHBand="0" w:evenHBand="0" w:firstRowFirstColumn="0" w:firstRowLastColumn="0" w:lastRowFirstColumn="0" w:lastRowLastColumn="0"/>
              <w:rPr>
                <w:rFonts w:cs="Arial"/>
              </w:rPr>
            </w:pPr>
            <w:r w:rsidRPr="00F13B39">
              <w:rPr>
                <w:rFonts w:cs="Arial"/>
              </w:rPr>
              <w:t>Území celé České republiky, mimo území hl. města Prahy</w:t>
            </w:r>
          </w:p>
        </w:tc>
      </w:tr>
      <w:tr w:rsidR="00F13B39" w:rsidRPr="004F3788" w14:paraId="6A83F236" w14:textId="77777777" w:rsidTr="000476BB">
        <w:trPr>
          <w:trHeight w:val="784"/>
        </w:trPr>
        <w:tc>
          <w:tcPr>
            <w:cnfStyle w:val="001000000000" w:firstRow="0" w:lastRow="0" w:firstColumn="1" w:lastColumn="0" w:oddVBand="0" w:evenVBand="0" w:oddHBand="0" w:evenHBand="0" w:firstRowFirstColumn="0" w:firstRowLastColumn="0" w:lastRowFirstColumn="0" w:lastRowLastColumn="0"/>
            <w:tcW w:w="2281" w:type="dxa"/>
            <w:vAlign w:val="center"/>
          </w:tcPr>
          <w:p w14:paraId="6937B69D" w14:textId="77777777" w:rsidR="00F13B39" w:rsidRPr="00F13B39" w:rsidRDefault="00F13B39" w:rsidP="000476BB">
            <w:pPr>
              <w:spacing w:after="0"/>
              <w:jc w:val="left"/>
              <w:rPr>
                <w:rFonts w:cs="Arial"/>
              </w:rPr>
            </w:pPr>
            <w:r w:rsidRPr="00F13B39">
              <w:rPr>
                <w:rFonts w:cs="Arial"/>
              </w:rPr>
              <w:t>Koneční příjemci</w:t>
            </w:r>
          </w:p>
        </w:tc>
        <w:tc>
          <w:tcPr>
            <w:tcW w:w="6781" w:type="dxa"/>
            <w:vAlign w:val="center"/>
          </w:tcPr>
          <w:p w14:paraId="19659EA5" w14:textId="77777777" w:rsidR="00F13B39" w:rsidRPr="00F13B39" w:rsidRDefault="00F13B39" w:rsidP="000476BB">
            <w:pPr>
              <w:spacing w:after="0"/>
              <w:jc w:val="left"/>
              <w:cnfStyle w:val="000000000000" w:firstRow="0" w:lastRow="0" w:firstColumn="0" w:lastColumn="0" w:oddVBand="0" w:evenVBand="0" w:oddHBand="0" w:evenHBand="0" w:firstRowFirstColumn="0" w:firstRowLastColumn="0" w:lastRowFirstColumn="0" w:lastRowLastColumn="0"/>
              <w:rPr>
                <w:rFonts w:cs="Arial"/>
              </w:rPr>
            </w:pPr>
            <w:r w:rsidRPr="00F13B39">
              <w:rPr>
                <w:rFonts w:cs="Arial"/>
              </w:rPr>
              <w:t xml:space="preserve">Podnikatelské subjekty, obchodní společnosti a družstva, fyzické osoby podnikající, státní podniky, obce, případně další subjekty uvedené ve výzvě. </w:t>
            </w:r>
          </w:p>
        </w:tc>
      </w:tr>
      <w:tr w:rsidR="00F13B39" w:rsidRPr="004F3788" w14:paraId="78A1B806" w14:textId="77777777" w:rsidTr="000476BB">
        <w:tc>
          <w:tcPr>
            <w:cnfStyle w:val="001000000000" w:firstRow="0" w:lastRow="0" w:firstColumn="1" w:lastColumn="0" w:oddVBand="0" w:evenVBand="0" w:oddHBand="0" w:evenHBand="0" w:firstRowFirstColumn="0" w:firstRowLastColumn="0" w:lastRowFirstColumn="0" w:lastRowLastColumn="0"/>
            <w:tcW w:w="2281" w:type="dxa"/>
            <w:vAlign w:val="center"/>
          </w:tcPr>
          <w:p w14:paraId="62EFEC63" w14:textId="77777777" w:rsidR="00F13B39" w:rsidRPr="00F13B39" w:rsidRDefault="00F13B39" w:rsidP="000476BB">
            <w:pPr>
              <w:spacing w:after="0"/>
              <w:jc w:val="left"/>
              <w:rPr>
                <w:rFonts w:cs="Arial"/>
              </w:rPr>
            </w:pPr>
            <w:r w:rsidRPr="00F13B39">
              <w:rPr>
                <w:rFonts w:cs="Arial"/>
              </w:rPr>
              <w:t>Hlavní kritéria způsobilosti</w:t>
            </w:r>
          </w:p>
        </w:tc>
        <w:tc>
          <w:tcPr>
            <w:tcW w:w="6781" w:type="dxa"/>
            <w:vAlign w:val="center"/>
          </w:tcPr>
          <w:p w14:paraId="294C8BF3" w14:textId="06FD8314" w:rsidR="00F13B39" w:rsidRPr="007C226C" w:rsidRDefault="00F13B39" w:rsidP="000476BB">
            <w:pPr>
              <w:spacing w:after="0"/>
              <w:jc w:val="left"/>
              <w:cnfStyle w:val="000000000000" w:firstRow="0" w:lastRow="0" w:firstColumn="0" w:lastColumn="0" w:oddVBand="0" w:evenVBand="0" w:oddHBand="0" w:evenHBand="0" w:firstRowFirstColumn="0" w:firstRowLastColumn="0" w:lastRowFirstColumn="0" w:lastRowLastColumn="0"/>
            </w:pPr>
            <w:r w:rsidRPr="007C226C">
              <w:t xml:space="preserve">Naplňování požadavků směrnice 2012/18/EU o kontrole nebezpečí závažných havárií s  přítomností nebezpečných látek a směrnice 2010/75/EU o průmyslových </w:t>
            </w:r>
            <w:r w:rsidR="00A0194B">
              <w:t>emisích (integrované prevenci a </w:t>
            </w:r>
            <w:r w:rsidRPr="007C226C">
              <w:t xml:space="preserve">omezování znečištění). </w:t>
            </w:r>
          </w:p>
        </w:tc>
      </w:tr>
      <w:tr w:rsidR="00F13B39" w:rsidRPr="004F3788" w14:paraId="2C8BFBEC" w14:textId="77777777" w:rsidTr="000476BB">
        <w:tc>
          <w:tcPr>
            <w:cnfStyle w:val="001000000000" w:firstRow="0" w:lastRow="0" w:firstColumn="1" w:lastColumn="0" w:oddVBand="0" w:evenVBand="0" w:oddHBand="0" w:evenHBand="0" w:firstRowFirstColumn="0" w:firstRowLastColumn="0" w:lastRowFirstColumn="0" w:lastRowLastColumn="0"/>
            <w:tcW w:w="2281" w:type="dxa"/>
            <w:vAlign w:val="center"/>
          </w:tcPr>
          <w:p w14:paraId="6F1DBAB5" w14:textId="77777777" w:rsidR="00F13B39" w:rsidRPr="00F13B39" w:rsidRDefault="00F13B39" w:rsidP="000476BB">
            <w:pPr>
              <w:spacing w:after="0"/>
              <w:jc w:val="left"/>
              <w:rPr>
                <w:rFonts w:cs="Arial"/>
              </w:rPr>
            </w:pPr>
            <w:r w:rsidRPr="00F13B39">
              <w:rPr>
                <w:rFonts w:cs="Arial"/>
              </w:rPr>
              <w:t>Hlavní věcná kritéria hodnocení</w:t>
            </w:r>
          </w:p>
        </w:tc>
        <w:tc>
          <w:tcPr>
            <w:tcW w:w="6781" w:type="dxa"/>
          </w:tcPr>
          <w:p w14:paraId="6290ADC2" w14:textId="22A71263" w:rsidR="00F13B39" w:rsidRPr="007C226C" w:rsidRDefault="00F13B39" w:rsidP="007C226C">
            <w:pPr>
              <w:pStyle w:val="Odstavecseseznamem"/>
              <w:numPr>
                <w:ilvl w:val="0"/>
                <w:numId w:val="23"/>
              </w:numPr>
              <w:spacing w:after="0"/>
              <w:ind w:left="441" w:hanging="283"/>
              <w:cnfStyle w:val="000000000000" w:firstRow="0" w:lastRow="0" w:firstColumn="0" w:lastColumn="0" w:oddVBand="0" w:evenVBand="0" w:oddHBand="0" w:evenHBand="0" w:firstRowFirstColumn="0" w:firstRowLastColumn="0" w:lastRowFirstColumn="0" w:lastRowLastColumn="0"/>
            </w:pPr>
            <w:r w:rsidRPr="007C226C">
              <w:t>Projekty zaměřen</w:t>
            </w:r>
            <w:r w:rsidR="000476BB">
              <w:t>é na výstavbu nových zařízení a </w:t>
            </w:r>
            <w:r w:rsidRPr="007C226C">
              <w:t>rekonstrukci stávajících zařízení s cílem snížení míry rizika a omezování násled</w:t>
            </w:r>
            <w:r w:rsidR="000476BB">
              <w:t>ků závažných havárií musí být v </w:t>
            </w:r>
            <w:r w:rsidRPr="007C226C">
              <w:t>souladu se schváleným, aktualizovaným nebo připravovaným vnějším havarijním plánem zpracovaným krajským úřadem a s ko</w:t>
            </w:r>
            <w:r w:rsidR="000476BB">
              <w:t>ncepcí při umísťování objektů v </w:t>
            </w:r>
            <w:r w:rsidRPr="007C226C">
              <w:t>případě existence scénářů závažné havárie, které zasahují mimo objekt provozovatele (žadatele), včetně příhraničních účinků závažné havárie.</w:t>
            </w:r>
          </w:p>
          <w:p w14:paraId="6366DCFE" w14:textId="344786AC" w:rsidR="00F13B39" w:rsidRPr="007C226C" w:rsidRDefault="00F13B39" w:rsidP="007C226C">
            <w:pPr>
              <w:pStyle w:val="Odstavecseseznamem"/>
              <w:numPr>
                <w:ilvl w:val="0"/>
                <w:numId w:val="23"/>
              </w:numPr>
              <w:spacing w:after="0"/>
              <w:ind w:left="441" w:hanging="283"/>
              <w:cnfStyle w:val="000000000000" w:firstRow="0" w:lastRow="0" w:firstColumn="0" w:lastColumn="0" w:oddVBand="0" w:evenVBand="0" w:oddHBand="0" w:evenHBand="0" w:firstRowFirstColumn="0" w:firstRowLastColumn="0" w:lastRowFirstColumn="0" w:lastRowLastColumn="0"/>
            </w:pPr>
            <w:r w:rsidRPr="007C226C">
              <w:t>Projekty zaměřen</w:t>
            </w:r>
            <w:r w:rsidR="000476BB">
              <w:t>é na výstavbu nových zařízení a </w:t>
            </w:r>
            <w:r w:rsidRPr="007C226C">
              <w:t>rekonstrukci stávajících zařízení s cílem snížení míry rizika a omezování následků závažných havárií se musí vztahovat k opatřením snižujícím riziko nad rámec st</w:t>
            </w:r>
            <w:r w:rsidR="00A0194B">
              <w:t>andardů a norem společenství, a </w:t>
            </w:r>
            <w:r w:rsidRPr="007C226C">
              <w:t>tedy zajišťujícím dosažení úrovně ochrany vyšší, než je stanoveno těmito normami.</w:t>
            </w:r>
          </w:p>
          <w:p w14:paraId="7C38DD3A" w14:textId="0459AE45" w:rsidR="00F13B39" w:rsidRPr="007C226C" w:rsidRDefault="00F13B39" w:rsidP="007C226C">
            <w:pPr>
              <w:pStyle w:val="Odstavecseseznamem"/>
              <w:numPr>
                <w:ilvl w:val="0"/>
                <w:numId w:val="23"/>
              </w:numPr>
              <w:spacing w:after="0"/>
              <w:ind w:left="441" w:hanging="283"/>
              <w:cnfStyle w:val="000000000000" w:firstRow="0" w:lastRow="0" w:firstColumn="0" w:lastColumn="0" w:oddVBand="0" w:evenVBand="0" w:oddHBand="0" w:evenHBand="0" w:firstRowFirstColumn="0" w:firstRowLastColumn="0" w:lastRowFirstColumn="0" w:lastRowLastColumn="0"/>
            </w:pPr>
            <w:r w:rsidRPr="007C226C">
              <w:t>U projektů zaměřenýc</w:t>
            </w:r>
            <w:r w:rsidR="000476BB">
              <w:t>h na výstavbu nových zařízení a </w:t>
            </w:r>
            <w:r w:rsidRPr="007C226C">
              <w:t>rekonstrukci stávajících zařízení s cílem omezení průmyslového znečištění budou podporovány zejména aplikace pokročilých nejlepších dostupných technik (BAT) nebo nově vznikajících technik s cílem dosažení nejlepších environmentálních parametrů.</w:t>
            </w:r>
          </w:p>
        </w:tc>
      </w:tr>
      <w:tr w:rsidR="00F13B39" w:rsidRPr="004F3788" w14:paraId="6C9FA6FF" w14:textId="77777777" w:rsidTr="000476BB">
        <w:tc>
          <w:tcPr>
            <w:cnfStyle w:val="001000000000" w:firstRow="0" w:lastRow="0" w:firstColumn="1" w:lastColumn="0" w:oddVBand="0" w:evenVBand="0" w:oddHBand="0" w:evenHBand="0" w:firstRowFirstColumn="0" w:firstRowLastColumn="0" w:lastRowFirstColumn="0" w:lastRowLastColumn="0"/>
            <w:tcW w:w="2281" w:type="dxa"/>
          </w:tcPr>
          <w:p w14:paraId="114C5E56" w14:textId="77777777" w:rsidR="00F13B39" w:rsidRPr="00F13B39" w:rsidRDefault="00F13B39" w:rsidP="00A32366">
            <w:pPr>
              <w:spacing w:after="0"/>
              <w:jc w:val="left"/>
              <w:rPr>
                <w:rFonts w:cs="Arial"/>
              </w:rPr>
            </w:pPr>
            <w:r w:rsidRPr="00F13B39">
              <w:rPr>
                <w:rFonts w:cs="Arial"/>
              </w:rPr>
              <w:t>Hlavní způsobilé výdaje</w:t>
            </w:r>
          </w:p>
        </w:tc>
        <w:tc>
          <w:tcPr>
            <w:tcW w:w="6781" w:type="dxa"/>
          </w:tcPr>
          <w:p w14:paraId="39CBB54D" w14:textId="5D40CA28" w:rsidR="00F13B39" w:rsidRPr="007C226C" w:rsidRDefault="00F13B39" w:rsidP="007C226C">
            <w:pPr>
              <w:spacing w:after="0"/>
              <w:cnfStyle w:val="000000000000" w:firstRow="0" w:lastRow="0" w:firstColumn="0" w:lastColumn="0" w:oddVBand="0" w:evenVBand="0" w:oddHBand="0" w:evenHBand="0" w:firstRowFirstColumn="0" w:firstRowLastColumn="0" w:lastRowFirstColumn="0" w:lastRowLastColumn="0"/>
            </w:pPr>
            <w:r w:rsidRPr="007C226C">
              <w:t>Za způsobilé výdaje jsou obecně považovány výdaje na stavební práce, dodávky a slu</w:t>
            </w:r>
            <w:r w:rsidR="000476BB">
              <w:t>žby bezprostředně související s </w:t>
            </w:r>
            <w:r w:rsidRPr="007C226C">
              <w:t>předmětem podpory, zejména:</w:t>
            </w:r>
          </w:p>
          <w:p w14:paraId="56F71D51" w14:textId="31AC4F36" w:rsidR="00F13B39" w:rsidRPr="007C226C" w:rsidRDefault="00F13B39" w:rsidP="007C226C">
            <w:pPr>
              <w:pStyle w:val="Odstavecseseznamem"/>
              <w:numPr>
                <w:ilvl w:val="0"/>
                <w:numId w:val="26"/>
              </w:numPr>
              <w:spacing w:after="0"/>
              <w:ind w:left="441" w:hanging="283"/>
              <w:cnfStyle w:val="000000000000" w:firstRow="0" w:lastRow="0" w:firstColumn="0" w:lastColumn="0" w:oddVBand="0" w:evenVBand="0" w:oddHBand="0" w:evenHBand="0" w:firstRowFirstColumn="0" w:firstRowLastColumn="0" w:lastRowFirstColumn="0" w:lastRowLastColumn="0"/>
            </w:pPr>
            <w:r w:rsidRPr="007C226C">
              <w:lastRenderedPageBreak/>
              <w:t xml:space="preserve">stavební práce, dodávky a služby spojené s výstavbou nebo rekonstrukcí zařízení (stacionární technické nebo technologické jednotky, ve kterých je nebezpečná chemická látka vyráběna, zpracovávána, používána, </w:t>
            </w:r>
            <w:r w:rsidR="007C226C">
              <w:t>přepravována nebo skladována) s </w:t>
            </w:r>
            <w:r w:rsidRPr="007C226C">
              <w:t>cílem zvýšení bezpečnosti provozu, snížení míry rizika nad rámec standardů a norem společenství,</w:t>
            </w:r>
          </w:p>
          <w:p w14:paraId="612C9E2A" w14:textId="77777777" w:rsidR="00F13B39" w:rsidRPr="007C226C" w:rsidRDefault="00F13B39" w:rsidP="007C226C">
            <w:pPr>
              <w:pStyle w:val="Odstavecseseznamem"/>
              <w:numPr>
                <w:ilvl w:val="0"/>
                <w:numId w:val="26"/>
              </w:numPr>
              <w:spacing w:after="0"/>
              <w:ind w:left="441" w:hanging="283"/>
              <w:cnfStyle w:val="000000000000" w:firstRow="0" w:lastRow="0" w:firstColumn="0" w:lastColumn="0" w:oddVBand="0" w:evenVBand="0" w:oddHBand="0" w:evenHBand="0" w:firstRowFirstColumn="0" w:firstRowLastColumn="0" w:lastRowFirstColumn="0" w:lastRowLastColumn="0"/>
            </w:pPr>
            <w:r w:rsidRPr="007C226C">
              <w:t>stavební práce, dodávky a služby spojené s výstavbou nebo rekonstrukcí zařízení pro omezení průmyslového znečištění,</w:t>
            </w:r>
          </w:p>
          <w:p w14:paraId="07BCA720" w14:textId="77777777" w:rsidR="00F13B39" w:rsidRPr="007C226C" w:rsidRDefault="00F13B39" w:rsidP="007C226C">
            <w:pPr>
              <w:pStyle w:val="Odstavecseseznamem"/>
              <w:numPr>
                <w:ilvl w:val="0"/>
                <w:numId w:val="26"/>
              </w:numPr>
              <w:spacing w:after="0"/>
              <w:ind w:left="441" w:hanging="283"/>
              <w:cnfStyle w:val="000000000000" w:firstRow="0" w:lastRow="0" w:firstColumn="0" w:lastColumn="0" w:oddVBand="0" w:evenVBand="0" w:oddHBand="0" w:evenHBand="0" w:firstRowFirstColumn="0" w:firstRowLastColumn="0" w:lastRowFirstColumn="0" w:lastRowLastColumn="0"/>
            </w:pPr>
            <w:r w:rsidRPr="007C226C">
              <w:t xml:space="preserve">stavební práce, dodávky a služby spojené s rekonstrukcí nebo nákupem technologií pro </w:t>
            </w:r>
            <w:r w:rsidRPr="007C226C">
              <w:rPr>
                <w:lang w:eastAsia="x-none"/>
              </w:rPr>
              <w:t>monitoring průmyslového znečištění jednotlivých složek životního prostředí.</w:t>
            </w:r>
          </w:p>
          <w:p w14:paraId="6B641F62" w14:textId="77777777" w:rsidR="00F13B39" w:rsidRPr="007C226C" w:rsidRDefault="00F13B39" w:rsidP="007C226C">
            <w:pPr>
              <w:spacing w:after="0"/>
              <w:ind w:left="-720"/>
              <w:cnfStyle w:val="000000000000" w:firstRow="0" w:lastRow="0" w:firstColumn="0" w:lastColumn="0" w:oddVBand="0" w:evenVBand="0" w:oddHBand="0" w:evenHBand="0" w:firstRowFirstColumn="0" w:firstRowLastColumn="0" w:lastRowFirstColumn="0" w:lastRowLastColumn="0"/>
            </w:pPr>
          </w:p>
          <w:p w14:paraId="7B14EB9C" w14:textId="666AC632" w:rsidR="00F13B39" w:rsidRPr="00F13B39" w:rsidRDefault="00F13B39" w:rsidP="0075756F">
            <w:pPr>
              <w:spacing w:after="0"/>
              <w:jc w:val="left"/>
              <w:cnfStyle w:val="000000000000" w:firstRow="0" w:lastRow="0" w:firstColumn="0" w:lastColumn="0" w:oddVBand="0" w:evenVBand="0" w:oddHBand="0" w:evenHBand="0" w:firstRowFirstColumn="0" w:firstRowLastColumn="0" w:lastRowFirstColumn="0" w:lastRowLastColumn="0"/>
              <w:rPr>
                <w:rFonts w:cs="Arial"/>
                <w:color w:val="000000"/>
                <w:lang w:eastAsia="cs-CZ"/>
              </w:rPr>
            </w:pPr>
            <w:r w:rsidRPr="00F13B39">
              <w:rPr>
                <w:rFonts w:cs="Arial"/>
                <w:color w:val="000000"/>
                <w:lang w:eastAsia="cs-CZ"/>
              </w:rPr>
              <w:t>Minimální způsobilé realizační výdaje jsou stanoveny na 100</w:t>
            </w:r>
            <w:r w:rsidR="0075756F">
              <w:rPr>
                <w:rFonts w:cs="Arial"/>
                <w:color w:val="000000"/>
                <w:lang w:eastAsia="cs-CZ"/>
              </w:rPr>
              <w:t> </w:t>
            </w:r>
            <w:r w:rsidRPr="00F13B39">
              <w:rPr>
                <w:rFonts w:cs="Arial"/>
                <w:color w:val="000000"/>
                <w:lang w:eastAsia="cs-CZ"/>
              </w:rPr>
              <w:t>000 Kč (bez DPH).</w:t>
            </w:r>
          </w:p>
        </w:tc>
      </w:tr>
      <w:tr w:rsidR="00F13B39" w:rsidRPr="004F3788" w14:paraId="7B1129AC" w14:textId="77777777" w:rsidTr="000476BB">
        <w:tc>
          <w:tcPr>
            <w:cnfStyle w:val="001000000000" w:firstRow="0" w:lastRow="0" w:firstColumn="1" w:lastColumn="0" w:oddVBand="0" w:evenVBand="0" w:oddHBand="0" w:evenHBand="0" w:firstRowFirstColumn="0" w:firstRowLastColumn="0" w:lastRowFirstColumn="0" w:lastRowLastColumn="0"/>
            <w:tcW w:w="2281" w:type="dxa"/>
          </w:tcPr>
          <w:p w14:paraId="43D6710F" w14:textId="77777777" w:rsidR="00F13B39" w:rsidRPr="00F13B39" w:rsidRDefault="00F13B39" w:rsidP="00A32366">
            <w:pPr>
              <w:spacing w:after="0"/>
              <w:jc w:val="left"/>
              <w:rPr>
                <w:rFonts w:cs="Arial"/>
              </w:rPr>
            </w:pPr>
            <w:r w:rsidRPr="00F13B39">
              <w:rPr>
                <w:rFonts w:cs="Arial"/>
              </w:rPr>
              <w:lastRenderedPageBreak/>
              <w:t>Veřejná podpora</w:t>
            </w:r>
          </w:p>
        </w:tc>
        <w:tc>
          <w:tcPr>
            <w:tcW w:w="6781" w:type="dxa"/>
          </w:tcPr>
          <w:p w14:paraId="14BC1FFF" w14:textId="29426C98" w:rsidR="00F13B39" w:rsidRPr="007C226C" w:rsidRDefault="00F13B39" w:rsidP="007C226C">
            <w:pPr>
              <w:spacing w:after="0"/>
              <w:cnfStyle w:val="000000000000" w:firstRow="0" w:lastRow="0" w:firstColumn="0" w:lastColumn="0" w:oddVBand="0" w:evenVBand="0" w:oddHBand="0" w:evenHBand="0" w:firstRowFirstColumn="0" w:firstRowLastColumn="0" w:lastRowFirstColumn="0" w:lastRowLastColumn="0"/>
            </w:pPr>
            <w:r w:rsidRPr="007C226C">
              <w:rPr>
                <w:b/>
              </w:rPr>
              <w:t xml:space="preserve">De </w:t>
            </w:r>
            <w:proofErr w:type="spellStart"/>
            <w:r w:rsidRPr="007C226C">
              <w:rPr>
                <w:b/>
              </w:rPr>
              <w:t>minimis</w:t>
            </w:r>
            <w:proofErr w:type="spellEnd"/>
            <w:r w:rsidRPr="007C226C">
              <w:t xml:space="preserve"> – poskytnutí podpory dle hrubého grantového ekvivalentu max. ve výši 200</w:t>
            </w:r>
            <w:r w:rsidR="0075756F">
              <w:t> </w:t>
            </w:r>
            <w:r w:rsidRPr="007C226C">
              <w:t>000 EUR, resp. do výše nevyčerpaného zůstatku posuzovaného žadatele za poslední tři kalendářní roky</w:t>
            </w:r>
          </w:p>
          <w:p w14:paraId="1024416C" w14:textId="77777777" w:rsidR="00F13B39" w:rsidRPr="007C226C" w:rsidRDefault="00F13B39" w:rsidP="007C226C">
            <w:pPr>
              <w:spacing w:after="0"/>
              <w:cnfStyle w:val="000000000000" w:firstRow="0" w:lastRow="0" w:firstColumn="0" w:lastColumn="0" w:oddVBand="0" w:evenVBand="0" w:oddHBand="0" w:evenHBand="0" w:firstRowFirstColumn="0" w:firstRowLastColumn="0" w:lastRowFirstColumn="0" w:lastRowLastColumn="0"/>
              <w:rPr>
                <w:b/>
              </w:rPr>
            </w:pPr>
            <w:r w:rsidRPr="007C226C">
              <w:rPr>
                <w:b/>
              </w:rPr>
              <w:t xml:space="preserve">GBER, čl. 14 </w:t>
            </w:r>
            <w:r w:rsidRPr="007C226C">
              <w:t>regionální investiční podpora</w:t>
            </w:r>
          </w:p>
          <w:p w14:paraId="59EE8029" w14:textId="1134745C" w:rsidR="00F13B39" w:rsidRPr="007C226C" w:rsidRDefault="00F13B39" w:rsidP="007C226C">
            <w:pPr>
              <w:spacing w:after="0"/>
              <w:cnfStyle w:val="000000000000" w:firstRow="0" w:lastRow="0" w:firstColumn="0" w:lastColumn="0" w:oddVBand="0" w:evenVBand="0" w:oddHBand="0" w:evenHBand="0" w:firstRowFirstColumn="0" w:firstRowLastColumn="0" w:lastRowFirstColumn="0" w:lastRowLastColumn="0"/>
            </w:pPr>
            <w:r w:rsidRPr="007C226C">
              <w:rPr>
                <w:b/>
              </w:rPr>
              <w:t>GBER, čl. 36</w:t>
            </w:r>
            <w:r w:rsidRPr="007C226C">
              <w:t xml:space="preserve"> investiční podpora, která podnikům umožní řídit se přísnějšími environmentálními normami, než jsou normy Unie, nebo zvyšova</w:t>
            </w:r>
            <w:r w:rsidR="000476BB">
              <w:t>t ochranu životního prostředí v </w:t>
            </w:r>
            <w:r w:rsidRPr="007C226C">
              <w:t>případě, že norma Unie neexistuje – poskytnutí podpory dle hrubého grantového ekvivalentu do max. výše 40</w:t>
            </w:r>
            <w:r w:rsidR="00A0194B">
              <w:t xml:space="preserve"> </w:t>
            </w:r>
            <w:r w:rsidRPr="007C226C">
              <w:t>% podílu celkových způsobilých výdajů (případné navýšení o 10-20</w:t>
            </w:r>
            <w:r w:rsidR="00A0194B">
              <w:t xml:space="preserve"> </w:t>
            </w:r>
            <w:r w:rsidRPr="007C226C">
              <w:t>% pokud je žadatel MSP, o 5-15</w:t>
            </w:r>
            <w:r w:rsidR="00A0194B">
              <w:t xml:space="preserve"> </w:t>
            </w:r>
            <w:r w:rsidRPr="007C226C">
              <w:t xml:space="preserve">% v případě realizace v podporovaných oblastech). </w:t>
            </w:r>
          </w:p>
          <w:p w14:paraId="2DB77A04" w14:textId="77777777" w:rsidR="00F13B39" w:rsidRPr="007C226C" w:rsidRDefault="00F13B39" w:rsidP="007C226C">
            <w:pPr>
              <w:spacing w:after="0"/>
              <w:cnfStyle w:val="000000000000" w:firstRow="0" w:lastRow="0" w:firstColumn="0" w:lastColumn="0" w:oddVBand="0" w:evenVBand="0" w:oddHBand="0" w:evenHBand="0" w:firstRowFirstColumn="0" w:firstRowLastColumn="0" w:lastRowFirstColumn="0" w:lastRowLastColumn="0"/>
            </w:pPr>
            <w:r w:rsidRPr="007C226C">
              <w:rPr>
                <w:b/>
              </w:rPr>
              <w:t>GBER, čl. 37</w:t>
            </w:r>
            <w:r w:rsidRPr="007C226C">
              <w:t xml:space="preserve"> investiční podpora na včasné přizpůsobení se budoucím normám Unie - poskytnutí podpory dle hrubého grantového ekvivalentu do: </w:t>
            </w:r>
          </w:p>
          <w:p w14:paraId="72D0AC1D" w14:textId="5A04F9F9" w:rsidR="00F13B39" w:rsidRPr="007C226C" w:rsidRDefault="00F13B39" w:rsidP="007C226C">
            <w:pPr>
              <w:pStyle w:val="Odstavecseseznamem"/>
              <w:numPr>
                <w:ilvl w:val="0"/>
                <w:numId w:val="27"/>
              </w:numPr>
              <w:spacing w:after="0"/>
              <w:ind w:left="441" w:hanging="283"/>
              <w:cnfStyle w:val="000000000000" w:firstRow="0" w:lastRow="0" w:firstColumn="0" w:lastColumn="0" w:oddVBand="0" w:evenVBand="0" w:oddHBand="0" w:evenHBand="0" w:firstRowFirstColumn="0" w:firstRowLastColumn="0" w:lastRowFirstColumn="0" w:lastRowLastColumn="0"/>
            </w:pPr>
            <w:r w:rsidRPr="007C226C">
              <w:t>20 % způsobilých nákladů u malých podniků, 15 % způsobilých nákladů u středních podni</w:t>
            </w:r>
            <w:r w:rsidR="007C226C">
              <w:t>ků a 10 % způsobilých nákladů u </w:t>
            </w:r>
            <w:r w:rsidRPr="007C226C">
              <w:t>velkých podniků, pokud je investice realizována a ukončena více než tři roky přede dnem, kdy nová norma Unie nabývá účinnosti;</w:t>
            </w:r>
          </w:p>
          <w:p w14:paraId="4A67CB5F" w14:textId="2C25D0EA" w:rsidR="00F13B39" w:rsidRPr="007C226C" w:rsidRDefault="00F13B39" w:rsidP="007C226C">
            <w:pPr>
              <w:pStyle w:val="Odstavecseseznamem"/>
              <w:numPr>
                <w:ilvl w:val="0"/>
                <w:numId w:val="27"/>
              </w:numPr>
              <w:spacing w:after="0"/>
              <w:ind w:left="441" w:hanging="283"/>
              <w:jc w:val="left"/>
              <w:cnfStyle w:val="000000000000" w:firstRow="0" w:lastRow="0" w:firstColumn="0" w:lastColumn="0" w:oddVBand="0" w:evenVBand="0" w:oddHBand="0" w:evenHBand="0" w:firstRowFirstColumn="0" w:firstRowLastColumn="0" w:lastRowFirstColumn="0" w:lastRowLastColumn="0"/>
            </w:pPr>
            <w:r w:rsidRPr="007C226C">
              <w:lastRenderedPageBreak/>
              <w:t xml:space="preserve">15 % způsobilých nákladů u malých podniků, 10 % způsobilých nákladů u středních podniků a 5 % </w:t>
            </w:r>
            <w:r w:rsidR="00A0194B">
              <w:t>způsobilých nákladů u </w:t>
            </w:r>
            <w:r w:rsidRPr="007C226C">
              <w:t>velkých podniků, pokud je inv</w:t>
            </w:r>
            <w:r w:rsidR="00D040E8">
              <w:t>estice realizována a ukončena v </w:t>
            </w:r>
            <w:r w:rsidRPr="007C226C">
              <w:t>rozmezí jednoho až tří let přede dnem, kdy nová norma Unie nabývá účinnosti.</w:t>
            </w:r>
          </w:p>
          <w:p w14:paraId="0AF1D8A7" w14:textId="77777777" w:rsidR="00F13B39" w:rsidRPr="007C226C" w:rsidRDefault="00F13B39" w:rsidP="007C226C">
            <w:pPr>
              <w:spacing w:after="0"/>
              <w:cnfStyle w:val="000000000000" w:firstRow="0" w:lastRow="0" w:firstColumn="0" w:lastColumn="0" w:oddVBand="0" w:evenVBand="0" w:oddHBand="0" w:evenHBand="0" w:firstRowFirstColumn="0" w:firstRowLastColumn="0" w:lastRowFirstColumn="0" w:lastRowLastColumn="0"/>
            </w:pPr>
            <w:r w:rsidRPr="007C226C">
              <w:rPr>
                <w:b/>
              </w:rPr>
              <w:t xml:space="preserve">GBER, čl. 55 </w:t>
            </w:r>
            <w:r w:rsidRPr="007C226C">
              <w:t>podpora na sportovní a multifunkční rekreační infrastrukturu</w:t>
            </w:r>
          </w:p>
        </w:tc>
      </w:tr>
      <w:tr w:rsidR="00F13B39" w:rsidRPr="004F3788" w14:paraId="48829748" w14:textId="77777777" w:rsidTr="000476BB">
        <w:tc>
          <w:tcPr>
            <w:cnfStyle w:val="001000000000" w:firstRow="0" w:lastRow="0" w:firstColumn="1" w:lastColumn="0" w:oddVBand="0" w:evenVBand="0" w:oddHBand="0" w:evenHBand="0" w:firstRowFirstColumn="0" w:firstRowLastColumn="0" w:lastRowFirstColumn="0" w:lastRowLastColumn="0"/>
            <w:tcW w:w="2281" w:type="dxa"/>
            <w:vAlign w:val="center"/>
          </w:tcPr>
          <w:p w14:paraId="5C78B5BA" w14:textId="77777777" w:rsidR="00F13B39" w:rsidRPr="00F13B39" w:rsidRDefault="00F13B39" w:rsidP="000476BB">
            <w:pPr>
              <w:spacing w:after="0"/>
              <w:jc w:val="left"/>
              <w:rPr>
                <w:rFonts w:cs="Arial"/>
              </w:rPr>
            </w:pPr>
            <w:r w:rsidRPr="00F13B39">
              <w:rPr>
                <w:rFonts w:cs="Arial"/>
              </w:rPr>
              <w:lastRenderedPageBreak/>
              <w:t>Alokace OP na aktivitu</w:t>
            </w:r>
          </w:p>
        </w:tc>
        <w:tc>
          <w:tcPr>
            <w:tcW w:w="6781" w:type="dxa"/>
            <w:vAlign w:val="center"/>
          </w:tcPr>
          <w:p w14:paraId="1DE07F5B" w14:textId="77777777" w:rsidR="00F13B39" w:rsidRPr="00F13B39" w:rsidRDefault="00F13B39" w:rsidP="000476BB">
            <w:pPr>
              <w:spacing w:after="0"/>
              <w:jc w:val="left"/>
              <w:cnfStyle w:val="000000000000" w:firstRow="0" w:lastRow="0" w:firstColumn="0" w:lastColumn="0" w:oddVBand="0" w:evenVBand="0" w:oddHBand="0" w:evenHBand="0" w:firstRowFirstColumn="0" w:firstRowLastColumn="0" w:lastRowFirstColumn="0" w:lastRowLastColumn="0"/>
              <w:rPr>
                <w:rFonts w:cs="Arial"/>
              </w:rPr>
            </w:pPr>
            <w:r w:rsidRPr="00F13B39">
              <w:rPr>
                <w:rFonts w:cs="Arial"/>
              </w:rPr>
              <w:t>ERDF: 576 189 390 Kč</w:t>
            </w:r>
          </w:p>
        </w:tc>
      </w:tr>
      <w:tr w:rsidR="00F13B39" w:rsidRPr="004F3788" w14:paraId="64F003C6" w14:textId="77777777" w:rsidTr="000476BB">
        <w:tc>
          <w:tcPr>
            <w:cnfStyle w:val="001000000000" w:firstRow="0" w:lastRow="0" w:firstColumn="1" w:lastColumn="0" w:oddVBand="0" w:evenVBand="0" w:oddHBand="0" w:evenHBand="0" w:firstRowFirstColumn="0" w:firstRowLastColumn="0" w:lastRowFirstColumn="0" w:lastRowLastColumn="0"/>
            <w:tcW w:w="2281" w:type="dxa"/>
            <w:vAlign w:val="center"/>
          </w:tcPr>
          <w:p w14:paraId="54F27B19" w14:textId="77777777" w:rsidR="00F13B39" w:rsidRPr="00F13B39" w:rsidRDefault="00F13B39" w:rsidP="000476BB">
            <w:pPr>
              <w:spacing w:after="0"/>
              <w:jc w:val="left"/>
              <w:rPr>
                <w:rFonts w:cs="Arial"/>
              </w:rPr>
            </w:pPr>
            <w:r w:rsidRPr="00F13B39">
              <w:rPr>
                <w:rFonts w:cs="Arial"/>
              </w:rPr>
              <w:t>Předpokládaná Alokace pro IFN</w:t>
            </w:r>
          </w:p>
        </w:tc>
        <w:tc>
          <w:tcPr>
            <w:tcW w:w="6781" w:type="dxa"/>
            <w:vAlign w:val="center"/>
          </w:tcPr>
          <w:p w14:paraId="75695508" w14:textId="77777777" w:rsidR="00F13B39" w:rsidRPr="00F13B39" w:rsidRDefault="00F13B39" w:rsidP="000476BB">
            <w:pPr>
              <w:spacing w:after="0"/>
              <w:jc w:val="left"/>
              <w:cnfStyle w:val="000000000000" w:firstRow="0" w:lastRow="0" w:firstColumn="0" w:lastColumn="0" w:oddVBand="0" w:evenVBand="0" w:oddHBand="0" w:evenHBand="0" w:firstRowFirstColumn="0" w:firstRowLastColumn="0" w:lastRowFirstColumn="0" w:lastRowLastColumn="0"/>
              <w:rPr>
                <w:rFonts w:cs="Arial"/>
                <w:highlight w:val="yellow"/>
              </w:rPr>
            </w:pPr>
            <w:r w:rsidRPr="00F13B39">
              <w:rPr>
                <w:rFonts w:cs="Arial"/>
              </w:rPr>
              <w:t>ERDF: 480 000 000 Kč</w:t>
            </w:r>
          </w:p>
        </w:tc>
      </w:tr>
      <w:tr w:rsidR="00F13B39" w:rsidRPr="004F3788" w14:paraId="3040E765" w14:textId="77777777" w:rsidTr="000476BB">
        <w:tc>
          <w:tcPr>
            <w:cnfStyle w:val="001000000000" w:firstRow="0" w:lastRow="0" w:firstColumn="1" w:lastColumn="0" w:oddVBand="0" w:evenVBand="0" w:oddHBand="0" w:evenHBand="0" w:firstRowFirstColumn="0" w:firstRowLastColumn="0" w:lastRowFirstColumn="0" w:lastRowLastColumn="0"/>
            <w:tcW w:w="2281" w:type="dxa"/>
            <w:vAlign w:val="center"/>
          </w:tcPr>
          <w:p w14:paraId="66CDA41C" w14:textId="0672995A" w:rsidR="00F13B39" w:rsidRPr="00F13B39" w:rsidRDefault="00F13B39" w:rsidP="000476BB">
            <w:pPr>
              <w:spacing w:after="0"/>
              <w:jc w:val="left"/>
              <w:rPr>
                <w:rFonts w:cs="Arial"/>
              </w:rPr>
            </w:pPr>
            <w:r w:rsidRPr="00F13B39">
              <w:rPr>
                <w:rFonts w:cs="Arial"/>
              </w:rPr>
              <w:t xml:space="preserve">Očekávaný </w:t>
            </w:r>
            <w:r w:rsidR="000476BB">
              <w:rPr>
                <w:rFonts w:cs="Arial"/>
              </w:rPr>
              <w:t xml:space="preserve">příspěvek národních zdrojů do </w:t>
            </w:r>
            <w:r w:rsidRPr="00F13B39">
              <w:rPr>
                <w:rFonts w:cs="Arial"/>
              </w:rPr>
              <w:t>FN</w:t>
            </w:r>
          </w:p>
        </w:tc>
        <w:tc>
          <w:tcPr>
            <w:tcW w:w="6781" w:type="dxa"/>
            <w:vAlign w:val="center"/>
          </w:tcPr>
          <w:p w14:paraId="60F19DD5" w14:textId="7CB38A71" w:rsidR="00F13B39" w:rsidRPr="00F13B39" w:rsidRDefault="001E48CD" w:rsidP="00E246EF">
            <w:pPr>
              <w:spacing w:after="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Nejméně</w:t>
            </w:r>
            <w:r w:rsidR="009D329A">
              <w:rPr>
                <w:rFonts w:cs="Arial"/>
              </w:rPr>
              <w:t xml:space="preserve"> 160 </w:t>
            </w:r>
            <w:r w:rsidR="00E246EF">
              <w:rPr>
                <w:rFonts w:cs="Arial"/>
              </w:rPr>
              <w:t>mil</w:t>
            </w:r>
            <w:r w:rsidR="005A4004">
              <w:rPr>
                <w:rFonts w:cs="Arial"/>
              </w:rPr>
              <w:t>.</w:t>
            </w:r>
            <w:r w:rsidR="00E246EF">
              <w:rPr>
                <w:rFonts w:cs="Arial"/>
              </w:rPr>
              <w:t xml:space="preserve"> </w:t>
            </w:r>
            <w:r w:rsidR="00F13B39" w:rsidRPr="00F13B39">
              <w:rPr>
                <w:rFonts w:cs="Arial"/>
              </w:rPr>
              <w:t>Kč z dotace SFŽP</w:t>
            </w:r>
          </w:p>
        </w:tc>
      </w:tr>
      <w:tr w:rsidR="00F13B39" w:rsidRPr="004F3788" w14:paraId="54DE46D3" w14:textId="77777777" w:rsidTr="000476BB">
        <w:tc>
          <w:tcPr>
            <w:cnfStyle w:val="001000000000" w:firstRow="0" w:lastRow="0" w:firstColumn="1" w:lastColumn="0" w:oddVBand="0" w:evenVBand="0" w:oddHBand="0" w:evenHBand="0" w:firstRowFirstColumn="0" w:firstRowLastColumn="0" w:lastRowFirstColumn="0" w:lastRowLastColumn="0"/>
            <w:tcW w:w="2281" w:type="dxa"/>
            <w:vAlign w:val="center"/>
          </w:tcPr>
          <w:p w14:paraId="44F9E090" w14:textId="025276B1" w:rsidR="00F13B39" w:rsidRPr="00F13B39" w:rsidRDefault="000476BB" w:rsidP="000476BB">
            <w:pPr>
              <w:spacing w:after="0"/>
              <w:jc w:val="left"/>
              <w:rPr>
                <w:rFonts w:cs="Arial"/>
              </w:rPr>
            </w:pPr>
            <w:r>
              <w:rPr>
                <w:rFonts w:cs="Arial"/>
              </w:rPr>
              <w:t xml:space="preserve">Předpokládaná alokace </w:t>
            </w:r>
            <w:r w:rsidR="00F13B39" w:rsidRPr="00F13B39">
              <w:rPr>
                <w:rFonts w:cs="Arial"/>
              </w:rPr>
              <w:t>FN (OP + národní zdroje)</w:t>
            </w:r>
          </w:p>
        </w:tc>
        <w:tc>
          <w:tcPr>
            <w:tcW w:w="6781" w:type="dxa"/>
            <w:vAlign w:val="center"/>
          </w:tcPr>
          <w:p w14:paraId="4128CA1B" w14:textId="3B1FC002" w:rsidR="00F13B39" w:rsidRPr="00F13B39" w:rsidRDefault="001E48CD" w:rsidP="00787BF7">
            <w:pPr>
              <w:spacing w:after="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Nejméně </w:t>
            </w:r>
            <w:r w:rsidR="00F13B39" w:rsidRPr="00F13B39">
              <w:rPr>
                <w:rFonts w:cs="Arial"/>
              </w:rPr>
              <w:t>640 mil. Kč</w:t>
            </w:r>
          </w:p>
        </w:tc>
      </w:tr>
      <w:tr w:rsidR="00F13B39" w:rsidRPr="004F3788" w14:paraId="44BE257F" w14:textId="77777777" w:rsidTr="000476BB">
        <w:tc>
          <w:tcPr>
            <w:cnfStyle w:val="001000000000" w:firstRow="0" w:lastRow="0" w:firstColumn="1" w:lastColumn="0" w:oddVBand="0" w:evenVBand="0" w:oddHBand="0" w:evenHBand="0" w:firstRowFirstColumn="0" w:firstRowLastColumn="0" w:lastRowFirstColumn="0" w:lastRowLastColumn="0"/>
            <w:tcW w:w="2281" w:type="dxa"/>
            <w:vAlign w:val="center"/>
          </w:tcPr>
          <w:p w14:paraId="6E4FDE66" w14:textId="77777777" w:rsidR="00F13B39" w:rsidRPr="00F13B39" w:rsidRDefault="00F13B39" w:rsidP="000476BB">
            <w:pPr>
              <w:spacing w:after="0"/>
              <w:jc w:val="left"/>
              <w:rPr>
                <w:rFonts w:cs="Arial"/>
              </w:rPr>
            </w:pPr>
            <w:r w:rsidRPr="00F13B39">
              <w:rPr>
                <w:rFonts w:cs="Arial"/>
              </w:rPr>
              <w:t>Tempo čerpání</w:t>
            </w:r>
          </w:p>
        </w:tc>
        <w:tc>
          <w:tcPr>
            <w:tcW w:w="6781" w:type="dxa"/>
            <w:vAlign w:val="center"/>
          </w:tcPr>
          <w:p w14:paraId="0913CF6B" w14:textId="2B88B96C" w:rsidR="00F13B39" w:rsidRPr="00F13B39" w:rsidRDefault="000476BB" w:rsidP="000476BB">
            <w:pPr>
              <w:pStyle w:val="Odstavecseseznamem"/>
              <w:numPr>
                <w:ilvl w:val="0"/>
                <w:numId w:val="22"/>
              </w:numPr>
              <w:spacing w:after="0"/>
              <w:ind w:left="441" w:hanging="283"/>
              <w:jc w:val="left"/>
              <w:cnfStyle w:val="000000000000" w:firstRow="0" w:lastRow="0" w:firstColumn="0" w:lastColumn="0" w:oddVBand="0" w:evenVBand="0" w:oddHBand="0" w:evenHBand="0" w:firstRowFirstColumn="0" w:firstRowLastColumn="0" w:lastRowFirstColumn="0" w:lastRowLastColumn="0"/>
            </w:pPr>
            <w:r>
              <w:t>Vyhlášení výzvy v 3</w:t>
            </w:r>
            <w:r w:rsidR="00F13B39" w:rsidRPr="00F13B39">
              <w:t xml:space="preserve">Q 2017 </w:t>
            </w:r>
          </w:p>
          <w:p w14:paraId="5808DFC3" w14:textId="77777777" w:rsidR="00F13B39" w:rsidRPr="00F13B39" w:rsidRDefault="00F13B39" w:rsidP="000476BB">
            <w:pPr>
              <w:pStyle w:val="Odstavecseseznamem"/>
              <w:numPr>
                <w:ilvl w:val="0"/>
                <w:numId w:val="22"/>
              </w:numPr>
              <w:spacing w:after="0"/>
              <w:ind w:left="441" w:hanging="283"/>
              <w:jc w:val="left"/>
              <w:cnfStyle w:val="000000000000" w:firstRow="0" w:lastRow="0" w:firstColumn="0" w:lastColumn="0" w:oddVBand="0" w:evenVBand="0" w:oddHBand="0" w:evenHBand="0" w:firstRowFirstColumn="0" w:firstRowLastColumn="0" w:lastRowFirstColumn="0" w:lastRowLastColumn="0"/>
            </w:pPr>
            <w:r w:rsidRPr="00F13B39">
              <w:t>Předpokládané vyčerpání alokace v prvním investičním cyklu do r. 2020</w:t>
            </w:r>
          </w:p>
          <w:p w14:paraId="677D15E7" w14:textId="77777777" w:rsidR="00F13B39" w:rsidRPr="00F13B39" w:rsidRDefault="00F13B39" w:rsidP="000476BB">
            <w:pPr>
              <w:pStyle w:val="Odstavecseseznamem"/>
              <w:numPr>
                <w:ilvl w:val="0"/>
                <w:numId w:val="22"/>
              </w:numPr>
              <w:spacing w:after="0"/>
              <w:ind w:left="441" w:hanging="283"/>
              <w:jc w:val="left"/>
              <w:cnfStyle w:val="000000000000" w:firstRow="0" w:lastRow="0" w:firstColumn="0" w:lastColumn="0" w:oddVBand="0" w:evenVBand="0" w:oddHBand="0" w:evenHBand="0" w:firstRowFirstColumn="0" w:firstRowLastColumn="0" w:lastRowFirstColumn="0" w:lastRowLastColumn="0"/>
            </w:pPr>
            <w:r w:rsidRPr="00F13B39">
              <w:t>Předpoklad navazujícího zahájení druhého investičního cyklu za využití do té doby navrácených zdrojů</w:t>
            </w:r>
          </w:p>
        </w:tc>
      </w:tr>
      <w:tr w:rsidR="00F13B39" w:rsidRPr="004F3788" w14:paraId="4B8B97CF" w14:textId="77777777" w:rsidTr="000476BB">
        <w:tc>
          <w:tcPr>
            <w:cnfStyle w:val="001000000000" w:firstRow="0" w:lastRow="0" w:firstColumn="1" w:lastColumn="0" w:oddVBand="0" w:evenVBand="0" w:oddHBand="0" w:evenHBand="0" w:firstRowFirstColumn="0" w:firstRowLastColumn="0" w:lastRowFirstColumn="0" w:lastRowLastColumn="0"/>
            <w:tcW w:w="2281" w:type="dxa"/>
            <w:vAlign w:val="center"/>
          </w:tcPr>
          <w:p w14:paraId="4DB1462A" w14:textId="77777777" w:rsidR="00F13B39" w:rsidRPr="00F13B39" w:rsidRDefault="00F13B39" w:rsidP="000476BB">
            <w:pPr>
              <w:spacing w:after="0"/>
              <w:jc w:val="left"/>
              <w:rPr>
                <w:rFonts w:cs="Arial"/>
              </w:rPr>
            </w:pPr>
            <w:r w:rsidRPr="00F13B39">
              <w:rPr>
                <w:rFonts w:cs="Arial"/>
              </w:rPr>
              <w:t>Hlavní indikátory</w:t>
            </w:r>
          </w:p>
        </w:tc>
        <w:tc>
          <w:tcPr>
            <w:tcW w:w="6781" w:type="dxa"/>
            <w:vAlign w:val="center"/>
          </w:tcPr>
          <w:p w14:paraId="24DD889C" w14:textId="77777777" w:rsidR="00F13B39" w:rsidRPr="007C226C" w:rsidRDefault="00F13B39" w:rsidP="000476BB">
            <w:pPr>
              <w:pStyle w:val="Odstavecseseznamem"/>
              <w:numPr>
                <w:ilvl w:val="0"/>
                <w:numId w:val="22"/>
              </w:numPr>
              <w:spacing w:after="0"/>
              <w:ind w:left="441" w:hanging="283"/>
              <w:jc w:val="left"/>
              <w:cnfStyle w:val="000000000000" w:firstRow="0" w:lastRow="0" w:firstColumn="0" w:lastColumn="0" w:oddVBand="0" w:evenVBand="0" w:oddHBand="0" w:evenHBand="0" w:firstRowFirstColumn="0" w:firstRowLastColumn="0" w:lastRowFirstColumn="0" w:lastRowLastColumn="0"/>
            </w:pPr>
            <w:r w:rsidRPr="007C226C">
              <w:t>Vybudovaná nebo rekonstruovaná zařízení (počet zařízení)</w:t>
            </w:r>
          </w:p>
          <w:p w14:paraId="61CE89DC" w14:textId="5B60F636" w:rsidR="00F13B39" w:rsidRPr="007C226C" w:rsidRDefault="00F13B39" w:rsidP="000476BB">
            <w:pPr>
              <w:pStyle w:val="Odstavecseseznamem"/>
              <w:numPr>
                <w:ilvl w:val="0"/>
                <w:numId w:val="22"/>
              </w:numPr>
              <w:spacing w:after="0"/>
              <w:ind w:left="441" w:hanging="283"/>
              <w:jc w:val="left"/>
              <w:cnfStyle w:val="000000000000" w:firstRow="0" w:lastRow="0" w:firstColumn="0" w:lastColumn="0" w:oddVBand="0" w:evenVBand="0" w:oddHBand="0" w:evenHBand="0" w:firstRowFirstColumn="0" w:firstRowLastColumn="0" w:lastRowFirstColumn="0" w:lastRowLastColumn="0"/>
            </w:pPr>
            <w:r w:rsidRPr="007C226C">
              <w:t>Počet pořízených přístro</w:t>
            </w:r>
            <w:r w:rsidR="00A0194B">
              <w:t>jů a technik pro monitorování a </w:t>
            </w:r>
            <w:r w:rsidRPr="007C226C">
              <w:t>měření emisí</w:t>
            </w:r>
          </w:p>
        </w:tc>
      </w:tr>
    </w:tbl>
    <w:p w14:paraId="4AFF2A46" w14:textId="77777777" w:rsidR="007C226C" w:rsidRDefault="007C226C">
      <w:pPr>
        <w:spacing w:after="200" w:line="276" w:lineRule="auto"/>
        <w:jc w:val="left"/>
        <w:rPr>
          <w:rFonts w:eastAsiaTheme="majorEastAsia" w:cstheme="majorBidi"/>
          <w:b/>
          <w:bCs/>
          <w:sz w:val="28"/>
          <w:szCs w:val="28"/>
        </w:rPr>
      </w:pPr>
      <w:r>
        <w:br w:type="page"/>
      </w:r>
    </w:p>
    <w:p w14:paraId="6F5C900B" w14:textId="400BB299" w:rsidR="000854C9" w:rsidRDefault="007C226C" w:rsidP="007C226C">
      <w:pPr>
        <w:pStyle w:val="Nadpis1"/>
      </w:pPr>
      <w:r>
        <w:lastRenderedPageBreak/>
        <w:t>Závěry analýzy tržních selhání</w:t>
      </w:r>
    </w:p>
    <w:p w14:paraId="520C0CA0" w14:textId="77777777" w:rsidR="007C226C" w:rsidRPr="00E86EE6" w:rsidRDefault="007C226C" w:rsidP="007C226C">
      <w:r w:rsidRPr="00E86EE6">
        <w:t>Šetření potenciálních tržních selhání v rámci ex-ante analýzy vedlo k následujícím klíčovým závěrům:</w:t>
      </w:r>
    </w:p>
    <w:p w14:paraId="334D49E4" w14:textId="1D4204FE" w:rsidR="007C226C" w:rsidRPr="007C226C" w:rsidRDefault="007C226C" w:rsidP="007C226C">
      <w:pPr>
        <w:pStyle w:val="Odstavecseseznamem"/>
      </w:pPr>
      <w:r w:rsidRPr="007C226C">
        <w:t>27 % respondentů šetření považuje dostupnost externího finan</w:t>
      </w:r>
      <w:r>
        <w:t>cování za spíše problematickou;</w:t>
      </w:r>
    </w:p>
    <w:p w14:paraId="37187BA8" w14:textId="77777777" w:rsidR="007C226C" w:rsidRPr="007C226C" w:rsidRDefault="007C226C" w:rsidP="007C226C">
      <w:pPr>
        <w:pStyle w:val="Odstavecseseznamem"/>
      </w:pPr>
      <w:r w:rsidRPr="007C226C">
        <w:t>výše tržního selhání se pohybuje v intervalu 1,1 – 1,54 mld. Kč;</w:t>
      </w:r>
    </w:p>
    <w:p w14:paraId="414CAEFA" w14:textId="77777777" w:rsidR="007C226C" w:rsidRPr="007C226C" w:rsidRDefault="007C226C" w:rsidP="007C226C">
      <w:pPr>
        <w:pStyle w:val="Odstavecseseznamem"/>
      </w:pPr>
      <w:r w:rsidRPr="007C226C">
        <w:t xml:space="preserve">projekty jsou ziskové – investice generují zpětné peněžní toky, které splatí investiční náklady </w:t>
      </w:r>
    </w:p>
    <w:p w14:paraId="35E18995" w14:textId="77777777" w:rsidR="007C226C" w:rsidRPr="007C226C" w:rsidRDefault="007C226C" w:rsidP="007C226C">
      <w:pPr>
        <w:pStyle w:val="Odstavecseseznamem"/>
      </w:pPr>
      <w:r w:rsidRPr="007C226C">
        <w:t>závěr potvrdilo více než 59 % respondentů dotazníkového šetření;</w:t>
      </w:r>
    </w:p>
    <w:p w14:paraId="2867EE06" w14:textId="6E66F458" w:rsidR="007C226C" w:rsidRPr="007C226C" w:rsidRDefault="007C226C" w:rsidP="007C226C">
      <w:pPr>
        <w:pStyle w:val="Odstavecseseznamem"/>
      </w:pPr>
      <w:r w:rsidRPr="007C226C">
        <w:t>průměrná doba splacení minulé obdobné investice</w:t>
      </w:r>
      <w:r w:rsidR="00A0194B">
        <w:t xml:space="preserve"> dle dotazníkového šetření 6,24 </w:t>
      </w:r>
      <w:r w:rsidRPr="007C226C">
        <w:t>roku;</w:t>
      </w:r>
    </w:p>
    <w:p w14:paraId="36232E4D" w14:textId="77777777" w:rsidR="007C226C" w:rsidRPr="007C226C" w:rsidRDefault="007C226C" w:rsidP="007C226C">
      <w:pPr>
        <w:pStyle w:val="Odstavecseseznamem"/>
      </w:pPr>
      <w:r w:rsidRPr="007C226C">
        <w:t>zájem cílové skupiny omezený – o čistý finanční nástroj by mělo zájem 40 % respondentů.</w:t>
      </w:r>
    </w:p>
    <w:p w14:paraId="7EB41CCE" w14:textId="77777777" w:rsidR="007C226C" w:rsidRPr="00E86EE6" w:rsidRDefault="007C226C" w:rsidP="007C226C">
      <w:r w:rsidRPr="00E86EE6">
        <w:t>Mezi hlavní faktory tržního selhání lze zařadit především následující:</w:t>
      </w:r>
    </w:p>
    <w:p w14:paraId="5EC20D0F" w14:textId="77777777" w:rsidR="007C226C" w:rsidRPr="007C226C" w:rsidRDefault="007C226C" w:rsidP="007C226C">
      <w:pPr>
        <w:pStyle w:val="Odstavecseseznamem"/>
      </w:pPr>
      <w:r w:rsidRPr="007C226C">
        <w:t>projekty se vyznačují dlouhou dobou návratnosti, zároveň mají omezený ziskový potenciál;</w:t>
      </w:r>
    </w:p>
    <w:p w14:paraId="557BECF6" w14:textId="77777777" w:rsidR="007C226C" w:rsidRPr="007C226C" w:rsidRDefault="007C226C" w:rsidP="007C226C">
      <w:pPr>
        <w:pStyle w:val="Odstavecseseznamem"/>
      </w:pPr>
      <w:r w:rsidRPr="007C226C">
        <w:t>asymetrie informací (žadatel má lepší informace o potenciálních ekonomických přínosech projektu, často obtížně kvantifikovatelné, což komplikuje vyjednávání s poskytovatelem financí);</w:t>
      </w:r>
    </w:p>
    <w:p w14:paraId="0E3E8485" w14:textId="77777777" w:rsidR="007C226C" w:rsidRPr="007C226C" w:rsidRDefault="007C226C" w:rsidP="007C226C">
      <w:pPr>
        <w:pStyle w:val="Odstavecseseznamem"/>
      </w:pPr>
      <w:r w:rsidRPr="007C226C">
        <w:t>nedůvěryhodnost žadatele v očích poskytovatele (délka podnikání, schopnost ručení, nedostatečné finanční zdraví podniku);</w:t>
      </w:r>
    </w:p>
    <w:p w14:paraId="0F6E8C0E" w14:textId="28D11326" w:rsidR="00E2092B" w:rsidRDefault="007C226C" w:rsidP="007C226C">
      <w:pPr>
        <w:pStyle w:val="Odstavecseseznamem"/>
      </w:pPr>
      <w:r w:rsidRPr="007C226C">
        <w:t>řada projektů vykazuje pozitivní výsledky, co se týče environmentálních přínosů, z ekonomického hlediska je jejich profitabilita a návratnost diskutabilní, pro finanční sektor příliš riziková.</w:t>
      </w:r>
    </w:p>
    <w:p w14:paraId="77D868C0" w14:textId="77777777" w:rsidR="00E2092B" w:rsidRDefault="00E2092B">
      <w:pPr>
        <w:spacing w:after="200" w:line="276" w:lineRule="auto"/>
        <w:jc w:val="left"/>
        <w:rPr>
          <w:rFonts w:cs="Arial"/>
          <w:szCs w:val="20"/>
        </w:rPr>
      </w:pPr>
      <w:r>
        <w:br w:type="page"/>
      </w:r>
    </w:p>
    <w:p w14:paraId="3A059AEB" w14:textId="0941AC0A" w:rsidR="007C226C" w:rsidRDefault="00847D5C" w:rsidP="00847D5C">
      <w:pPr>
        <w:pStyle w:val="Nadpis1"/>
      </w:pPr>
      <w:r>
        <w:lastRenderedPageBreak/>
        <w:t>Parametry finančního nástroje</w:t>
      </w:r>
    </w:p>
    <w:p w14:paraId="786BA581" w14:textId="076CD666" w:rsidR="00847D5C" w:rsidRPr="00E86EE6" w:rsidRDefault="00847D5C" w:rsidP="00847D5C">
      <w:r w:rsidRPr="00E86EE6">
        <w:t>Níže jsou specifikovány základní atributy navrh</w:t>
      </w:r>
      <w:r w:rsidR="000476BB">
        <w:t>ovaného finančního nástroje – u </w:t>
      </w:r>
      <w:r w:rsidRPr="00E86EE6">
        <w:t>vybraných částí je uveden detailnější popis mechanismu fungování/technická specifikace v rámci kapitoly 4.5.</w:t>
      </w:r>
    </w:p>
    <w:p w14:paraId="1E4AE841" w14:textId="5A029AC7" w:rsidR="001A7CEE" w:rsidRDefault="001A7CEE" w:rsidP="001A7CEE">
      <w:pPr>
        <w:pStyle w:val="Titulek"/>
      </w:pPr>
      <w:r>
        <w:t xml:space="preserve">Tabulka </w:t>
      </w:r>
      <w:fldSimple w:instr=" SEQ Tabulka \* ARABIC ">
        <w:r w:rsidR="00A0194B">
          <w:rPr>
            <w:noProof/>
          </w:rPr>
          <w:t>2</w:t>
        </w:r>
      </w:fldSimple>
      <w:r>
        <w:t>: Sledované parametry finančního nástroje a jejich forma</w:t>
      </w:r>
    </w:p>
    <w:tbl>
      <w:tblPr>
        <w:tblStyle w:val="Styl2"/>
        <w:tblW w:w="0" w:type="auto"/>
        <w:tblInd w:w="-5" w:type="dxa"/>
        <w:tblCellMar>
          <w:top w:w="113" w:type="dxa"/>
          <w:bottom w:w="113" w:type="dxa"/>
        </w:tblCellMar>
        <w:tblLook w:val="04A0" w:firstRow="1" w:lastRow="0" w:firstColumn="1" w:lastColumn="0" w:noHBand="0" w:noVBand="1"/>
      </w:tblPr>
      <w:tblGrid>
        <w:gridCol w:w="6885"/>
        <w:gridCol w:w="2182"/>
      </w:tblGrid>
      <w:tr w:rsidR="005851D5" w:rsidRPr="004F3788" w14:paraId="0DC47861" w14:textId="77777777" w:rsidTr="0015590D">
        <w:trPr>
          <w:cnfStyle w:val="100000000000" w:firstRow="1" w:lastRow="0" w:firstColumn="0" w:lastColumn="0" w:oddVBand="0" w:evenVBand="0" w:oddHBand="0"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9C73A85" w14:textId="4FE14D42" w:rsidR="00E2092B" w:rsidRPr="00847D5C" w:rsidRDefault="001A7CEE" w:rsidP="001A7CEE">
            <w:pPr>
              <w:spacing w:after="0"/>
              <w:jc w:val="left"/>
              <w:rPr>
                <w:rFonts w:cs="Arial"/>
                <w:b w:val="0"/>
                <w:bCs/>
                <w:color w:val="FFFFFF"/>
                <w:lang w:eastAsia="cs-CZ"/>
              </w:rPr>
            </w:pPr>
            <w:r>
              <w:rPr>
                <w:rFonts w:cs="Arial"/>
                <w:bCs/>
                <w:color w:val="FFFFFF"/>
                <w:lang w:eastAsia="cs-CZ"/>
              </w:rPr>
              <w:t>Sledovaný parametr</w:t>
            </w:r>
          </w:p>
        </w:tc>
        <w:tc>
          <w:tcPr>
            <w:tcW w:w="0" w:type="auto"/>
            <w:vAlign w:val="center"/>
            <w:hideMark/>
          </w:tcPr>
          <w:p w14:paraId="2B1CDFDA" w14:textId="77777777" w:rsidR="00E2092B" w:rsidRPr="00847D5C" w:rsidRDefault="00E2092B" w:rsidP="007D6EDE">
            <w:pPr>
              <w:spacing w:after="0"/>
              <w:jc w:val="center"/>
              <w:cnfStyle w:val="100000000000" w:firstRow="1" w:lastRow="0" w:firstColumn="0" w:lastColumn="0" w:oddVBand="0" w:evenVBand="0" w:oddHBand="0" w:evenHBand="0" w:firstRowFirstColumn="0" w:firstRowLastColumn="0" w:lastRowFirstColumn="0" w:lastRowLastColumn="0"/>
              <w:rPr>
                <w:rFonts w:cs="Arial"/>
                <w:b w:val="0"/>
                <w:bCs/>
                <w:color w:val="FFFFFF"/>
                <w:lang w:eastAsia="cs-CZ"/>
              </w:rPr>
            </w:pPr>
            <w:r w:rsidRPr="00847D5C">
              <w:rPr>
                <w:rFonts w:cs="Arial"/>
                <w:bCs/>
                <w:color w:val="FFFFFF"/>
                <w:lang w:eastAsia="cs-CZ"/>
              </w:rPr>
              <w:t>Forma parametru</w:t>
            </w:r>
          </w:p>
        </w:tc>
      </w:tr>
      <w:tr w:rsidR="005851D5" w:rsidRPr="004F3788" w14:paraId="64D328EC" w14:textId="77777777" w:rsidTr="0015590D">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1CC8DCA" w14:textId="30EDDA7D" w:rsidR="00847D5C" w:rsidRPr="000476BB" w:rsidRDefault="00E2092B" w:rsidP="007D6EDE">
            <w:pPr>
              <w:spacing w:after="0"/>
              <w:jc w:val="left"/>
              <w:rPr>
                <w:rFonts w:cs="Arial"/>
                <w:b/>
                <w:bCs/>
                <w:lang w:eastAsia="cs-CZ"/>
              </w:rPr>
            </w:pPr>
            <w:r w:rsidRPr="000476BB">
              <w:rPr>
                <w:rFonts w:cs="Arial"/>
                <w:b/>
                <w:bCs/>
                <w:lang w:eastAsia="cs-CZ"/>
              </w:rPr>
              <w:t>#</w:t>
            </w:r>
            <w:r w:rsidR="00847D5C" w:rsidRPr="000476BB">
              <w:rPr>
                <w:rFonts w:cs="Arial"/>
                <w:b/>
                <w:bCs/>
                <w:lang w:eastAsia="cs-CZ"/>
              </w:rPr>
              <w:t xml:space="preserve"> 1 Forma podpory – zvýhodněná </w:t>
            </w:r>
            <w:r w:rsidR="00D66438">
              <w:rPr>
                <w:rFonts w:cs="Arial"/>
                <w:b/>
                <w:bCs/>
                <w:lang w:eastAsia="cs-CZ"/>
              </w:rPr>
              <w:t>zá</w:t>
            </w:r>
            <w:r w:rsidR="00847D5C" w:rsidRPr="000476BB">
              <w:rPr>
                <w:rFonts w:cs="Arial"/>
                <w:b/>
                <w:bCs/>
                <w:lang w:eastAsia="cs-CZ"/>
              </w:rPr>
              <w:t xml:space="preserve">půjčka </w:t>
            </w:r>
          </w:p>
        </w:tc>
        <w:tc>
          <w:tcPr>
            <w:tcW w:w="0" w:type="auto"/>
            <w:vAlign w:val="center"/>
            <w:hideMark/>
          </w:tcPr>
          <w:p w14:paraId="7F687165" w14:textId="4D1859AF" w:rsidR="00847D5C" w:rsidRPr="000476BB" w:rsidRDefault="00847D5C" w:rsidP="007D6EDE">
            <w:pPr>
              <w:spacing w:after="0"/>
              <w:jc w:val="center"/>
              <w:cnfStyle w:val="000000100000" w:firstRow="0" w:lastRow="0" w:firstColumn="0" w:lastColumn="0" w:oddVBand="0" w:evenVBand="0" w:oddHBand="1" w:evenHBand="0" w:firstRowFirstColumn="0" w:firstRowLastColumn="0" w:lastRowFirstColumn="0" w:lastRowLastColumn="0"/>
              <w:rPr>
                <w:rFonts w:cs="Arial"/>
                <w:lang w:eastAsia="cs-CZ"/>
              </w:rPr>
            </w:pPr>
            <w:r w:rsidRPr="000476BB">
              <w:rPr>
                <w:rFonts w:cs="Arial"/>
                <w:lang w:eastAsia="cs-CZ"/>
              </w:rPr>
              <w:t xml:space="preserve">zvýhodněná </w:t>
            </w:r>
            <w:r w:rsidR="00D66438">
              <w:rPr>
                <w:rFonts w:cs="Arial"/>
                <w:lang w:eastAsia="cs-CZ"/>
              </w:rPr>
              <w:t>zá</w:t>
            </w:r>
            <w:r w:rsidRPr="000476BB">
              <w:rPr>
                <w:rFonts w:cs="Arial"/>
                <w:lang w:eastAsia="cs-CZ"/>
              </w:rPr>
              <w:t>půjčka IFN</w:t>
            </w:r>
          </w:p>
        </w:tc>
      </w:tr>
      <w:tr w:rsidR="00847D5C" w:rsidRPr="004F3788" w14:paraId="0F4D8096" w14:textId="77777777" w:rsidTr="0015590D">
        <w:trPr>
          <w:cnfStyle w:val="000000010000" w:firstRow="0" w:lastRow="0" w:firstColumn="0" w:lastColumn="0" w:oddVBand="0" w:evenVBand="0" w:oddHBand="0" w:evenHBand="1"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0" w:type="auto"/>
            <w:gridSpan w:val="2"/>
          </w:tcPr>
          <w:p w14:paraId="13D5E20B" w14:textId="2D8153A2" w:rsidR="00847D5C" w:rsidRPr="000476BB" w:rsidRDefault="00847D5C" w:rsidP="000476BB">
            <w:pPr>
              <w:spacing w:after="0"/>
              <w:rPr>
                <w:rFonts w:cs="Arial"/>
                <w:lang w:eastAsia="cs-CZ"/>
              </w:rPr>
            </w:pPr>
            <w:r w:rsidRPr="000476BB">
              <w:rPr>
                <w:rFonts w:cs="Arial"/>
                <w:lang w:eastAsia="cs-CZ"/>
              </w:rPr>
              <w:t xml:space="preserve">Návrh formy podpory byl zvolen na základě výsledků dotazníkových šetření, analýzy dostupné zahraniční praxe, výsledků jednání pracovních skupin apod. Navrhovaná výše zabezpečí rovnováhu mezi zájmem motivovat </w:t>
            </w:r>
            <w:r w:rsidR="000476BB" w:rsidRPr="000476BB">
              <w:rPr>
                <w:rFonts w:cs="Arial"/>
                <w:lang w:eastAsia="cs-CZ"/>
              </w:rPr>
              <w:t>žadatele ucházet se o podporu a </w:t>
            </w:r>
            <w:r w:rsidRPr="000476BB">
              <w:rPr>
                <w:rFonts w:cs="Arial"/>
                <w:lang w:eastAsia="cs-CZ"/>
              </w:rPr>
              <w:t>poskytnout pouze takovou míru veřej</w:t>
            </w:r>
            <w:r w:rsidR="000476BB" w:rsidRPr="000476BB">
              <w:rPr>
                <w:rFonts w:cs="Arial"/>
                <w:lang w:eastAsia="cs-CZ"/>
              </w:rPr>
              <w:t>né podpory, která je nezbytná k </w:t>
            </w:r>
            <w:r w:rsidRPr="000476BB">
              <w:rPr>
                <w:rFonts w:cs="Arial"/>
                <w:lang w:eastAsia="cs-CZ"/>
              </w:rPr>
              <w:t>vyřešení tržního selhání.</w:t>
            </w:r>
          </w:p>
        </w:tc>
      </w:tr>
      <w:tr w:rsidR="005851D5" w:rsidRPr="004F3788" w14:paraId="53987D22" w14:textId="77777777" w:rsidTr="0015590D">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E4DEEBE" w14:textId="3531E5CB" w:rsidR="00847D5C" w:rsidRPr="000476BB" w:rsidRDefault="00847D5C" w:rsidP="007D6EDE">
            <w:pPr>
              <w:spacing w:after="0"/>
              <w:jc w:val="left"/>
              <w:rPr>
                <w:rFonts w:cs="Arial"/>
                <w:b/>
                <w:bCs/>
                <w:lang w:eastAsia="cs-CZ"/>
              </w:rPr>
            </w:pPr>
            <w:r w:rsidRPr="000476BB">
              <w:rPr>
                <w:rFonts w:cs="Arial"/>
                <w:b/>
                <w:bCs/>
                <w:lang w:eastAsia="cs-CZ"/>
              </w:rPr>
              <w:t># 2 Rozřazovací klíč pro přiznání nároku na dotační složku</w:t>
            </w:r>
          </w:p>
        </w:tc>
        <w:tc>
          <w:tcPr>
            <w:tcW w:w="0" w:type="auto"/>
            <w:vAlign w:val="center"/>
            <w:hideMark/>
          </w:tcPr>
          <w:p w14:paraId="3ECCD873" w14:textId="01E600BF" w:rsidR="00847D5C" w:rsidRPr="000476BB" w:rsidRDefault="00847D5C" w:rsidP="007D6EDE">
            <w:pPr>
              <w:spacing w:after="0"/>
              <w:jc w:val="center"/>
              <w:cnfStyle w:val="000000100000" w:firstRow="0" w:lastRow="0" w:firstColumn="0" w:lastColumn="0" w:oddVBand="0" w:evenVBand="0" w:oddHBand="1" w:evenHBand="0" w:firstRowFirstColumn="0" w:firstRowLastColumn="0" w:lastRowFirstColumn="0" w:lastRowLastColumn="0"/>
              <w:rPr>
                <w:rFonts w:cs="Arial"/>
                <w:lang w:eastAsia="cs-CZ"/>
              </w:rPr>
            </w:pPr>
            <w:r w:rsidRPr="000476BB">
              <w:rPr>
                <w:rFonts w:cs="Arial"/>
                <w:lang w:eastAsia="cs-CZ"/>
              </w:rPr>
              <w:t>není relevantní</w:t>
            </w:r>
          </w:p>
        </w:tc>
      </w:tr>
      <w:tr w:rsidR="00847D5C" w:rsidRPr="004F3788" w14:paraId="138863FC" w14:textId="77777777" w:rsidTr="0015590D">
        <w:trPr>
          <w:cnfStyle w:val="000000010000" w:firstRow="0" w:lastRow="0" w:firstColumn="0" w:lastColumn="0" w:oddVBand="0" w:evenVBand="0" w:oddHBand="0" w:evenHBand="1"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0" w:type="auto"/>
            <w:gridSpan w:val="2"/>
            <w:hideMark/>
          </w:tcPr>
          <w:p w14:paraId="1C055486" w14:textId="77777777" w:rsidR="00847D5C" w:rsidRPr="000476BB" w:rsidRDefault="00847D5C" w:rsidP="007D6EDE">
            <w:pPr>
              <w:spacing w:after="0"/>
              <w:jc w:val="left"/>
              <w:rPr>
                <w:rFonts w:cs="Arial"/>
                <w:lang w:eastAsia="cs-CZ"/>
              </w:rPr>
            </w:pPr>
            <w:r w:rsidRPr="000476BB">
              <w:rPr>
                <w:rFonts w:cs="Arial"/>
                <w:lang w:eastAsia="cs-CZ"/>
              </w:rPr>
              <w:t xml:space="preserve">Sledovaný finanční nástroj nebude obsahovat možnost přímé dotační formy podpory z ESIF. </w:t>
            </w:r>
          </w:p>
        </w:tc>
      </w:tr>
      <w:tr w:rsidR="005851D5" w:rsidRPr="00EE5E4B" w14:paraId="7E0CFA90" w14:textId="77777777" w:rsidTr="0015590D">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1616982" w14:textId="4C15CE97" w:rsidR="00847D5C" w:rsidRPr="00E246EF" w:rsidRDefault="00E2092B" w:rsidP="007A65C7">
            <w:pPr>
              <w:spacing w:after="0"/>
              <w:jc w:val="left"/>
              <w:rPr>
                <w:rFonts w:cs="Arial"/>
                <w:b/>
                <w:bCs/>
                <w:lang w:eastAsia="cs-CZ"/>
              </w:rPr>
            </w:pPr>
            <w:r w:rsidRPr="00E246EF">
              <w:rPr>
                <w:rFonts w:cs="Arial"/>
                <w:b/>
                <w:bCs/>
                <w:lang w:eastAsia="cs-CZ"/>
              </w:rPr>
              <w:t xml:space="preserve"># </w:t>
            </w:r>
            <w:r w:rsidR="00847D5C" w:rsidRPr="00E246EF">
              <w:rPr>
                <w:rFonts w:cs="Arial"/>
                <w:b/>
                <w:bCs/>
                <w:lang w:eastAsia="cs-CZ"/>
              </w:rPr>
              <w:t>3</w:t>
            </w:r>
            <w:r w:rsidRPr="00E246EF">
              <w:rPr>
                <w:rFonts w:cs="Arial"/>
                <w:b/>
                <w:bCs/>
                <w:lang w:eastAsia="cs-CZ"/>
              </w:rPr>
              <w:t xml:space="preserve"> </w:t>
            </w:r>
            <w:r w:rsidR="00847D5C" w:rsidRPr="00E246EF">
              <w:rPr>
                <w:rFonts w:cs="Arial"/>
                <w:b/>
                <w:bCs/>
                <w:lang w:eastAsia="cs-CZ"/>
              </w:rPr>
              <w:t xml:space="preserve">Výše úrovně úrokové sazby pro </w:t>
            </w:r>
            <w:r w:rsidR="007A65C7" w:rsidRPr="00E246EF">
              <w:rPr>
                <w:rFonts w:cs="Arial"/>
                <w:b/>
                <w:bCs/>
                <w:lang w:eastAsia="cs-CZ"/>
              </w:rPr>
              <w:t xml:space="preserve">Konečného </w:t>
            </w:r>
            <w:r w:rsidR="00847D5C" w:rsidRPr="00E246EF">
              <w:rPr>
                <w:rFonts w:cs="Arial"/>
                <w:b/>
                <w:bCs/>
                <w:lang w:eastAsia="cs-CZ"/>
              </w:rPr>
              <w:t>příjemce</w:t>
            </w:r>
          </w:p>
        </w:tc>
        <w:tc>
          <w:tcPr>
            <w:tcW w:w="0" w:type="auto"/>
            <w:vAlign w:val="center"/>
            <w:hideMark/>
          </w:tcPr>
          <w:p w14:paraId="711998EF" w14:textId="557227B2" w:rsidR="00847D5C" w:rsidRPr="00E246EF" w:rsidRDefault="00847D5C" w:rsidP="007D6EDE">
            <w:pPr>
              <w:spacing w:after="0"/>
              <w:jc w:val="center"/>
              <w:cnfStyle w:val="000000100000" w:firstRow="0" w:lastRow="0" w:firstColumn="0" w:lastColumn="0" w:oddVBand="0" w:evenVBand="0" w:oddHBand="1" w:evenHBand="0" w:firstRowFirstColumn="0" w:firstRowLastColumn="0" w:lastRowFirstColumn="0" w:lastRowLastColumn="0"/>
              <w:rPr>
                <w:rFonts w:cs="Arial"/>
                <w:highlight w:val="cyan"/>
                <w:lang w:eastAsia="cs-CZ"/>
              </w:rPr>
            </w:pPr>
            <w:r w:rsidRPr="00E246EF">
              <w:rPr>
                <w:rFonts w:cs="Arial"/>
                <w:lang w:eastAsia="cs-CZ"/>
              </w:rPr>
              <w:t>0,45</w:t>
            </w:r>
            <w:r w:rsidR="000476BB" w:rsidRPr="00E246EF">
              <w:rPr>
                <w:rFonts w:cs="Arial"/>
                <w:lang w:eastAsia="cs-CZ"/>
              </w:rPr>
              <w:t xml:space="preserve"> </w:t>
            </w:r>
            <w:r w:rsidRPr="00E246EF">
              <w:rPr>
                <w:rFonts w:cs="Arial"/>
                <w:lang w:eastAsia="cs-CZ"/>
              </w:rPr>
              <w:t>%</w:t>
            </w:r>
          </w:p>
        </w:tc>
      </w:tr>
      <w:tr w:rsidR="00847D5C" w:rsidRPr="004F3788" w14:paraId="29E3B94A" w14:textId="77777777" w:rsidTr="0015590D">
        <w:trPr>
          <w:cnfStyle w:val="000000010000" w:firstRow="0" w:lastRow="0" w:firstColumn="0" w:lastColumn="0" w:oddVBand="0" w:evenVBand="0" w:oddHBand="0" w:evenHBand="1"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0" w:type="auto"/>
            <w:gridSpan w:val="2"/>
            <w:hideMark/>
          </w:tcPr>
          <w:p w14:paraId="52F55C53" w14:textId="58F5AD12" w:rsidR="00847D5C" w:rsidRPr="000476BB" w:rsidRDefault="001E48CD" w:rsidP="007D6EDE">
            <w:pPr>
              <w:spacing w:after="0"/>
              <w:jc w:val="left"/>
              <w:rPr>
                <w:lang w:eastAsia="cs-CZ"/>
              </w:rPr>
            </w:pPr>
            <w:r>
              <w:rPr>
                <w:lang w:eastAsia="cs-CZ"/>
              </w:rPr>
              <w:t>Pro první výzvu bude nastaven úrok 0,45%, pro případné další výzvy bude sazba nastavena v souladu s bodem 5.2.4 této přílohy.</w:t>
            </w:r>
          </w:p>
        </w:tc>
      </w:tr>
      <w:tr w:rsidR="005851D5" w:rsidRPr="004F3788" w14:paraId="23DA194E" w14:textId="77777777" w:rsidTr="0015590D">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9972A7F" w14:textId="26104BB0" w:rsidR="00847D5C" w:rsidRPr="00E246EF" w:rsidRDefault="00E2092B" w:rsidP="007D6EDE">
            <w:pPr>
              <w:spacing w:after="0"/>
              <w:jc w:val="left"/>
              <w:rPr>
                <w:rFonts w:cs="Arial"/>
                <w:b/>
                <w:bCs/>
                <w:lang w:eastAsia="cs-CZ"/>
              </w:rPr>
            </w:pPr>
            <w:r w:rsidRPr="00E246EF">
              <w:rPr>
                <w:rFonts w:cs="Arial"/>
                <w:b/>
                <w:bCs/>
                <w:lang w:eastAsia="cs-CZ"/>
              </w:rPr>
              <w:t xml:space="preserve"># </w:t>
            </w:r>
            <w:r w:rsidR="00847D5C" w:rsidRPr="00E246EF">
              <w:rPr>
                <w:rFonts w:cs="Arial"/>
                <w:b/>
                <w:bCs/>
                <w:lang w:eastAsia="cs-CZ"/>
              </w:rPr>
              <w:t>4</w:t>
            </w:r>
            <w:r w:rsidRPr="00E246EF">
              <w:rPr>
                <w:rFonts w:cs="Arial"/>
                <w:b/>
                <w:bCs/>
                <w:lang w:eastAsia="cs-CZ"/>
              </w:rPr>
              <w:t xml:space="preserve"> </w:t>
            </w:r>
            <w:r w:rsidR="00847D5C" w:rsidRPr="00E246EF">
              <w:rPr>
                <w:rFonts w:cs="Arial"/>
                <w:b/>
                <w:bCs/>
                <w:lang w:eastAsia="cs-CZ"/>
              </w:rPr>
              <w:t>Nastavení úrokové sazby – fixní či variabilní během období</w:t>
            </w:r>
          </w:p>
        </w:tc>
        <w:tc>
          <w:tcPr>
            <w:tcW w:w="0" w:type="auto"/>
            <w:vAlign w:val="center"/>
            <w:hideMark/>
          </w:tcPr>
          <w:p w14:paraId="0746027D" w14:textId="488D40ED" w:rsidR="00847D5C" w:rsidRPr="00E246EF" w:rsidRDefault="00847D5C" w:rsidP="007D6EDE">
            <w:pPr>
              <w:spacing w:after="0"/>
              <w:jc w:val="center"/>
              <w:cnfStyle w:val="000000100000" w:firstRow="0" w:lastRow="0" w:firstColumn="0" w:lastColumn="0" w:oddVBand="0" w:evenVBand="0" w:oddHBand="1" w:evenHBand="0" w:firstRowFirstColumn="0" w:firstRowLastColumn="0" w:lastRowFirstColumn="0" w:lastRowLastColumn="0"/>
              <w:rPr>
                <w:rFonts w:cs="Arial"/>
                <w:lang w:eastAsia="cs-CZ"/>
              </w:rPr>
            </w:pPr>
            <w:r w:rsidRPr="00E246EF">
              <w:rPr>
                <w:rFonts w:cs="Arial"/>
                <w:lang w:eastAsia="cs-CZ"/>
              </w:rPr>
              <w:t>fixní</w:t>
            </w:r>
          </w:p>
        </w:tc>
      </w:tr>
      <w:tr w:rsidR="00847D5C" w:rsidRPr="004F3788" w14:paraId="637534D8" w14:textId="77777777" w:rsidTr="0015590D">
        <w:trPr>
          <w:cnfStyle w:val="000000010000" w:firstRow="0" w:lastRow="0" w:firstColumn="0" w:lastColumn="0" w:oddVBand="0" w:evenVBand="0" w:oddHBand="0" w:evenHBand="1"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0" w:type="auto"/>
            <w:gridSpan w:val="2"/>
            <w:hideMark/>
          </w:tcPr>
          <w:p w14:paraId="0109790A" w14:textId="3A13C1A3" w:rsidR="00847D5C" w:rsidRPr="000476BB" w:rsidRDefault="001E48CD" w:rsidP="007A65C7">
            <w:pPr>
              <w:spacing w:after="0"/>
              <w:jc w:val="left"/>
              <w:rPr>
                <w:lang w:eastAsia="cs-CZ"/>
              </w:rPr>
            </w:pPr>
            <w:r>
              <w:rPr>
                <w:lang w:eastAsia="cs-CZ"/>
              </w:rPr>
              <w:t>Pro první výzvu bude nastaven</w:t>
            </w:r>
            <w:r w:rsidR="007A65C7">
              <w:rPr>
                <w:lang w:eastAsia="cs-CZ"/>
              </w:rPr>
              <w:t>a fixní úroková sazba</w:t>
            </w:r>
            <w:r>
              <w:rPr>
                <w:lang w:eastAsia="cs-CZ"/>
              </w:rPr>
              <w:t xml:space="preserve">, pro případné další výzvy bude </w:t>
            </w:r>
            <w:r w:rsidR="007A65C7">
              <w:rPr>
                <w:lang w:eastAsia="cs-CZ"/>
              </w:rPr>
              <w:t xml:space="preserve">nastavení úrokové sazby stanoveno </w:t>
            </w:r>
            <w:r>
              <w:rPr>
                <w:lang w:eastAsia="cs-CZ"/>
              </w:rPr>
              <w:t>v souladu s bodem 5.2.4 této přílohy.</w:t>
            </w:r>
          </w:p>
        </w:tc>
      </w:tr>
      <w:tr w:rsidR="005851D5" w:rsidRPr="004F3788" w14:paraId="76819F8E" w14:textId="77777777" w:rsidTr="0015590D">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F1413BD" w14:textId="3A35760D" w:rsidR="00847D5C" w:rsidRPr="000476BB" w:rsidRDefault="00E2092B" w:rsidP="007D6EDE">
            <w:pPr>
              <w:spacing w:after="0"/>
              <w:jc w:val="left"/>
              <w:rPr>
                <w:rFonts w:cs="Arial"/>
                <w:b/>
                <w:bCs/>
                <w:lang w:eastAsia="cs-CZ"/>
              </w:rPr>
            </w:pPr>
            <w:r w:rsidRPr="000476BB">
              <w:rPr>
                <w:rFonts w:cs="Arial"/>
                <w:b/>
                <w:bCs/>
                <w:lang w:eastAsia="cs-CZ"/>
              </w:rPr>
              <w:t xml:space="preserve"># </w:t>
            </w:r>
            <w:r w:rsidR="00847D5C" w:rsidRPr="000476BB">
              <w:rPr>
                <w:rFonts w:cs="Arial"/>
                <w:b/>
                <w:bCs/>
                <w:lang w:eastAsia="cs-CZ"/>
              </w:rPr>
              <w:t>5</w:t>
            </w:r>
            <w:r w:rsidRPr="000476BB">
              <w:rPr>
                <w:rFonts w:cs="Arial"/>
                <w:b/>
                <w:bCs/>
                <w:lang w:eastAsia="cs-CZ"/>
              </w:rPr>
              <w:t xml:space="preserve"> </w:t>
            </w:r>
            <w:r w:rsidR="00847D5C" w:rsidRPr="000476BB">
              <w:rPr>
                <w:rFonts w:cs="Arial"/>
                <w:b/>
                <w:bCs/>
                <w:lang w:eastAsia="cs-CZ"/>
              </w:rPr>
              <w:t xml:space="preserve">Nastavení maximální výše poskytované </w:t>
            </w:r>
            <w:r w:rsidR="00D66438">
              <w:rPr>
                <w:rFonts w:cs="Arial"/>
                <w:b/>
                <w:bCs/>
                <w:lang w:eastAsia="cs-CZ"/>
              </w:rPr>
              <w:t>zá</w:t>
            </w:r>
            <w:r w:rsidR="00847D5C" w:rsidRPr="000476BB">
              <w:rPr>
                <w:rFonts w:cs="Arial"/>
                <w:b/>
                <w:bCs/>
                <w:lang w:eastAsia="cs-CZ"/>
              </w:rPr>
              <w:t>půjčky IFN</w:t>
            </w:r>
          </w:p>
        </w:tc>
        <w:tc>
          <w:tcPr>
            <w:tcW w:w="0" w:type="auto"/>
            <w:vAlign w:val="center"/>
            <w:hideMark/>
          </w:tcPr>
          <w:p w14:paraId="6045F2D4" w14:textId="63F04B8A" w:rsidR="00847D5C" w:rsidRPr="000476BB" w:rsidRDefault="00847D5C" w:rsidP="007D6EDE">
            <w:pPr>
              <w:spacing w:after="0"/>
              <w:jc w:val="center"/>
              <w:cnfStyle w:val="000000100000" w:firstRow="0" w:lastRow="0" w:firstColumn="0" w:lastColumn="0" w:oddVBand="0" w:evenVBand="0" w:oddHBand="1" w:evenHBand="0" w:firstRowFirstColumn="0" w:firstRowLastColumn="0" w:lastRowFirstColumn="0" w:lastRowLastColumn="0"/>
              <w:rPr>
                <w:rFonts w:cs="Arial"/>
                <w:lang w:eastAsia="cs-CZ"/>
              </w:rPr>
            </w:pPr>
            <w:r w:rsidRPr="000476BB">
              <w:rPr>
                <w:rFonts w:cs="Arial"/>
                <w:lang w:eastAsia="cs-CZ"/>
              </w:rPr>
              <w:t>do výše limitu HGE</w:t>
            </w:r>
          </w:p>
        </w:tc>
      </w:tr>
      <w:tr w:rsidR="00847D5C" w:rsidRPr="004F3788" w14:paraId="6B4F04C4" w14:textId="77777777" w:rsidTr="0015590D">
        <w:trPr>
          <w:cnfStyle w:val="000000010000" w:firstRow="0" w:lastRow="0" w:firstColumn="0" w:lastColumn="0" w:oddVBand="0" w:evenVBand="0" w:oddHBand="0" w:evenHBand="1"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0" w:type="auto"/>
            <w:gridSpan w:val="2"/>
            <w:hideMark/>
          </w:tcPr>
          <w:p w14:paraId="65D3040B" w14:textId="2FFEA4A5" w:rsidR="00847D5C" w:rsidRPr="000476BB" w:rsidRDefault="00847D5C" w:rsidP="000476BB">
            <w:pPr>
              <w:spacing w:after="0"/>
              <w:rPr>
                <w:rFonts w:cs="Arial"/>
                <w:lang w:eastAsia="cs-CZ"/>
              </w:rPr>
            </w:pPr>
            <w:r w:rsidRPr="000476BB">
              <w:rPr>
                <w:rFonts w:cs="Arial"/>
                <w:lang w:eastAsia="cs-CZ"/>
              </w:rPr>
              <w:t xml:space="preserve">Výše poskytnuté </w:t>
            </w:r>
            <w:r w:rsidR="00D66438">
              <w:rPr>
                <w:rFonts w:cs="Arial"/>
                <w:lang w:eastAsia="cs-CZ"/>
              </w:rPr>
              <w:t>zá</w:t>
            </w:r>
            <w:r w:rsidRPr="000476BB">
              <w:rPr>
                <w:rFonts w:cs="Arial"/>
                <w:lang w:eastAsia="cs-CZ"/>
              </w:rPr>
              <w:t>půjčky bude otevřena až do maximální intenzity podpory dle hrubého grantového ekvivalentu (HGE), dle uplatněného režimu veřejné podpory. Řídící orgán nezavede jiné dodatečné omezení výše poskytnuté podpory.</w:t>
            </w:r>
          </w:p>
        </w:tc>
      </w:tr>
      <w:tr w:rsidR="005851D5" w:rsidRPr="004F3788" w14:paraId="4FA29BCD" w14:textId="77777777" w:rsidTr="0015590D">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5AA7930" w14:textId="56FF1233" w:rsidR="00847D5C" w:rsidRPr="000476BB" w:rsidRDefault="00E2092B" w:rsidP="007D6EDE">
            <w:pPr>
              <w:spacing w:after="0"/>
              <w:jc w:val="left"/>
              <w:rPr>
                <w:rFonts w:cs="Arial"/>
                <w:b/>
                <w:bCs/>
                <w:lang w:eastAsia="cs-CZ"/>
              </w:rPr>
            </w:pPr>
            <w:r w:rsidRPr="000476BB">
              <w:rPr>
                <w:rFonts w:cs="Arial"/>
                <w:b/>
                <w:bCs/>
                <w:lang w:eastAsia="cs-CZ"/>
              </w:rPr>
              <w:lastRenderedPageBreak/>
              <w:t xml:space="preserve"># </w:t>
            </w:r>
            <w:r w:rsidR="00847D5C" w:rsidRPr="000476BB">
              <w:rPr>
                <w:rFonts w:cs="Arial"/>
                <w:b/>
                <w:bCs/>
                <w:lang w:eastAsia="cs-CZ"/>
              </w:rPr>
              <w:t>6</w:t>
            </w:r>
            <w:r w:rsidRPr="000476BB">
              <w:rPr>
                <w:rFonts w:cs="Arial"/>
                <w:b/>
                <w:bCs/>
                <w:lang w:eastAsia="cs-CZ"/>
              </w:rPr>
              <w:t xml:space="preserve"> </w:t>
            </w:r>
            <w:r w:rsidR="00847D5C" w:rsidRPr="000476BB">
              <w:rPr>
                <w:rFonts w:cs="Arial"/>
                <w:b/>
                <w:bCs/>
                <w:lang w:eastAsia="cs-CZ"/>
              </w:rPr>
              <w:t xml:space="preserve">Nastavení maximální doby splatnosti poskytované </w:t>
            </w:r>
            <w:r w:rsidR="00D66438">
              <w:rPr>
                <w:rFonts w:cs="Arial"/>
                <w:b/>
                <w:bCs/>
                <w:lang w:eastAsia="cs-CZ"/>
              </w:rPr>
              <w:t>zá</w:t>
            </w:r>
            <w:r w:rsidR="00847D5C" w:rsidRPr="000476BB">
              <w:rPr>
                <w:rFonts w:cs="Arial"/>
                <w:b/>
                <w:bCs/>
                <w:lang w:eastAsia="cs-CZ"/>
              </w:rPr>
              <w:t>půjčky</w:t>
            </w:r>
          </w:p>
        </w:tc>
        <w:tc>
          <w:tcPr>
            <w:tcW w:w="0" w:type="auto"/>
            <w:vAlign w:val="center"/>
            <w:hideMark/>
          </w:tcPr>
          <w:p w14:paraId="07F7FC9C" w14:textId="2DCE71CB" w:rsidR="00847D5C" w:rsidRPr="000476BB" w:rsidRDefault="00847D5C" w:rsidP="007D6EDE">
            <w:pPr>
              <w:spacing w:after="0"/>
              <w:jc w:val="center"/>
              <w:cnfStyle w:val="000000100000" w:firstRow="0" w:lastRow="0" w:firstColumn="0" w:lastColumn="0" w:oddVBand="0" w:evenVBand="0" w:oddHBand="1" w:evenHBand="0" w:firstRowFirstColumn="0" w:firstRowLastColumn="0" w:lastRowFirstColumn="0" w:lastRowLastColumn="0"/>
              <w:rPr>
                <w:rFonts w:cs="Arial"/>
                <w:lang w:eastAsia="cs-CZ"/>
              </w:rPr>
            </w:pPr>
            <w:r w:rsidRPr="000476BB">
              <w:rPr>
                <w:rFonts w:cs="Arial"/>
                <w:lang w:eastAsia="cs-CZ"/>
              </w:rPr>
              <w:t>10 let</w:t>
            </w:r>
          </w:p>
        </w:tc>
      </w:tr>
      <w:tr w:rsidR="00847D5C" w:rsidRPr="004F3788" w14:paraId="2B265B0E" w14:textId="77777777" w:rsidTr="0015590D">
        <w:trPr>
          <w:cnfStyle w:val="000000010000" w:firstRow="0" w:lastRow="0" w:firstColumn="0" w:lastColumn="0" w:oddVBand="0" w:evenVBand="0" w:oddHBand="0" w:evenHBand="1"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0" w:type="auto"/>
            <w:gridSpan w:val="2"/>
          </w:tcPr>
          <w:p w14:paraId="2C3FEAFB" w14:textId="1ECA3FC3" w:rsidR="00847D5C" w:rsidRPr="000476BB" w:rsidRDefault="00847D5C" w:rsidP="000476BB">
            <w:pPr>
              <w:spacing w:after="0"/>
              <w:rPr>
                <w:rFonts w:cs="Arial"/>
                <w:lang w:eastAsia="cs-CZ"/>
              </w:rPr>
            </w:pPr>
            <w:r w:rsidRPr="000476BB">
              <w:rPr>
                <w:rFonts w:cs="Arial"/>
                <w:lang w:eastAsia="cs-CZ"/>
              </w:rPr>
              <w:t>Limit splatnosti 10 let reflektuje jak možnost pokrýt co největší spektrum potenciálních způsobilých projektů, tak požadavek nezatěžovat program delším fungování st</w:t>
            </w:r>
            <w:r w:rsidR="000476BB">
              <w:rPr>
                <w:rFonts w:cs="Arial"/>
                <w:lang w:eastAsia="cs-CZ"/>
              </w:rPr>
              <w:t xml:space="preserve">ruktur pro </w:t>
            </w:r>
            <w:r w:rsidR="00E2092B" w:rsidRPr="000476BB">
              <w:rPr>
                <w:rFonts w:cs="Arial"/>
                <w:lang w:eastAsia="cs-CZ"/>
              </w:rPr>
              <w:t>FN (první cyklus) s </w:t>
            </w:r>
            <w:r w:rsidRPr="000476BB">
              <w:rPr>
                <w:rFonts w:cs="Arial"/>
                <w:lang w:eastAsia="cs-CZ"/>
              </w:rPr>
              <w:t>ohledem na související náklady, než je nezbytně nutné.</w:t>
            </w:r>
          </w:p>
        </w:tc>
      </w:tr>
      <w:tr w:rsidR="005851D5" w:rsidRPr="004F3788" w14:paraId="32F98487" w14:textId="77777777" w:rsidTr="00762FF5">
        <w:trPr>
          <w:cnfStyle w:val="000000100000" w:firstRow="0" w:lastRow="0" w:firstColumn="0" w:lastColumn="0" w:oddVBand="0" w:evenVBand="0" w:oddHBand="1" w:evenHBand="0" w:firstRowFirstColumn="0" w:firstRowLastColumn="0" w:lastRowFirstColumn="0" w:lastRowLastColumn="0"/>
          <w:trHeight w:val="150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9D78C52" w14:textId="0CF3AB8B" w:rsidR="00E2092B" w:rsidRPr="000476BB" w:rsidRDefault="00E2092B" w:rsidP="007D6EDE">
            <w:pPr>
              <w:spacing w:after="0"/>
              <w:jc w:val="left"/>
              <w:rPr>
                <w:rFonts w:cs="Arial"/>
                <w:b/>
                <w:bCs/>
                <w:szCs w:val="24"/>
                <w:lang w:eastAsia="cs-CZ"/>
              </w:rPr>
            </w:pPr>
            <w:r w:rsidRPr="000476BB">
              <w:rPr>
                <w:rFonts w:cs="Arial"/>
                <w:b/>
                <w:bCs/>
                <w:szCs w:val="24"/>
                <w:lang w:eastAsia="cs-CZ"/>
              </w:rPr>
              <w:t xml:space="preserve"># 7 Nastavení doby odkladu splátek jistiny </w:t>
            </w:r>
            <w:r w:rsidR="00D66438">
              <w:rPr>
                <w:rFonts w:cs="Arial"/>
                <w:b/>
                <w:bCs/>
                <w:szCs w:val="24"/>
                <w:lang w:eastAsia="cs-CZ"/>
              </w:rPr>
              <w:t>zá</w:t>
            </w:r>
            <w:r w:rsidRPr="000476BB">
              <w:rPr>
                <w:rFonts w:cs="Arial"/>
                <w:b/>
                <w:bCs/>
                <w:szCs w:val="24"/>
                <w:lang w:eastAsia="cs-CZ"/>
              </w:rPr>
              <w:t>půjčky</w:t>
            </w:r>
          </w:p>
          <w:p w14:paraId="1C29DC43" w14:textId="7EB8BBBE" w:rsidR="005851D5" w:rsidRPr="000476BB" w:rsidRDefault="00E2092B" w:rsidP="005851D5">
            <w:pPr>
              <w:spacing w:after="0"/>
              <w:jc w:val="left"/>
              <w:rPr>
                <w:rFonts w:cs="Arial"/>
                <w:bCs/>
                <w:szCs w:val="24"/>
                <w:lang w:eastAsia="cs-CZ"/>
              </w:rPr>
            </w:pPr>
            <w:r w:rsidRPr="000476BB">
              <w:rPr>
                <w:rFonts w:cs="Arial"/>
                <w:bCs/>
                <w:szCs w:val="24"/>
                <w:lang w:eastAsia="cs-CZ"/>
              </w:rPr>
              <w:t xml:space="preserve">a) </w:t>
            </w:r>
            <w:r w:rsidR="00E246EF">
              <w:rPr>
                <w:rFonts w:cs="Arial"/>
                <w:bCs/>
                <w:szCs w:val="24"/>
                <w:lang w:eastAsia="cs-CZ"/>
              </w:rPr>
              <w:t>po dobu</w:t>
            </w:r>
            <w:r w:rsidR="00E246EF" w:rsidRPr="000476BB">
              <w:rPr>
                <w:rFonts w:cs="Arial"/>
                <w:bCs/>
                <w:szCs w:val="24"/>
                <w:lang w:eastAsia="cs-CZ"/>
              </w:rPr>
              <w:t xml:space="preserve"> </w:t>
            </w:r>
            <w:r w:rsidRPr="000476BB">
              <w:rPr>
                <w:rFonts w:cs="Arial"/>
                <w:bCs/>
                <w:szCs w:val="24"/>
                <w:lang w:eastAsia="cs-CZ"/>
              </w:rPr>
              <w:t>financování projektu do zahájení splácení</w:t>
            </w:r>
            <w:r w:rsidR="005851D5">
              <w:rPr>
                <w:rFonts w:cs="Arial"/>
                <w:bCs/>
                <w:szCs w:val="24"/>
                <w:lang w:eastAsia="cs-CZ"/>
              </w:rPr>
              <w:t xml:space="preserve"> (první splátka jistiny je splatná </w:t>
            </w:r>
            <w:r w:rsidR="00921FCA">
              <w:rPr>
                <w:rFonts w:cs="Arial"/>
                <w:bCs/>
                <w:szCs w:val="24"/>
                <w:lang w:eastAsia="cs-CZ"/>
              </w:rPr>
              <w:t xml:space="preserve">k </w:t>
            </w:r>
            <w:r w:rsidR="005851D5">
              <w:rPr>
                <w:rFonts w:cs="Arial"/>
                <w:bCs/>
                <w:szCs w:val="24"/>
                <w:lang w:eastAsia="cs-CZ"/>
              </w:rPr>
              <w:t>31.</w:t>
            </w:r>
            <w:r w:rsidR="00A0194B">
              <w:rPr>
                <w:rFonts w:cs="Arial"/>
                <w:bCs/>
                <w:szCs w:val="24"/>
                <w:lang w:eastAsia="cs-CZ"/>
              </w:rPr>
              <w:t xml:space="preserve"> </w:t>
            </w:r>
            <w:r w:rsidR="005851D5">
              <w:rPr>
                <w:rFonts w:cs="Arial"/>
                <w:bCs/>
                <w:szCs w:val="24"/>
                <w:lang w:eastAsia="cs-CZ"/>
              </w:rPr>
              <w:t>3. roku následujícího po roce ukončení proplácení půjčky)</w:t>
            </w:r>
          </w:p>
          <w:p w14:paraId="2DE0E2DF" w14:textId="2ED46917" w:rsidR="00E2092B" w:rsidRPr="000476BB" w:rsidRDefault="00E2092B" w:rsidP="007D6EDE">
            <w:pPr>
              <w:spacing w:after="0"/>
              <w:jc w:val="left"/>
              <w:rPr>
                <w:rFonts w:cs="Arial"/>
                <w:bCs/>
                <w:szCs w:val="24"/>
                <w:lang w:eastAsia="cs-CZ"/>
              </w:rPr>
            </w:pPr>
            <w:r w:rsidRPr="000476BB">
              <w:rPr>
                <w:rFonts w:cs="Arial"/>
                <w:bCs/>
                <w:szCs w:val="24"/>
                <w:lang w:eastAsia="cs-CZ"/>
              </w:rPr>
              <w:t>b) od zahájení splácení v rámc</w:t>
            </w:r>
            <w:r w:rsidR="00762FF5">
              <w:rPr>
                <w:rFonts w:cs="Arial"/>
                <w:bCs/>
                <w:szCs w:val="24"/>
                <w:lang w:eastAsia="cs-CZ"/>
              </w:rPr>
              <w:t>i doby splatnosti podle Smlouvy</w:t>
            </w:r>
          </w:p>
        </w:tc>
        <w:tc>
          <w:tcPr>
            <w:tcW w:w="0" w:type="auto"/>
            <w:vAlign w:val="center"/>
            <w:hideMark/>
          </w:tcPr>
          <w:p w14:paraId="7FDF4E94" w14:textId="77777777" w:rsidR="00762FF5" w:rsidRDefault="00762FF5" w:rsidP="000476BB">
            <w:pPr>
              <w:spacing w:after="0"/>
              <w:cnfStyle w:val="000000100000" w:firstRow="0" w:lastRow="0" w:firstColumn="0" w:lastColumn="0" w:oddVBand="0" w:evenVBand="0" w:oddHBand="1" w:evenHBand="0" w:firstRowFirstColumn="0" w:firstRowLastColumn="0" w:lastRowFirstColumn="0" w:lastRowLastColumn="0"/>
              <w:rPr>
                <w:rFonts w:cs="Arial"/>
                <w:szCs w:val="24"/>
                <w:lang w:eastAsia="cs-CZ"/>
              </w:rPr>
            </w:pPr>
          </w:p>
          <w:p w14:paraId="2C04237A" w14:textId="25D073BF" w:rsidR="000476BB" w:rsidRDefault="007D6EDE" w:rsidP="00762FF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lang w:eastAsia="cs-CZ"/>
              </w:rPr>
            </w:pPr>
            <w:r w:rsidRPr="000476BB">
              <w:rPr>
                <w:rFonts w:cs="Arial"/>
                <w:szCs w:val="24"/>
                <w:lang w:eastAsia="cs-CZ"/>
              </w:rPr>
              <w:t>m</w:t>
            </w:r>
            <w:r w:rsidR="00E2092B" w:rsidRPr="000476BB">
              <w:rPr>
                <w:rFonts w:cs="Arial"/>
                <w:szCs w:val="24"/>
                <w:lang w:eastAsia="cs-CZ"/>
              </w:rPr>
              <w:t>ax. 14 měsíců</w:t>
            </w:r>
          </w:p>
          <w:p w14:paraId="3E0AC836" w14:textId="77777777" w:rsidR="005851D5" w:rsidRDefault="005851D5" w:rsidP="00762FF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lang w:eastAsia="cs-CZ"/>
              </w:rPr>
            </w:pPr>
          </w:p>
          <w:p w14:paraId="592D1E8A" w14:textId="666B513F" w:rsidR="00E2092B" w:rsidRPr="000476BB" w:rsidRDefault="007D6EDE" w:rsidP="00762FF5">
            <w:pPr>
              <w:spacing w:after="0"/>
              <w:jc w:val="center"/>
              <w:cnfStyle w:val="000000100000" w:firstRow="0" w:lastRow="0" w:firstColumn="0" w:lastColumn="0" w:oddVBand="0" w:evenVBand="0" w:oddHBand="1" w:evenHBand="0" w:firstRowFirstColumn="0" w:firstRowLastColumn="0" w:lastRowFirstColumn="0" w:lastRowLastColumn="0"/>
              <w:rPr>
                <w:rFonts w:cs="Arial"/>
                <w:szCs w:val="24"/>
                <w:lang w:eastAsia="cs-CZ"/>
              </w:rPr>
            </w:pPr>
            <w:r w:rsidRPr="000476BB">
              <w:rPr>
                <w:rFonts w:cs="Arial"/>
                <w:szCs w:val="24"/>
                <w:lang w:eastAsia="cs-CZ"/>
              </w:rPr>
              <w:t>m</w:t>
            </w:r>
            <w:r w:rsidR="00E2092B" w:rsidRPr="000476BB">
              <w:rPr>
                <w:rFonts w:cs="Arial"/>
                <w:szCs w:val="24"/>
                <w:lang w:eastAsia="cs-CZ"/>
              </w:rPr>
              <w:t>ax. 24 měsíců</w:t>
            </w:r>
          </w:p>
        </w:tc>
      </w:tr>
      <w:tr w:rsidR="00847D5C" w:rsidRPr="004F3788" w14:paraId="146E3B78" w14:textId="77777777" w:rsidTr="0015590D">
        <w:trPr>
          <w:cnfStyle w:val="000000010000" w:firstRow="0" w:lastRow="0" w:firstColumn="0" w:lastColumn="0" w:oddVBand="0" w:evenVBand="0" w:oddHBand="0" w:evenHBand="1"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0" w:type="auto"/>
            <w:gridSpan w:val="2"/>
          </w:tcPr>
          <w:p w14:paraId="295DF434" w14:textId="5359B072" w:rsidR="00847D5C" w:rsidRPr="000476BB" w:rsidRDefault="00847D5C" w:rsidP="007D6EDE">
            <w:pPr>
              <w:spacing w:after="0"/>
              <w:jc w:val="left"/>
              <w:rPr>
                <w:rFonts w:cs="Arial"/>
                <w:lang w:eastAsia="cs-CZ"/>
              </w:rPr>
            </w:pPr>
            <w:r w:rsidRPr="000476BB">
              <w:rPr>
                <w:rFonts w:cs="Arial"/>
                <w:lang w:eastAsia="cs-CZ"/>
              </w:rPr>
              <w:t xml:space="preserve">Bude stanoveno ve Výzvě v souladu se Směrnicí </w:t>
            </w:r>
            <w:r w:rsidR="00E2092B" w:rsidRPr="000476BB">
              <w:rPr>
                <w:rFonts w:cs="Arial"/>
                <w:lang w:eastAsia="cs-CZ"/>
              </w:rPr>
              <w:t>č. 8/2017.</w:t>
            </w:r>
          </w:p>
        </w:tc>
      </w:tr>
      <w:tr w:rsidR="005851D5" w:rsidRPr="004F3788" w14:paraId="154C0422" w14:textId="77777777" w:rsidTr="0015590D">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7F3800C" w14:textId="2146002F" w:rsidR="00E2092B" w:rsidRPr="000476BB" w:rsidRDefault="00E2092B" w:rsidP="007D6EDE">
            <w:pPr>
              <w:spacing w:after="0"/>
              <w:jc w:val="left"/>
              <w:rPr>
                <w:rFonts w:cs="Arial"/>
                <w:b/>
                <w:bCs/>
                <w:lang w:eastAsia="cs-CZ"/>
              </w:rPr>
            </w:pPr>
            <w:r w:rsidRPr="000476BB">
              <w:rPr>
                <w:rFonts w:cs="Arial"/>
                <w:b/>
                <w:bCs/>
                <w:lang w:eastAsia="cs-CZ"/>
              </w:rPr>
              <w:t># 8 Nastavení ratingu - tzv. konzervativní či liberální přístup</w:t>
            </w:r>
          </w:p>
        </w:tc>
        <w:tc>
          <w:tcPr>
            <w:tcW w:w="0" w:type="auto"/>
            <w:vAlign w:val="center"/>
            <w:hideMark/>
          </w:tcPr>
          <w:p w14:paraId="53844B5D" w14:textId="2C282899" w:rsidR="00E2092B" w:rsidRPr="000476BB" w:rsidRDefault="00E2092B" w:rsidP="007D6EDE">
            <w:pPr>
              <w:spacing w:after="0"/>
              <w:jc w:val="center"/>
              <w:cnfStyle w:val="000000100000" w:firstRow="0" w:lastRow="0" w:firstColumn="0" w:lastColumn="0" w:oddVBand="0" w:evenVBand="0" w:oddHBand="1" w:evenHBand="0" w:firstRowFirstColumn="0" w:firstRowLastColumn="0" w:lastRowFirstColumn="0" w:lastRowLastColumn="0"/>
              <w:rPr>
                <w:rFonts w:cs="Arial"/>
                <w:lang w:eastAsia="cs-CZ"/>
              </w:rPr>
            </w:pPr>
            <w:r w:rsidRPr="000476BB">
              <w:rPr>
                <w:rFonts w:cs="Arial"/>
                <w:lang w:eastAsia="cs-CZ"/>
              </w:rPr>
              <w:t>konzervativní</w:t>
            </w:r>
          </w:p>
        </w:tc>
      </w:tr>
      <w:tr w:rsidR="00847D5C" w:rsidRPr="004F3788" w14:paraId="7D639A8E" w14:textId="77777777" w:rsidTr="0015590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gridSpan w:val="2"/>
          </w:tcPr>
          <w:p w14:paraId="67C4A10F" w14:textId="578327AC" w:rsidR="00847D5C" w:rsidRPr="000476BB" w:rsidRDefault="0015590D" w:rsidP="00CB23C1">
            <w:pPr>
              <w:spacing w:after="0"/>
              <w:jc w:val="left"/>
              <w:rPr>
                <w:rFonts w:cs="Arial"/>
                <w:lang w:eastAsia="cs-CZ"/>
              </w:rPr>
            </w:pPr>
            <w:r>
              <w:rPr>
                <w:rFonts w:cs="Arial"/>
                <w:lang w:eastAsia="cs-CZ"/>
              </w:rPr>
              <w:t xml:space="preserve">V souladu s </w:t>
            </w:r>
            <w:r w:rsidR="00847D5C" w:rsidRPr="000476BB">
              <w:rPr>
                <w:rFonts w:cs="Arial"/>
                <w:lang w:eastAsia="cs-CZ"/>
              </w:rPr>
              <w:t>D</w:t>
            </w:r>
            <w:r w:rsidR="00CB23C1">
              <w:rPr>
                <w:rFonts w:cs="Arial"/>
                <w:lang w:eastAsia="cs-CZ"/>
              </w:rPr>
              <w:t>ohodou</w:t>
            </w:r>
            <w:r w:rsidR="00847D5C" w:rsidRPr="000476BB">
              <w:rPr>
                <w:rFonts w:cs="Arial"/>
                <w:lang w:eastAsia="cs-CZ"/>
              </w:rPr>
              <w:t xml:space="preserve"> bude nastaven pro Výzvu konzervativní přístup k ratingu a zajištění pohledávek.</w:t>
            </w:r>
          </w:p>
        </w:tc>
      </w:tr>
      <w:tr w:rsidR="005851D5" w:rsidRPr="004F3788" w14:paraId="567304FB" w14:textId="77777777" w:rsidTr="0015590D">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0" w:type="auto"/>
            <w:vAlign w:val="center"/>
          </w:tcPr>
          <w:p w14:paraId="6FDDC2D1" w14:textId="628F58A9" w:rsidR="00E2092B" w:rsidRPr="000476BB" w:rsidRDefault="00E2092B" w:rsidP="007D6EDE">
            <w:pPr>
              <w:spacing w:after="0"/>
              <w:jc w:val="left"/>
              <w:rPr>
                <w:rFonts w:cs="Arial"/>
                <w:b/>
                <w:bCs/>
                <w:lang w:eastAsia="cs-CZ"/>
              </w:rPr>
            </w:pPr>
            <w:r w:rsidRPr="000476BB">
              <w:rPr>
                <w:rFonts w:cs="Arial"/>
                <w:b/>
                <w:bCs/>
                <w:lang w:eastAsia="cs-CZ"/>
              </w:rPr>
              <w:t># 9 Skladba úvěrového portfolia – fixní nebo uvolněný přístup</w:t>
            </w:r>
          </w:p>
        </w:tc>
        <w:tc>
          <w:tcPr>
            <w:tcW w:w="0" w:type="auto"/>
            <w:vAlign w:val="center"/>
          </w:tcPr>
          <w:p w14:paraId="2987B68D" w14:textId="5D7C8E06" w:rsidR="00E2092B" w:rsidRPr="000476BB" w:rsidRDefault="00E2092B" w:rsidP="007D6EDE">
            <w:pPr>
              <w:spacing w:after="0"/>
              <w:jc w:val="center"/>
              <w:cnfStyle w:val="000000100000" w:firstRow="0" w:lastRow="0" w:firstColumn="0" w:lastColumn="0" w:oddVBand="0" w:evenVBand="0" w:oddHBand="1" w:evenHBand="0" w:firstRowFirstColumn="0" w:firstRowLastColumn="0" w:lastRowFirstColumn="0" w:lastRowLastColumn="0"/>
              <w:rPr>
                <w:rFonts w:cs="Arial"/>
                <w:lang w:eastAsia="cs-CZ"/>
              </w:rPr>
            </w:pPr>
            <w:r w:rsidRPr="000476BB">
              <w:rPr>
                <w:rFonts w:cs="Arial"/>
                <w:lang w:eastAsia="cs-CZ"/>
              </w:rPr>
              <w:t>uvolněný</w:t>
            </w:r>
          </w:p>
        </w:tc>
      </w:tr>
      <w:tr w:rsidR="00847D5C" w:rsidRPr="004F3788" w14:paraId="40ED2FBD" w14:textId="77777777" w:rsidTr="0015590D">
        <w:trPr>
          <w:cnfStyle w:val="000000010000" w:firstRow="0" w:lastRow="0" w:firstColumn="0" w:lastColumn="0" w:oddVBand="0" w:evenVBand="0" w:oddHBand="0" w:evenHBand="1" w:firstRowFirstColumn="0" w:firstRowLastColumn="0" w:lastRowFirstColumn="0" w:lastRowLastColumn="0"/>
          <w:trHeight w:val="1228"/>
        </w:trPr>
        <w:tc>
          <w:tcPr>
            <w:cnfStyle w:val="001000000000" w:firstRow="0" w:lastRow="0" w:firstColumn="1" w:lastColumn="0" w:oddVBand="0" w:evenVBand="0" w:oddHBand="0" w:evenHBand="0" w:firstRowFirstColumn="0" w:firstRowLastColumn="0" w:lastRowFirstColumn="0" w:lastRowLastColumn="0"/>
            <w:tcW w:w="0" w:type="auto"/>
            <w:gridSpan w:val="2"/>
          </w:tcPr>
          <w:p w14:paraId="1592EF26" w14:textId="41BCD98B" w:rsidR="00847D5C" w:rsidRPr="000476BB" w:rsidRDefault="00847D5C" w:rsidP="00374627">
            <w:pPr>
              <w:spacing w:after="0"/>
              <w:rPr>
                <w:rFonts w:cs="Arial"/>
                <w:lang w:eastAsia="cs-CZ"/>
              </w:rPr>
            </w:pPr>
            <w:r w:rsidRPr="000476BB">
              <w:rPr>
                <w:rFonts w:cs="Arial"/>
                <w:lang w:eastAsia="cs-CZ"/>
              </w:rPr>
              <w:t>V zájmu podpory projektů, které vykazují tržní selhání, nebude pro každou vypisovanou výzvu stanovena konkrétní strategie skladby portfolia (podíl projektů AA/BB/CC), vázaný na výsledky ratingu projektu/žadatele (bližší vyjasnění viz kapitola 4.5).</w:t>
            </w:r>
          </w:p>
        </w:tc>
      </w:tr>
      <w:tr w:rsidR="005851D5" w:rsidRPr="004F3788" w14:paraId="0D04516B" w14:textId="77777777" w:rsidTr="0015590D">
        <w:trPr>
          <w:cnfStyle w:val="000000100000" w:firstRow="0" w:lastRow="0" w:firstColumn="0" w:lastColumn="0" w:oddVBand="0" w:evenVBand="0" w:oddHBand="1" w:evenHBand="0" w:firstRowFirstColumn="0" w:firstRowLastColumn="0" w:lastRowFirstColumn="0" w:lastRowLastColumn="0"/>
          <w:trHeight w:val="9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CFFBDDF" w14:textId="736804D9" w:rsidR="00E2092B" w:rsidRPr="000476BB" w:rsidRDefault="00E2092B" w:rsidP="007D6EDE">
            <w:pPr>
              <w:spacing w:after="0"/>
              <w:jc w:val="left"/>
              <w:rPr>
                <w:rFonts w:cs="Arial"/>
                <w:b/>
                <w:bCs/>
                <w:lang w:eastAsia="cs-CZ"/>
              </w:rPr>
            </w:pPr>
            <w:r w:rsidRPr="000476BB">
              <w:rPr>
                <w:rFonts w:cs="Arial"/>
                <w:b/>
                <w:bCs/>
                <w:lang w:eastAsia="cs-CZ"/>
              </w:rPr>
              <w:t># 10 Přímá dotační podpora na přípravu vybrané dokumentace projektu</w:t>
            </w:r>
          </w:p>
        </w:tc>
        <w:tc>
          <w:tcPr>
            <w:tcW w:w="0" w:type="auto"/>
            <w:vAlign w:val="center"/>
            <w:hideMark/>
          </w:tcPr>
          <w:p w14:paraId="3A23DDE4" w14:textId="0A745947" w:rsidR="00E2092B" w:rsidRPr="000476BB" w:rsidRDefault="00E2092B" w:rsidP="007D6EDE">
            <w:pPr>
              <w:spacing w:after="0"/>
              <w:jc w:val="center"/>
              <w:cnfStyle w:val="000000100000" w:firstRow="0" w:lastRow="0" w:firstColumn="0" w:lastColumn="0" w:oddVBand="0" w:evenVBand="0" w:oddHBand="1" w:evenHBand="0" w:firstRowFirstColumn="0" w:firstRowLastColumn="0" w:lastRowFirstColumn="0" w:lastRowLastColumn="0"/>
              <w:rPr>
                <w:rFonts w:cs="Arial"/>
                <w:lang w:eastAsia="cs-CZ"/>
              </w:rPr>
            </w:pPr>
            <w:r w:rsidRPr="000476BB">
              <w:rPr>
                <w:rFonts w:cs="Arial"/>
                <w:lang w:eastAsia="cs-CZ"/>
              </w:rPr>
              <w:t>ne</w:t>
            </w:r>
          </w:p>
        </w:tc>
      </w:tr>
      <w:tr w:rsidR="005851D5" w:rsidRPr="004F3788" w14:paraId="1B8A65DF" w14:textId="77777777" w:rsidTr="00762FF5">
        <w:trPr>
          <w:cnfStyle w:val="000000010000" w:firstRow="0" w:lastRow="0" w:firstColumn="0" w:lastColumn="0" w:oddVBand="0" w:evenVBand="0" w:oddHBand="0" w:evenHBand="1"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0" w:type="auto"/>
            <w:shd w:val="clear" w:color="auto" w:fill="CEE5B8"/>
            <w:hideMark/>
          </w:tcPr>
          <w:p w14:paraId="5A64749F" w14:textId="7B040749" w:rsidR="00E2092B" w:rsidRPr="000476BB" w:rsidRDefault="00E2092B" w:rsidP="007D6EDE">
            <w:pPr>
              <w:spacing w:after="0"/>
              <w:jc w:val="left"/>
              <w:rPr>
                <w:rFonts w:cs="Arial"/>
                <w:b/>
                <w:bCs/>
                <w:lang w:eastAsia="cs-CZ"/>
              </w:rPr>
            </w:pPr>
            <w:r w:rsidRPr="000476BB">
              <w:rPr>
                <w:rFonts w:cs="Arial"/>
                <w:b/>
                <w:bCs/>
                <w:lang w:eastAsia="cs-CZ"/>
              </w:rPr>
              <w:t># 11 Povinnost realizovat výběrové řízení na dodavatele projektu</w:t>
            </w:r>
          </w:p>
        </w:tc>
        <w:tc>
          <w:tcPr>
            <w:tcW w:w="0" w:type="auto"/>
            <w:tcBorders>
              <w:bottom w:val="single" w:sz="4" w:space="0" w:color="467A26"/>
            </w:tcBorders>
            <w:shd w:val="clear" w:color="auto" w:fill="CEE5B8"/>
            <w:hideMark/>
          </w:tcPr>
          <w:p w14:paraId="5ADAEB86" w14:textId="2C919D5C" w:rsidR="00E2092B" w:rsidRPr="000476BB" w:rsidRDefault="00E2092B" w:rsidP="007D6EDE">
            <w:pPr>
              <w:spacing w:after="0"/>
              <w:jc w:val="center"/>
              <w:cnfStyle w:val="000000010000" w:firstRow="0" w:lastRow="0" w:firstColumn="0" w:lastColumn="0" w:oddVBand="0" w:evenVBand="0" w:oddHBand="0" w:evenHBand="1" w:firstRowFirstColumn="0" w:firstRowLastColumn="0" w:lastRowFirstColumn="0" w:lastRowLastColumn="0"/>
              <w:rPr>
                <w:rFonts w:cs="Arial"/>
                <w:lang w:eastAsia="cs-CZ"/>
              </w:rPr>
            </w:pPr>
            <w:r w:rsidRPr="000476BB">
              <w:rPr>
                <w:rFonts w:cs="Arial"/>
                <w:lang w:eastAsia="cs-CZ"/>
              </w:rPr>
              <w:t>ano</w:t>
            </w:r>
          </w:p>
        </w:tc>
      </w:tr>
      <w:tr w:rsidR="005851D5" w:rsidRPr="004F3788" w14:paraId="2D080653" w14:textId="77777777" w:rsidTr="00762FF5">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6BF8648" w14:textId="1763AAE9" w:rsidR="00E2092B" w:rsidRPr="000476BB" w:rsidRDefault="00E2092B" w:rsidP="00D66438">
            <w:pPr>
              <w:spacing w:after="0"/>
              <w:jc w:val="left"/>
              <w:rPr>
                <w:rFonts w:cs="Arial"/>
                <w:b/>
                <w:bCs/>
                <w:lang w:eastAsia="cs-CZ"/>
              </w:rPr>
            </w:pPr>
            <w:r w:rsidRPr="000476BB">
              <w:rPr>
                <w:rFonts w:cs="Arial"/>
                <w:b/>
                <w:bCs/>
                <w:lang w:eastAsia="cs-CZ"/>
              </w:rPr>
              <w:t xml:space="preserve"># 12 Rozřazovací klíč v rozpočtu pro </w:t>
            </w:r>
            <w:r w:rsidR="00D94881">
              <w:rPr>
                <w:rFonts w:cs="Arial"/>
                <w:b/>
                <w:bCs/>
                <w:lang w:eastAsia="cs-CZ"/>
              </w:rPr>
              <w:t>záp</w:t>
            </w:r>
            <w:r w:rsidR="00D66438">
              <w:rPr>
                <w:rFonts w:cs="Arial"/>
                <w:b/>
                <w:bCs/>
                <w:lang w:eastAsia="cs-CZ"/>
              </w:rPr>
              <w:t>ů</w:t>
            </w:r>
            <w:r w:rsidR="00D94881">
              <w:rPr>
                <w:rFonts w:cs="Arial"/>
                <w:b/>
                <w:bCs/>
                <w:lang w:eastAsia="cs-CZ"/>
              </w:rPr>
              <w:t>jčku</w:t>
            </w:r>
            <w:r w:rsidR="00D94881" w:rsidRPr="000476BB">
              <w:rPr>
                <w:rFonts w:cs="Arial"/>
                <w:b/>
                <w:bCs/>
                <w:lang w:eastAsia="cs-CZ"/>
              </w:rPr>
              <w:t xml:space="preserve"> </w:t>
            </w:r>
            <w:r w:rsidRPr="000476BB">
              <w:rPr>
                <w:rFonts w:cs="Arial"/>
                <w:b/>
                <w:bCs/>
                <w:lang w:eastAsia="cs-CZ"/>
              </w:rPr>
              <w:t>IFN a případnou dotac</w:t>
            </w:r>
            <w:r w:rsidR="00D66438">
              <w:rPr>
                <w:rFonts w:cs="Arial"/>
                <w:b/>
                <w:bCs/>
                <w:lang w:eastAsia="cs-CZ"/>
              </w:rPr>
              <w:t>i</w:t>
            </w:r>
          </w:p>
        </w:tc>
        <w:tc>
          <w:tcPr>
            <w:tcW w:w="0" w:type="auto"/>
            <w:tcBorders>
              <w:bottom w:val="single" w:sz="4" w:space="0" w:color="467A26"/>
            </w:tcBorders>
            <w:vAlign w:val="center"/>
            <w:hideMark/>
          </w:tcPr>
          <w:p w14:paraId="4C8F3599" w14:textId="08226FD0" w:rsidR="00E2092B" w:rsidRPr="000476BB" w:rsidRDefault="00E2092B" w:rsidP="007D6EDE">
            <w:pPr>
              <w:spacing w:after="0"/>
              <w:jc w:val="center"/>
              <w:cnfStyle w:val="000000100000" w:firstRow="0" w:lastRow="0" w:firstColumn="0" w:lastColumn="0" w:oddVBand="0" w:evenVBand="0" w:oddHBand="1" w:evenHBand="0" w:firstRowFirstColumn="0" w:firstRowLastColumn="0" w:lastRowFirstColumn="0" w:lastRowLastColumn="0"/>
              <w:rPr>
                <w:rFonts w:cs="Arial"/>
                <w:lang w:eastAsia="cs-CZ"/>
              </w:rPr>
            </w:pPr>
            <w:r w:rsidRPr="000476BB">
              <w:rPr>
                <w:rFonts w:cs="Arial"/>
                <w:lang w:eastAsia="cs-CZ"/>
              </w:rPr>
              <w:t>není relevantní</w:t>
            </w:r>
          </w:p>
        </w:tc>
      </w:tr>
    </w:tbl>
    <w:p w14:paraId="23E4A5D0" w14:textId="77777777" w:rsidR="00A0194B" w:rsidRDefault="00A0194B">
      <w:pPr>
        <w:spacing w:after="200" w:line="276" w:lineRule="auto"/>
        <w:jc w:val="left"/>
      </w:pPr>
      <w:r>
        <w:br w:type="page"/>
      </w:r>
    </w:p>
    <w:tbl>
      <w:tblPr>
        <w:tblStyle w:val="Styl2"/>
        <w:tblW w:w="0" w:type="auto"/>
        <w:tblInd w:w="-5" w:type="dxa"/>
        <w:tblCellMar>
          <w:top w:w="113" w:type="dxa"/>
          <w:bottom w:w="113" w:type="dxa"/>
        </w:tblCellMar>
        <w:tblLook w:val="0680" w:firstRow="0" w:lastRow="0" w:firstColumn="1" w:lastColumn="0" w:noHBand="1" w:noVBand="1"/>
      </w:tblPr>
      <w:tblGrid>
        <w:gridCol w:w="8190"/>
        <w:gridCol w:w="877"/>
      </w:tblGrid>
      <w:tr w:rsidR="005851D5" w:rsidRPr="004F3788" w14:paraId="527B486B" w14:textId="77777777" w:rsidTr="00A0194B">
        <w:trPr>
          <w:trHeight w:val="687"/>
        </w:trPr>
        <w:tc>
          <w:tcPr>
            <w:cnfStyle w:val="001000000000" w:firstRow="0" w:lastRow="0" w:firstColumn="1" w:lastColumn="0" w:oddVBand="0" w:evenVBand="0" w:oddHBand="0" w:evenHBand="0" w:firstRowFirstColumn="0" w:firstRowLastColumn="0" w:lastRowFirstColumn="0" w:lastRowLastColumn="0"/>
            <w:tcW w:w="0" w:type="auto"/>
            <w:shd w:val="clear" w:color="auto" w:fill="CEE5B8"/>
            <w:vAlign w:val="center"/>
          </w:tcPr>
          <w:p w14:paraId="2E33BF9C" w14:textId="0778F5C6" w:rsidR="00E2092B" w:rsidRPr="000476BB" w:rsidRDefault="00E2092B" w:rsidP="00453192">
            <w:pPr>
              <w:spacing w:after="0"/>
              <w:jc w:val="left"/>
              <w:rPr>
                <w:rFonts w:cs="Arial"/>
                <w:b/>
                <w:bCs/>
                <w:lang w:eastAsia="cs-CZ"/>
              </w:rPr>
            </w:pPr>
            <w:r w:rsidRPr="000476BB">
              <w:rPr>
                <w:rFonts w:cs="Arial"/>
                <w:b/>
                <w:bCs/>
                <w:lang w:eastAsia="cs-CZ"/>
              </w:rPr>
              <w:lastRenderedPageBreak/>
              <w:t xml:space="preserve"># 13 Možnost žádat o dotaci, </w:t>
            </w:r>
            <w:r w:rsidR="00453192">
              <w:rPr>
                <w:rFonts w:cs="Arial"/>
                <w:b/>
                <w:bCs/>
                <w:lang w:eastAsia="cs-CZ"/>
              </w:rPr>
              <w:t>zápůjčku</w:t>
            </w:r>
            <w:r w:rsidRPr="000476BB">
              <w:rPr>
                <w:rFonts w:cs="Arial"/>
                <w:b/>
                <w:bCs/>
                <w:lang w:eastAsia="cs-CZ"/>
              </w:rPr>
              <w:t xml:space="preserve"> nebo obě formy podpory </w:t>
            </w:r>
          </w:p>
        </w:tc>
        <w:tc>
          <w:tcPr>
            <w:tcW w:w="0" w:type="auto"/>
            <w:tcBorders>
              <w:top w:val="single" w:sz="4" w:space="0" w:color="467A26"/>
            </w:tcBorders>
            <w:shd w:val="clear" w:color="auto" w:fill="CEE5B8"/>
            <w:vAlign w:val="center"/>
          </w:tcPr>
          <w:p w14:paraId="124A9679" w14:textId="3FF2465A" w:rsidR="00E2092B" w:rsidRPr="000476BB" w:rsidRDefault="00374627" w:rsidP="007D6EDE">
            <w:pPr>
              <w:spacing w:after="0"/>
              <w:jc w:val="center"/>
              <w:cnfStyle w:val="000000000000" w:firstRow="0" w:lastRow="0" w:firstColumn="0" w:lastColumn="0" w:oddVBand="0" w:evenVBand="0" w:oddHBand="0" w:evenHBand="0" w:firstRowFirstColumn="0" w:firstRowLastColumn="0" w:lastRowFirstColumn="0" w:lastRowLastColumn="0"/>
              <w:rPr>
                <w:rFonts w:cs="Arial"/>
                <w:lang w:eastAsia="cs-CZ"/>
              </w:rPr>
            </w:pPr>
            <w:r>
              <w:rPr>
                <w:rFonts w:cs="Arial"/>
                <w:lang w:eastAsia="cs-CZ"/>
              </w:rPr>
              <w:t>ano</w:t>
            </w:r>
          </w:p>
        </w:tc>
      </w:tr>
      <w:tr w:rsidR="00847D5C" w:rsidRPr="004F3788" w14:paraId="3DA43419" w14:textId="77777777" w:rsidTr="00A0194B">
        <w:trPr>
          <w:trHeight w:val="396"/>
        </w:trPr>
        <w:tc>
          <w:tcPr>
            <w:cnfStyle w:val="001000000000" w:firstRow="0" w:lastRow="0" w:firstColumn="1" w:lastColumn="0" w:oddVBand="0" w:evenVBand="0" w:oddHBand="0" w:evenHBand="0" w:firstRowFirstColumn="0" w:firstRowLastColumn="0" w:lastRowFirstColumn="0" w:lastRowLastColumn="0"/>
            <w:tcW w:w="0" w:type="auto"/>
            <w:gridSpan w:val="2"/>
          </w:tcPr>
          <w:p w14:paraId="5E960E01" w14:textId="39FD1989" w:rsidR="00847D5C" w:rsidRPr="000476BB" w:rsidRDefault="00AD7439" w:rsidP="00453192">
            <w:pPr>
              <w:spacing w:after="0"/>
              <w:rPr>
                <w:rFonts w:cs="Arial"/>
                <w:lang w:eastAsia="cs-CZ"/>
              </w:rPr>
            </w:pPr>
            <w:r>
              <w:rPr>
                <w:rFonts w:cs="Arial"/>
                <w:lang w:eastAsia="cs-CZ"/>
              </w:rPr>
              <w:t xml:space="preserve">Podpora projektu bude kromě </w:t>
            </w:r>
            <w:r w:rsidR="00453192">
              <w:rPr>
                <w:rFonts w:cs="Arial"/>
                <w:lang w:eastAsia="cs-CZ"/>
              </w:rPr>
              <w:t>zápůjčky</w:t>
            </w:r>
            <w:r>
              <w:rPr>
                <w:rFonts w:cs="Arial"/>
                <w:lang w:eastAsia="cs-CZ"/>
              </w:rPr>
              <w:t xml:space="preserve"> ze zdrojů ESIF</w:t>
            </w:r>
            <w:r w:rsidR="00847D5C" w:rsidRPr="000476BB">
              <w:rPr>
                <w:rFonts w:cs="Arial"/>
                <w:lang w:eastAsia="cs-CZ"/>
              </w:rPr>
              <w:t xml:space="preserve"> obsahovat možnost čerpání přímé dotační formy podpory</w:t>
            </w:r>
            <w:r w:rsidR="007D6EDE" w:rsidRPr="000476BB">
              <w:rPr>
                <w:rFonts w:cs="Arial"/>
                <w:lang w:eastAsia="cs-CZ"/>
              </w:rPr>
              <w:t xml:space="preserve"> </w:t>
            </w:r>
            <w:r w:rsidR="00374627">
              <w:rPr>
                <w:rFonts w:cs="Arial"/>
                <w:lang w:eastAsia="cs-CZ"/>
              </w:rPr>
              <w:t>z prostředků SFŽP</w:t>
            </w:r>
            <w:r w:rsidR="00847D5C" w:rsidRPr="000476BB">
              <w:rPr>
                <w:rFonts w:cs="Arial"/>
                <w:lang w:eastAsia="cs-CZ"/>
              </w:rPr>
              <w:t xml:space="preserve">. </w:t>
            </w:r>
            <w:r w:rsidR="00D94881">
              <w:rPr>
                <w:rFonts w:cs="Arial"/>
                <w:lang w:eastAsia="cs-CZ"/>
              </w:rPr>
              <w:t>Čerpání samostatné dotace není možné.</w:t>
            </w:r>
          </w:p>
        </w:tc>
      </w:tr>
    </w:tbl>
    <w:p w14:paraId="4D90DA05" w14:textId="5F36F284" w:rsidR="001A7CEE" w:rsidRDefault="001A7CEE" w:rsidP="0015590D">
      <w:pPr>
        <w:pStyle w:val="Titulek"/>
        <w:spacing w:before="360"/>
      </w:pPr>
      <w:r>
        <w:t xml:space="preserve">Tabulka </w:t>
      </w:r>
      <w:fldSimple w:instr=" SEQ Tabulka \* ARABIC ">
        <w:r w:rsidR="00A0194B">
          <w:rPr>
            <w:noProof/>
          </w:rPr>
          <w:t>3</w:t>
        </w:r>
      </w:fldSimple>
      <w:r>
        <w:t>: sledované parametry finančního nástroje a optimální stav</w:t>
      </w:r>
    </w:p>
    <w:tbl>
      <w:tblPr>
        <w:tblStyle w:val="Styl2"/>
        <w:tblW w:w="0" w:type="auto"/>
        <w:tblCellMar>
          <w:top w:w="113" w:type="dxa"/>
          <w:bottom w:w="113" w:type="dxa"/>
        </w:tblCellMar>
        <w:tblLook w:val="04A0" w:firstRow="1" w:lastRow="0" w:firstColumn="1" w:lastColumn="0" w:noHBand="0" w:noVBand="1"/>
      </w:tblPr>
      <w:tblGrid>
        <w:gridCol w:w="6251"/>
        <w:gridCol w:w="2811"/>
      </w:tblGrid>
      <w:tr w:rsidR="00905CDA" w:rsidRPr="0015590D" w14:paraId="5EDFE1D1" w14:textId="77777777" w:rsidTr="004C7B93">
        <w:trPr>
          <w:cnfStyle w:val="100000000000" w:firstRow="1" w:lastRow="0" w:firstColumn="0" w:lastColumn="0" w:oddVBand="0" w:evenVBand="0" w:oddHBand="0"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F4C9673" w14:textId="69C28BE4" w:rsidR="007D6EDE" w:rsidRPr="0015590D" w:rsidRDefault="007D6EDE" w:rsidP="007D6EDE">
            <w:pPr>
              <w:spacing w:after="0"/>
              <w:jc w:val="left"/>
              <w:rPr>
                <w:rFonts w:cs="Arial"/>
                <w:b w:val="0"/>
                <w:bCs/>
                <w:color w:val="FFFFFF"/>
                <w:szCs w:val="24"/>
                <w:lang w:eastAsia="cs-CZ"/>
              </w:rPr>
            </w:pPr>
            <w:r w:rsidRPr="0015590D">
              <w:rPr>
                <w:rFonts w:cs="Arial"/>
                <w:bCs/>
                <w:color w:val="FFFFFF"/>
                <w:szCs w:val="24"/>
                <w:lang w:eastAsia="cs-CZ"/>
              </w:rPr>
              <w:t>Sledovaný parametr navrhovaného finančního nástroje</w:t>
            </w:r>
          </w:p>
        </w:tc>
        <w:tc>
          <w:tcPr>
            <w:tcW w:w="0" w:type="auto"/>
            <w:vAlign w:val="center"/>
            <w:hideMark/>
          </w:tcPr>
          <w:p w14:paraId="08347101" w14:textId="77777777" w:rsidR="007D6EDE" w:rsidRPr="0015590D" w:rsidRDefault="007D6EDE" w:rsidP="007D6EDE">
            <w:pPr>
              <w:spacing w:after="0"/>
              <w:jc w:val="center"/>
              <w:cnfStyle w:val="100000000000" w:firstRow="1" w:lastRow="0" w:firstColumn="0" w:lastColumn="0" w:oddVBand="0" w:evenVBand="0" w:oddHBand="0" w:evenHBand="0" w:firstRowFirstColumn="0" w:firstRowLastColumn="0" w:lastRowFirstColumn="0" w:lastRowLastColumn="0"/>
              <w:rPr>
                <w:rFonts w:cs="Arial"/>
                <w:b w:val="0"/>
                <w:bCs/>
                <w:color w:val="FFFFFF"/>
                <w:szCs w:val="24"/>
                <w:lang w:eastAsia="cs-CZ"/>
              </w:rPr>
            </w:pPr>
            <w:r w:rsidRPr="0015590D">
              <w:rPr>
                <w:rFonts w:cs="Arial"/>
                <w:bCs/>
                <w:color w:val="FFFFFF"/>
                <w:szCs w:val="24"/>
                <w:lang w:eastAsia="cs-CZ"/>
              </w:rPr>
              <w:t>Optimální stav</w:t>
            </w:r>
          </w:p>
        </w:tc>
      </w:tr>
      <w:tr w:rsidR="00905CDA" w:rsidRPr="0015590D" w14:paraId="5D47E780" w14:textId="77777777" w:rsidTr="004C7B93">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208D002" w14:textId="3DC96D51" w:rsidR="007D6EDE" w:rsidRPr="0015590D" w:rsidRDefault="007D6EDE" w:rsidP="00D94881">
            <w:pPr>
              <w:spacing w:after="0"/>
              <w:jc w:val="left"/>
              <w:rPr>
                <w:rFonts w:cs="Arial"/>
                <w:b/>
                <w:bCs/>
                <w:szCs w:val="24"/>
                <w:lang w:eastAsia="cs-CZ"/>
              </w:rPr>
            </w:pPr>
            <w:r w:rsidRPr="0015590D">
              <w:rPr>
                <w:rFonts w:cs="Arial"/>
                <w:b/>
                <w:bCs/>
                <w:szCs w:val="24"/>
                <w:lang w:eastAsia="cs-CZ"/>
              </w:rPr>
              <w:t xml:space="preserve"># 1 Využití </w:t>
            </w:r>
            <w:proofErr w:type="spellStart"/>
            <w:r w:rsidRPr="0015590D">
              <w:rPr>
                <w:rFonts w:cs="Arial"/>
                <w:b/>
                <w:bCs/>
                <w:szCs w:val="24"/>
                <w:lang w:eastAsia="cs-CZ"/>
              </w:rPr>
              <w:t>first</w:t>
            </w:r>
            <w:proofErr w:type="spellEnd"/>
            <w:r w:rsidRPr="0015590D">
              <w:rPr>
                <w:rFonts w:cs="Arial"/>
                <w:b/>
                <w:bCs/>
                <w:szCs w:val="24"/>
                <w:lang w:eastAsia="cs-CZ"/>
              </w:rPr>
              <w:t xml:space="preserve"> </w:t>
            </w:r>
            <w:proofErr w:type="spellStart"/>
            <w:r w:rsidRPr="0015590D">
              <w:rPr>
                <w:rFonts w:cs="Arial"/>
                <w:b/>
                <w:bCs/>
                <w:szCs w:val="24"/>
                <w:lang w:eastAsia="cs-CZ"/>
              </w:rPr>
              <w:t>piece</w:t>
            </w:r>
            <w:proofErr w:type="spellEnd"/>
            <w:r w:rsidRPr="0015590D">
              <w:rPr>
                <w:rFonts w:cs="Arial"/>
                <w:b/>
                <w:bCs/>
                <w:szCs w:val="24"/>
                <w:lang w:eastAsia="cs-CZ"/>
              </w:rPr>
              <w:t xml:space="preserve"> </w:t>
            </w:r>
            <w:proofErr w:type="spellStart"/>
            <w:r w:rsidRPr="0015590D">
              <w:rPr>
                <w:rFonts w:cs="Arial"/>
                <w:b/>
                <w:bCs/>
                <w:szCs w:val="24"/>
                <w:lang w:eastAsia="cs-CZ"/>
              </w:rPr>
              <w:t>loss</w:t>
            </w:r>
            <w:proofErr w:type="spellEnd"/>
            <w:r w:rsidRPr="0015590D">
              <w:rPr>
                <w:rFonts w:cs="Arial"/>
                <w:b/>
                <w:bCs/>
                <w:szCs w:val="24"/>
                <w:lang w:eastAsia="cs-CZ"/>
              </w:rPr>
              <w:t xml:space="preserve"> </w:t>
            </w:r>
            <w:r w:rsidR="002622BE">
              <w:rPr>
                <w:rFonts w:cs="Arial"/>
                <w:b/>
                <w:bCs/>
                <w:szCs w:val="24"/>
                <w:lang w:eastAsia="cs-CZ"/>
              </w:rPr>
              <w:t>/ default</w:t>
            </w:r>
            <w:r w:rsidR="00D94881">
              <w:rPr>
                <w:rFonts w:cs="Arial"/>
                <w:b/>
                <w:bCs/>
                <w:szCs w:val="24"/>
                <w:lang w:eastAsia="cs-CZ"/>
              </w:rPr>
              <w:t xml:space="preserve"> </w:t>
            </w:r>
            <w:proofErr w:type="spellStart"/>
            <w:r w:rsidR="00D94881">
              <w:rPr>
                <w:rFonts w:cs="Arial"/>
                <w:b/>
                <w:bCs/>
                <w:szCs w:val="24"/>
                <w:lang w:eastAsia="cs-CZ"/>
              </w:rPr>
              <w:t>rate</w:t>
            </w:r>
            <w:proofErr w:type="spellEnd"/>
          </w:p>
        </w:tc>
        <w:tc>
          <w:tcPr>
            <w:tcW w:w="0" w:type="auto"/>
            <w:vAlign w:val="center"/>
            <w:hideMark/>
          </w:tcPr>
          <w:p w14:paraId="1720B838" w14:textId="64264B87" w:rsidR="007D6EDE" w:rsidRPr="0015590D" w:rsidRDefault="007D6EDE" w:rsidP="007D6EDE">
            <w:pPr>
              <w:spacing w:after="0"/>
              <w:jc w:val="center"/>
              <w:cnfStyle w:val="000000100000" w:firstRow="0" w:lastRow="0" w:firstColumn="0" w:lastColumn="0" w:oddVBand="0" w:evenVBand="0" w:oddHBand="1" w:evenHBand="0" w:firstRowFirstColumn="0" w:firstRowLastColumn="0" w:lastRowFirstColumn="0" w:lastRowLastColumn="0"/>
              <w:rPr>
                <w:rFonts w:cs="Arial"/>
                <w:szCs w:val="24"/>
                <w:lang w:eastAsia="cs-CZ"/>
              </w:rPr>
            </w:pPr>
            <w:r w:rsidRPr="0015590D">
              <w:rPr>
                <w:rFonts w:cs="Arial"/>
                <w:szCs w:val="24"/>
                <w:lang w:eastAsia="cs-CZ"/>
              </w:rPr>
              <w:t>ano</w:t>
            </w:r>
          </w:p>
        </w:tc>
      </w:tr>
      <w:tr w:rsidR="007D6EDE" w:rsidRPr="0015590D" w14:paraId="6683F8E4" w14:textId="77777777" w:rsidTr="0015590D">
        <w:trPr>
          <w:cnfStyle w:val="000000010000" w:firstRow="0" w:lastRow="0" w:firstColumn="0" w:lastColumn="0" w:oddVBand="0" w:evenVBand="0" w:oddHBand="0" w:evenHBand="1"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0" w:type="auto"/>
            <w:gridSpan w:val="2"/>
            <w:hideMark/>
          </w:tcPr>
          <w:p w14:paraId="5071DC3E" w14:textId="39299A88" w:rsidR="001B292E" w:rsidRDefault="001B292E" w:rsidP="00D040E8">
            <w:pPr>
              <w:spacing w:after="0"/>
              <w:rPr>
                <w:rFonts w:cs="Arial"/>
                <w:szCs w:val="24"/>
                <w:lang w:eastAsia="cs-CZ"/>
              </w:rPr>
            </w:pPr>
            <w:r>
              <w:rPr>
                <w:rFonts w:cs="Arial"/>
                <w:szCs w:val="24"/>
                <w:lang w:eastAsia="cs-CZ"/>
              </w:rPr>
              <w:t>Z povahy FN vyplývá výrazně vyšší</w:t>
            </w:r>
            <w:r w:rsidRPr="001B292E">
              <w:rPr>
                <w:rFonts w:cs="Arial"/>
                <w:szCs w:val="24"/>
                <w:lang w:eastAsia="cs-CZ"/>
              </w:rPr>
              <w:t xml:space="preserve"> riziko nesplácení ze strany </w:t>
            </w:r>
            <w:r w:rsidR="003119C2">
              <w:rPr>
                <w:rFonts w:cs="Arial"/>
                <w:szCs w:val="24"/>
                <w:lang w:eastAsia="cs-CZ"/>
              </w:rPr>
              <w:t>K</w:t>
            </w:r>
            <w:r>
              <w:rPr>
                <w:rFonts w:cs="Arial"/>
                <w:szCs w:val="24"/>
                <w:lang w:eastAsia="cs-CZ"/>
              </w:rPr>
              <w:t xml:space="preserve">onečného </w:t>
            </w:r>
            <w:r w:rsidRPr="001B292E">
              <w:rPr>
                <w:rFonts w:cs="Arial"/>
                <w:szCs w:val="24"/>
                <w:lang w:eastAsia="cs-CZ"/>
              </w:rPr>
              <w:t>příjemce</w:t>
            </w:r>
            <w:r>
              <w:rPr>
                <w:rFonts w:cs="Arial"/>
                <w:szCs w:val="24"/>
                <w:lang w:eastAsia="cs-CZ"/>
              </w:rPr>
              <w:t>.</w:t>
            </w:r>
            <w:r w:rsidRPr="001B292E">
              <w:rPr>
                <w:rFonts w:cs="Arial"/>
                <w:szCs w:val="24"/>
                <w:lang w:eastAsia="cs-CZ"/>
              </w:rPr>
              <w:t xml:space="preserve"> Metodické doporučení pro implementaci </w:t>
            </w:r>
            <w:r>
              <w:rPr>
                <w:rFonts w:cs="Arial"/>
                <w:szCs w:val="24"/>
                <w:lang w:eastAsia="cs-CZ"/>
              </w:rPr>
              <w:t xml:space="preserve">FN nepředpokládá </w:t>
            </w:r>
            <w:r w:rsidRPr="001B292E">
              <w:rPr>
                <w:rFonts w:cs="Arial"/>
                <w:szCs w:val="24"/>
                <w:lang w:eastAsia="cs-CZ"/>
              </w:rPr>
              <w:t>stoprocentní návratnost zdrojů a s default</w:t>
            </w:r>
            <w:r w:rsidR="003F43FA">
              <w:rPr>
                <w:rFonts w:cs="Arial"/>
                <w:szCs w:val="24"/>
                <w:lang w:eastAsia="cs-CZ"/>
              </w:rPr>
              <w:t xml:space="preserve"> </w:t>
            </w:r>
            <w:proofErr w:type="spellStart"/>
            <w:r w:rsidR="003F43FA">
              <w:rPr>
                <w:rFonts w:cs="Arial"/>
                <w:szCs w:val="24"/>
                <w:lang w:eastAsia="cs-CZ"/>
              </w:rPr>
              <w:t>rate</w:t>
            </w:r>
            <w:proofErr w:type="spellEnd"/>
            <w:r w:rsidRPr="001B292E">
              <w:rPr>
                <w:rFonts w:cs="Arial"/>
                <w:szCs w:val="24"/>
                <w:lang w:eastAsia="cs-CZ"/>
              </w:rPr>
              <w:t xml:space="preserve"> (podíl projektů, které nejsou schopny vrátit prostředky zpět do FN</w:t>
            </w:r>
            <w:r>
              <w:rPr>
                <w:rFonts w:cs="Arial"/>
                <w:szCs w:val="24"/>
                <w:lang w:eastAsia="cs-CZ"/>
              </w:rPr>
              <w:t>)</w:t>
            </w:r>
            <w:r w:rsidRPr="001B292E">
              <w:rPr>
                <w:rFonts w:cs="Arial"/>
                <w:szCs w:val="24"/>
                <w:lang w:eastAsia="cs-CZ"/>
              </w:rPr>
              <w:t xml:space="preserve"> se počítá. </w:t>
            </w:r>
            <w:r>
              <w:rPr>
                <w:rFonts w:cs="Arial"/>
                <w:szCs w:val="24"/>
                <w:lang w:eastAsia="cs-CZ"/>
              </w:rPr>
              <w:t xml:space="preserve">Případné </w:t>
            </w:r>
            <w:r w:rsidRPr="001B292E">
              <w:rPr>
                <w:rFonts w:cs="Arial"/>
                <w:szCs w:val="24"/>
                <w:lang w:eastAsia="cs-CZ"/>
              </w:rPr>
              <w:t xml:space="preserve">ztráty do výše dohodnuté default </w:t>
            </w:r>
            <w:proofErr w:type="spellStart"/>
            <w:r w:rsidRPr="001B292E">
              <w:rPr>
                <w:rFonts w:cs="Arial"/>
                <w:szCs w:val="24"/>
                <w:lang w:eastAsia="cs-CZ"/>
              </w:rPr>
              <w:t>rate</w:t>
            </w:r>
            <w:proofErr w:type="spellEnd"/>
            <w:r w:rsidRPr="001B292E">
              <w:rPr>
                <w:rFonts w:cs="Arial"/>
                <w:szCs w:val="24"/>
                <w:lang w:eastAsia="cs-CZ"/>
              </w:rPr>
              <w:t xml:space="preserve"> jsou </w:t>
            </w:r>
            <w:r w:rsidR="00F51F6F">
              <w:rPr>
                <w:rFonts w:cs="Arial"/>
                <w:szCs w:val="24"/>
                <w:lang w:eastAsia="cs-CZ"/>
              </w:rPr>
              <w:t>(při splnění podmínek dle kap. 5.2.3.</w:t>
            </w:r>
            <w:r w:rsidR="00D94881">
              <w:rPr>
                <w:rFonts w:cs="Arial"/>
                <w:szCs w:val="24"/>
                <w:lang w:eastAsia="cs-CZ"/>
              </w:rPr>
              <w:t xml:space="preserve"> této přílohy a podmínek daných článkem 6 odst. 3 Prováděcího nařízení – specifikováno v příloze 5 článek 3</w:t>
            </w:r>
            <w:r w:rsidR="00F51F6F">
              <w:rPr>
                <w:rFonts w:cs="Arial"/>
                <w:szCs w:val="24"/>
                <w:lang w:eastAsia="cs-CZ"/>
              </w:rPr>
              <w:t>)</w:t>
            </w:r>
            <w:r w:rsidR="00F51F6F" w:rsidRPr="001B292E">
              <w:rPr>
                <w:rFonts w:cs="Arial"/>
                <w:szCs w:val="24"/>
                <w:lang w:eastAsia="cs-CZ"/>
              </w:rPr>
              <w:t xml:space="preserve"> </w:t>
            </w:r>
            <w:r w:rsidRPr="001B292E">
              <w:rPr>
                <w:rFonts w:cs="Arial"/>
                <w:szCs w:val="24"/>
                <w:lang w:eastAsia="cs-CZ"/>
              </w:rPr>
              <w:t>kryty ze</w:t>
            </w:r>
            <w:r>
              <w:rPr>
                <w:rFonts w:cs="Arial"/>
                <w:szCs w:val="24"/>
                <w:lang w:eastAsia="cs-CZ"/>
              </w:rPr>
              <w:t xml:space="preserve"> </w:t>
            </w:r>
            <w:r w:rsidRPr="001B292E">
              <w:rPr>
                <w:rFonts w:cs="Arial"/>
                <w:szCs w:val="24"/>
                <w:lang w:eastAsia="cs-CZ"/>
              </w:rPr>
              <w:t>100</w:t>
            </w:r>
            <w:r w:rsidR="00D040E8">
              <w:rPr>
                <w:rFonts w:cs="Arial"/>
                <w:szCs w:val="24"/>
                <w:lang w:eastAsia="cs-CZ"/>
              </w:rPr>
              <w:t xml:space="preserve"> </w:t>
            </w:r>
            <w:r w:rsidRPr="001B292E">
              <w:rPr>
                <w:rFonts w:cs="Arial"/>
                <w:szCs w:val="24"/>
                <w:lang w:eastAsia="cs-CZ"/>
              </w:rPr>
              <w:t xml:space="preserve">% zdroji OPŽP, jedná se </w:t>
            </w:r>
            <w:r w:rsidR="003119C2">
              <w:rPr>
                <w:rFonts w:cs="Arial"/>
                <w:szCs w:val="24"/>
                <w:lang w:eastAsia="cs-CZ"/>
              </w:rPr>
              <w:t xml:space="preserve">tedy </w:t>
            </w:r>
            <w:r w:rsidRPr="001B292E">
              <w:rPr>
                <w:rFonts w:cs="Arial"/>
                <w:szCs w:val="24"/>
                <w:lang w:eastAsia="cs-CZ"/>
              </w:rPr>
              <w:t>o ztrátu</w:t>
            </w:r>
            <w:r w:rsidR="003119C2">
              <w:rPr>
                <w:rFonts w:cs="Arial"/>
                <w:szCs w:val="24"/>
                <w:lang w:eastAsia="cs-CZ"/>
              </w:rPr>
              <w:t xml:space="preserve"> v rámci</w:t>
            </w:r>
            <w:r w:rsidRPr="001B292E">
              <w:rPr>
                <w:rFonts w:cs="Arial"/>
                <w:szCs w:val="24"/>
                <w:lang w:eastAsia="cs-CZ"/>
              </w:rPr>
              <w:t xml:space="preserve"> </w:t>
            </w:r>
            <w:r w:rsidR="003119C2">
              <w:rPr>
                <w:rFonts w:cs="Arial"/>
                <w:szCs w:val="24"/>
                <w:lang w:eastAsia="cs-CZ"/>
              </w:rPr>
              <w:t>F</w:t>
            </w:r>
            <w:r w:rsidRPr="001B292E">
              <w:rPr>
                <w:rFonts w:cs="Arial"/>
                <w:szCs w:val="24"/>
                <w:lang w:eastAsia="cs-CZ"/>
              </w:rPr>
              <w:t xml:space="preserve">inančního nástroje, bez </w:t>
            </w:r>
            <w:r w:rsidR="003119C2">
              <w:rPr>
                <w:rFonts w:cs="Arial"/>
                <w:szCs w:val="24"/>
                <w:lang w:eastAsia="cs-CZ"/>
              </w:rPr>
              <w:t xml:space="preserve">finanční </w:t>
            </w:r>
            <w:r w:rsidRPr="001B292E">
              <w:rPr>
                <w:rFonts w:cs="Arial"/>
                <w:szCs w:val="24"/>
                <w:lang w:eastAsia="cs-CZ"/>
              </w:rPr>
              <w:t xml:space="preserve">spoluúčasti ze strany </w:t>
            </w:r>
            <w:r w:rsidR="003119C2">
              <w:rPr>
                <w:rFonts w:cs="Arial"/>
                <w:szCs w:val="24"/>
                <w:lang w:eastAsia="cs-CZ"/>
              </w:rPr>
              <w:t>S</w:t>
            </w:r>
            <w:r w:rsidRPr="001B292E">
              <w:rPr>
                <w:rFonts w:cs="Arial"/>
                <w:szCs w:val="24"/>
                <w:lang w:eastAsia="cs-CZ"/>
              </w:rPr>
              <w:t>právce</w:t>
            </w:r>
            <w:r>
              <w:rPr>
                <w:rFonts w:cs="Arial"/>
                <w:szCs w:val="24"/>
                <w:lang w:eastAsia="cs-CZ"/>
              </w:rPr>
              <w:t xml:space="preserve"> </w:t>
            </w:r>
            <w:r w:rsidR="003119C2">
              <w:rPr>
                <w:rFonts w:cs="Arial"/>
                <w:szCs w:val="24"/>
                <w:lang w:eastAsia="cs-CZ"/>
              </w:rPr>
              <w:t>finančního nástroje</w:t>
            </w:r>
            <w:r>
              <w:rPr>
                <w:rFonts w:cs="Arial"/>
                <w:szCs w:val="24"/>
                <w:lang w:eastAsia="cs-CZ"/>
              </w:rPr>
              <w:t xml:space="preserve">. </w:t>
            </w:r>
            <w:r w:rsidR="00EA3513">
              <w:rPr>
                <w:rFonts w:cs="Arial"/>
                <w:szCs w:val="24"/>
                <w:lang w:eastAsia="cs-CZ"/>
              </w:rPr>
              <w:t xml:space="preserve">Výše stanovené default </w:t>
            </w:r>
            <w:proofErr w:type="spellStart"/>
            <w:r w:rsidR="00EA3513">
              <w:rPr>
                <w:rFonts w:cs="Arial"/>
                <w:szCs w:val="24"/>
                <w:lang w:eastAsia="cs-CZ"/>
              </w:rPr>
              <w:t>rate</w:t>
            </w:r>
            <w:proofErr w:type="spellEnd"/>
            <w:r w:rsidR="00EA3513">
              <w:rPr>
                <w:rFonts w:cs="Arial"/>
                <w:szCs w:val="24"/>
                <w:lang w:eastAsia="cs-CZ"/>
              </w:rPr>
              <w:t>, která stanoví povolenou míru snížení alokace prostředků opětovně použitých v rámci Finančního nástroje, odpovídá c</w:t>
            </w:r>
            <w:r>
              <w:rPr>
                <w:rFonts w:cs="Arial"/>
                <w:szCs w:val="24"/>
                <w:lang w:eastAsia="cs-CZ"/>
              </w:rPr>
              <w:t>harakter</w:t>
            </w:r>
            <w:r w:rsidR="00EA3513">
              <w:rPr>
                <w:rFonts w:cs="Arial"/>
                <w:szCs w:val="24"/>
                <w:lang w:eastAsia="cs-CZ"/>
              </w:rPr>
              <w:t>u</w:t>
            </w:r>
            <w:r>
              <w:rPr>
                <w:rFonts w:cs="Arial"/>
                <w:szCs w:val="24"/>
                <w:lang w:eastAsia="cs-CZ"/>
              </w:rPr>
              <w:t xml:space="preserve"> projektů a typologi</w:t>
            </w:r>
            <w:r w:rsidR="00EA3513">
              <w:rPr>
                <w:rFonts w:cs="Arial"/>
                <w:szCs w:val="24"/>
                <w:lang w:eastAsia="cs-CZ"/>
              </w:rPr>
              <w:t>i</w:t>
            </w:r>
            <w:r>
              <w:rPr>
                <w:rFonts w:cs="Arial"/>
                <w:szCs w:val="24"/>
                <w:lang w:eastAsia="cs-CZ"/>
              </w:rPr>
              <w:t xml:space="preserve"> subjektů v rámci FN pro specifický cíl 3. 5. v</w:t>
            </w:r>
            <w:r w:rsidR="00D040E8">
              <w:rPr>
                <w:rFonts w:cs="Arial"/>
                <w:szCs w:val="24"/>
                <w:lang w:eastAsia="cs-CZ"/>
              </w:rPr>
              <w:t xml:space="preserve">četně dlouhodobé návratnosti – </w:t>
            </w:r>
            <w:r w:rsidR="00EA3513">
              <w:rPr>
                <w:rFonts w:cs="Arial"/>
                <w:szCs w:val="24"/>
                <w:lang w:eastAsia="cs-CZ"/>
              </w:rPr>
              <w:t xml:space="preserve">jsou zde tedy </w:t>
            </w:r>
            <w:r>
              <w:rPr>
                <w:rFonts w:cs="Arial"/>
                <w:szCs w:val="24"/>
                <w:lang w:eastAsia="cs-CZ"/>
              </w:rPr>
              <w:t>implik</w:t>
            </w:r>
            <w:r w:rsidR="00EA3513">
              <w:rPr>
                <w:rFonts w:cs="Arial"/>
                <w:szCs w:val="24"/>
                <w:lang w:eastAsia="cs-CZ"/>
              </w:rPr>
              <w:t>ována</w:t>
            </w:r>
            <w:r>
              <w:rPr>
                <w:rFonts w:cs="Arial"/>
                <w:szCs w:val="24"/>
                <w:lang w:eastAsia="cs-CZ"/>
              </w:rPr>
              <w:t xml:space="preserve"> vyšší rizika oproti standardně poskytovaným </w:t>
            </w:r>
            <w:r w:rsidR="00D66438">
              <w:rPr>
                <w:rFonts w:cs="Arial"/>
                <w:szCs w:val="24"/>
                <w:lang w:eastAsia="cs-CZ"/>
              </w:rPr>
              <w:t>zá</w:t>
            </w:r>
            <w:r>
              <w:rPr>
                <w:rFonts w:cs="Arial"/>
                <w:szCs w:val="24"/>
                <w:lang w:eastAsia="cs-CZ"/>
              </w:rPr>
              <w:t>půjčkám SFŽP.</w:t>
            </w:r>
          </w:p>
          <w:p w14:paraId="2A890B51" w14:textId="1642E1B2" w:rsidR="001B292E" w:rsidRPr="0015590D" w:rsidRDefault="001B292E" w:rsidP="00E246EF">
            <w:pPr>
              <w:spacing w:after="0"/>
              <w:rPr>
                <w:rFonts w:cs="Arial"/>
                <w:szCs w:val="24"/>
                <w:lang w:eastAsia="cs-CZ"/>
              </w:rPr>
            </w:pPr>
            <w:r w:rsidRPr="001B292E">
              <w:rPr>
                <w:rFonts w:cs="Arial"/>
                <w:szCs w:val="24"/>
                <w:lang w:eastAsia="cs-CZ"/>
              </w:rPr>
              <w:t>Výše případné ztráty z</w:t>
            </w:r>
            <w:r w:rsidR="00236D72">
              <w:rPr>
                <w:rFonts w:cs="Arial"/>
                <w:szCs w:val="24"/>
                <w:lang w:eastAsia="cs-CZ"/>
              </w:rPr>
              <w:t>e</w:t>
            </w:r>
            <w:r w:rsidRPr="001B292E">
              <w:rPr>
                <w:rFonts w:cs="Arial"/>
                <w:szCs w:val="24"/>
                <w:lang w:eastAsia="cs-CZ"/>
              </w:rPr>
              <w:t xml:space="preserve"> </w:t>
            </w:r>
            <w:r w:rsidR="00236D72">
              <w:rPr>
                <w:rFonts w:cs="Arial"/>
                <w:szCs w:val="24"/>
                <w:lang w:eastAsia="cs-CZ"/>
              </w:rPr>
              <w:t>zá</w:t>
            </w:r>
            <w:r w:rsidRPr="001B292E">
              <w:rPr>
                <w:rFonts w:cs="Arial"/>
                <w:szCs w:val="24"/>
                <w:lang w:eastAsia="cs-CZ"/>
              </w:rPr>
              <w:t>půjček FN</w:t>
            </w:r>
            <w:r w:rsidR="00EA3513">
              <w:rPr>
                <w:rFonts w:cs="Arial"/>
                <w:szCs w:val="24"/>
                <w:lang w:eastAsia="cs-CZ"/>
              </w:rPr>
              <w:t xml:space="preserve"> (</w:t>
            </w:r>
            <w:r w:rsidR="007A65C7">
              <w:rPr>
                <w:rFonts w:cs="Arial"/>
                <w:szCs w:val="24"/>
                <w:lang w:eastAsia="cs-CZ"/>
              </w:rPr>
              <w:t xml:space="preserve">stanovený </w:t>
            </w:r>
            <w:r w:rsidR="00EA3513">
              <w:rPr>
                <w:rFonts w:cs="Arial"/>
                <w:szCs w:val="24"/>
                <w:lang w:eastAsia="cs-CZ"/>
              </w:rPr>
              <w:t xml:space="preserve">default </w:t>
            </w:r>
            <w:proofErr w:type="spellStart"/>
            <w:r w:rsidR="00EA3513">
              <w:rPr>
                <w:rFonts w:cs="Arial"/>
                <w:szCs w:val="24"/>
                <w:lang w:eastAsia="cs-CZ"/>
              </w:rPr>
              <w:t>rate</w:t>
            </w:r>
            <w:proofErr w:type="spellEnd"/>
            <w:r w:rsidR="00EA3513">
              <w:rPr>
                <w:rFonts w:cs="Arial"/>
                <w:szCs w:val="24"/>
                <w:lang w:eastAsia="cs-CZ"/>
              </w:rPr>
              <w:t>)</w:t>
            </w:r>
            <w:r w:rsidRPr="001B292E">
              <w:rPr>
                <w:rFonts w:cs="Arial"/>
                <w:szCs w:val="24"/>
                <w:lang w:eastAsia="cs-CZ"/>
              </w:rPr>
              <w:t xml:space="preserve"> odepsaná k tíži prostředků </w:t>
            </w:r>
            <w:r>
              <w:rPr>
                <w:rFonts w:cs="Arial"/>
                <w:szCs w:val="24"/>
                <w:lang w:eastAsia="cs-CZ"/>
              </w:rPr>
              <w:t xml:space="preserve">OPŽP </w:t>
            </w:r>
            <w:r w:rsidRPr="001B292E">
              <w:rPr>
                <w:rFonts w:cs="Arial"/>
                <w:szCs w:val="24"/>
                <w:lang w:eastAsia="cs-CZ"/>
              </w:rPr>
              <w:t>vložen</w:t>
            </w:r>
            <w:r w:rsidR="00762FF5">
              <w:rPr>
                <w:rFonts w:cs="Arial"/>
                <w:szCs w:val="24"/>
                <w:lang w:eastAsia="cs-CZ"/>
              </w:rPr>
              <w:t xml:space="preserve">ých do Fondu SC 3. 5 činí max. </w:t>
            </w:r>
            <w:r w:rsidR="00E246EF">
              <w:rPr>
                <w:rFonts w:cs="Arial"/>
                <w:szCs w:val="24"/>
                <w:lang w:eastAsia="cs-CZ"/>
              </w:rPr>
              <w:t>10</w:t>
            </w:r>
            <w:r w:rsidR="00E246EF" w:rsidRPr="001B292E">
              <w:rPr>
                <w:rFonts w:cs="Arial"/>
                <w:szCs w:val="24"/>
                <w:lang w:eastAsia="cs-CZ"/>
              </w:rPr>
              <w:t xml:space="preserve"> </w:t>
            </w:r>
            <w:r w:rsidRPr="001B292E">
              <w:rPr>
                <w:rFonts w:cs="Arial"/>
                <w:szCs w:val="24"/>
                <w:lang w:eastAsia="cs-CZ"/>
              </w:rPr>
              <w:t xml:space="preserve">% z objemu </w:t>
            </w:r>
            <w:r w:rsidR="00EA3513">
              <w:rPr>
                <w:rFonts w:cs="Arial"/>
                <w:szCs w:val="24"/>
                <w:lang w:eastAsia="cs-CZ"/>
              </w:rPr>
              <w:t>zá</w:t>
            </w:r>
            <w:r w:rsidRPr="001B292E">
              <w:rPr>
                <w:rFonts w:cs="Arial"/>
                <w:szCs w:val="24"/>
                <w:lang w:eastAsia="cs-CZ"/>
              </w:rPr>
              <w:t xml:space="preserve">půjček proplacených Konečným příjemcům. </w:t>
            </w:r>
            <w:r w:rsidR="00EA3513">
              <w:rPr>
                <w:rFonts w:cs="Arial"/>
                <w:szCs w:val="24"/>
                <w:lang w:eastAsia="cs-CZ"/>
              </w:rPr>
              <w:t>V p</w:t>
            </w:r>
            <w:r w:rsidRPr="001B292E">
              <w:rPr>
                <w:rFonts w:cs="Arial"/>
                <w:szCs w:val="24"/>
                <w:lang w:eastAsia="cs-CZ"/>
              </w:rPr>
              <w:t>řípad</w:t>
            </w:r>
            <w:r w:rsidR="00EA3513">
              <w:rPr>
                <w:rFonts w:cs="Arial"/>
                <w:szCs w:val="24"/>
                <w:lang w:eastAsia="cs-CZ"/>
              </w:rPr>
              <w:t xml:space="preserve">ě, že dojde k překročení takto stanovené default </w:t>
            </w:r>
            <w:proofErr w:type="spellStart"/>
            <w:r w:rsidR="00EA3513">
              <w:rPr>
                <w:rFonts w:cs="Arial"/>
                <w:szCs w:val="24"/>
                <w:lang w:eastAsia="cs-CZ"/>
              </w:rPr>
              <w:t>rate</w:t>
            </w:r>
            <w:proofErr w:type="spellEnd"/>
            <w:r w:rsidR="00EA3513">
              <w:rPr>
                <w:rFonts w:cs="Arial"/>
                <w:szCs w:val="24"/>
                <w:lang w:eastAsia="cs-CZ"/>
              </w:rPr>
              <w:t>,</w:t>
            </w:r>
            <w:r w:rsidRPr="001B292E">
              <w:rPr>
                <w:rFonts w:cs="Arial"/>
                <w:szCs w:val="24"/>
                <w:lang w:eastAsia="cs-CZ"/>
              </w:rPr>
              <w:t xml:space="preserve"> </w:t>
            </w:r>
            <w:r w:rsidR="00EA3513">
              <w:rPr>
                <w:rFonts w:cs="Arial"/>
                <w:szCs w:val="24"/>
                <w:lang w:eastAsia="cs-CZ"/>
              </w:rPr>
              <w:t xml:space="preserve">platí, že Ministerstvo </w:t>
            </w:r>
            <w:r w:rsidR="003F43FA">
              <w:rPr>
                <w:rFonts w:cs="Arial"/>
                <w:szCs w:val="24"/>
                <w:lang w:eastAsia="cs-CZ"/>
              </w:rPr>
              <w:t xml:space="preserve">provede analýzu </w:t>
            </w:r>
            <w:r w:rsidR="004649E1">
              <w:rPr>
                <w:rFonts w:cs="Arial"/>
                <w:szCs w:val="24"/>
                <w:lang w:eastAsia="cs-CZ"/>
              </w:rPr>
              <w:t xml:space="preserve">vzniklé situace. </w:t>
            </w:r>
          </w:p>
        </w:tc>
      </w:tr>
      <w:tr w:rsidR="00905CDA" w:rsidRPr="0015590D" w14:paraId="4CCEC2AF" w14:textId="77777777" w:rsidTr="004C7B93">
        <w:trPr>
          <w:cnfStyle w:val="000000100000" w:firstRow="0" w:lastRow="0" w:firstColumn="0" w:lastColumn="0" w:oddVBand="0" w:evenVBand="0" w:oddHBand="1"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D0F352F" w14:textId="08D5BB2B" w:rsidR="007D6EDE" w:rsidRPr="0015590D" w:rsidRDefault="007D6EDE" w:rsidP="007D6EDE">
            <w:pPr>
              <w:spacing w:after="0"/>
              <w:jc w:val="left"/>
              <w:rPr>
                <w:rFonts w:cs="Arial"/>
                <w:b/>
                <w:bCs/>
                <w:szCs w:val="24"/>
                <w:lang w:eastAsia="cs-CZ"/>
              </w:rPr>
            </w:pPr>
            <w:r w:rsidRPr="0015590D">
              <w:rPr>
                <w:rFonts w:cs="Arial"/>
                <w:b/>
                <w:bCs/>
                <w:szCs w:val="24"/>
                <w:lang w:eastAsia="cs-CZ"/>
              </w:rPr>
              <w:t xml:space="preserve"># 2 Nastavení smluvního zajištění poskytnuté </w:t>
            </w:r>
            <w:r w:rsidR="00BE1CFE">
              <w:rPr>
                <w:rFonts w:cs="Arial"/>
                <w:b/>
                <w:bCs/>
                <w:szCs w:val="24"/>
                <w:lang w:eastAsia="cs-CZ"/>
              </w:rPr>
              <w:t>zá</w:t>
            </w:r>
            <w:r w:rsidRPr="0015590D">
              <w:rPr>
                <w:rFonts w:cs="Arial"/>
                <w:b/>
                <w:bCs/>
                <w:szCs w:val="24"/>
                <w:lang w:eastAsia="cs-CZ"/>
              </w:rPr>
              <w:t>půjčky IFN zástavní práva vůči konečnému příjemci*</w:t>
            </w:r>
          </w:p>
        </w:tc>
        <w:tc>
          <w:tcPr>
            <w:tcW w:w="0" w:type="auto"/>
            <w:vAlign w:val="center"/>
            <w:hideMark/>
          </w:tcPr>
          <w:p w14:paraId="7B782FCD" w14:textId="29C9E80D" w:rsidR="007D6EDE" w:rsidRPr="0015590D" w:rsidRDefault="007D6EDE" w:rsidP="00E90A9D">
            <w:pPr>
              <w:spacing w:after="0"/>
              <w:jc w:val="center"/>
              <w:cnfStyle w:val="000000100000" w:firstRow="0" w:lastRow="0" w:firstColumn="0" w:lastColumn="0" w:oddVBand="0" w:evenVBand="0" w:oddHBand="1" w:evenHBand="0" w:firstRowFirstColumn="0" w:firstRowLastColumn="0" w:lastRowFirstColumn="0" w:lastRowLastColumn="0"/>
              <w:rPr>
                <w:rFonts w:cs="Arial"/>
                <w:szCs w:val="24"/>
                <w:lang w:eastAsia="cs-CZ"/>
              </w:rPr>
            </w:pPr>
            <w:r w:rsidRPr="0015590D">
              <w:rPr>
                <w:rFonts w:cs="Arial"/>
                <w:szCs w:val="24"/>
                <w:lang w:eastAsia="cs-CZ"/>
              </w:rPr>
              <w:t>zástava či jiné zajištění pohledávky SFŽP</w:t>
            </w:r>
          </w:p>
        </w:tc>
      </w:tr>
      <w:tr w:rsidR="007D6EDE" w:rsidRPr="0015590D" w14:paraId="76A56DB2" w14:textId="77777777" w:rsidTr="0015590D">
        <w:trPr>
          <w:cnfStyle w:val="000000010000" w:firstRow="0" w:lastRow="0" w:firstColumn="0" w:lastColumn="0" w:oddVBand="0" w:evenVBand="0" w:oddHBand="0" w:evenHBand="1"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0" w:type="auto"/>
            <w:gridSpan w:val="2"/>
            <w:hideMark/>
          </w:tcPr>
          <w:p w14:paraId="330F8D1D" w14:textId="57A92D4C" w:rsidR="007D6EDE" w:rsidRPr="0015590D" w:rsidRDefault="007D6EDE" w:rsidP="00986D1C">
            <w:pPr>
              <w:spacing w:after="0"/>
              <w:rPr>
                <w:szCs w:val="24"/>
                <w:lang w:eastAsia="cs-CZ"/>
              </w:rPr>
            </w:pPr>
            <w:r w:rsidRPr="0015590D">
              <w:rPr>
                <w:szCs w:val="24"/>
                <w:lang w:eastAsia="cs-CZ"/>
              </w:rPr>
              <w:t>Viz Metodick</w:t>
            </w:r>
            <w:r w:rsidR="00E90A9D">
              <w:rPr>
                <w:szCs w:val="24"/>
                <w:lang w:eastAsia="cs-CZ"/>
              </w:rPr>
              <w:t>é</w:t>
            </w:r>
            <w:r w:rsidRPr="0015590D">
              <w:rPr>
                <w:szCs w:val="24"/>
                <w:lang w:eastAsia="cs-CZ"/>
              </w:rPr>
              <w:t xml:space="preserve"> pokyn</w:t>
            </w:r>
            <w:r w:rsidR="00E90A9D">
              <w:rPr>
                <w:szCs w:val="24"/>
                <w:lang w:eastAsia="cs-CZ"/>
              </w:rPr>
              <w:t>y</w:t>
            </w:r>
            <w:r w:rsidRPr="0015590D">
              <w:rPr>
                <w:szCs w:val="24"/>
                <w:lang w:eastAsia="cs-CZ"/>
              </w:rPr>
              <w:t xml:space="preserve"> SFŽP pro zajištění pohledávek k</w:t>
            </w:r>
            <w:r w:rsidR="00E90A9D">
              <w:rPr>
                <w:szCs w:val="24"/>
                <w:lang w:eastAsia="cs-CZ"/>
              </w:rPr>
              <w:t>e</w:t>
            </w:r>
            <w:r w:rsidRPr="0015590D">
              <w:rPr>
                <w:szCs w:val="24"/>
                <w:lang w:eastAsia="cs-CZ"/>
              </w:rPr>
              <w:t xml:space="preserve"> Směrnici č. </w:t>
            </w:r>
            <w:r w:rsidR="0015590D">
              <w:rPr>
                <w:szCs w:val="24"/>
                <w:lang w:eastAsia="cs-CZ"/>
              </w:rPr>
              <w:t xml:space="preserve">8/2017. </w:t>
            </w:r>
            <w:r w:rsidRPr="0015590D">
              <w:rPr>
                <w:szCs w:val="24"/>
                <w:lang w:eastAsia="cs-CZ"/>
              </w:rPr>
              <w:t xml:space="preserve">Zajištění </w:t>
            </w:r>
            <w:r w:rsidR="00236D72">
              <w:rPr>
                <w:szCs w:val="24"/>
                <w:lang w:eastAsia="cs-CZ"/>
              </w:rPr>
              <w:t>zá</w:t>
            </w:r>
            <w:r w:rsidRPr="0015590D">
              <w:rPr>
                <w:szCs w:val="24"/>
                <w:lang w:eastAsia="cs-CZ"/>
              </w:rPr>
              <w:t xml:space="preserve">půjčky poskytnuté </w:t>
            </w:r>
            <w:r w:rsidR="00986D1C">
              <w:rPr>
                <w:szCs w:val="24"/>
                <w:lang w:eastAsia="cs-CZ"/>
              </w:rPr>
              <w:t>K</w:t>
            </w:r>
            <w:r w:rsidR="00986D1C" w:rsidRPr="0015590D">
              <w:rPr>
                <w:szCs w:val="24"/>
                <w:lang w:eastAsia="cs-CZ"/>
              </w:rPr>
              <w:t xml:space="preserve">onečnému </w:t>
            </w:r>
            <w:r w:rsidRPr="0015590D">
              <w:rPr>
                <w:szCs w:val="24"/>
                <w:lang w:eastAsia="cs-CZ"/>
              </w:rPr>
              <w:t xml:space="preserve">příjemci je vztaženo pouze vůči </w:t>
            </w:r>
            <w:r w:rsidR="0015590D">
              <w:rPr>
                <w:szCs w:val="24"/>
                <w:lang w:eastAsia="cs-CZ"/>
              </w:rPr>
              <w:t>SFŽP</w:t>
            </w:r>
            <w:r w:rsidRPr="0015590D">
              <w:rPr>
                <w:szCs w:val="24"/>
                <w:lang w:eastAsia="cs-CZ"/>
              </w:rPr>
              <w:t xml:space="preserve">. </w:t>
            </w:r>
          </w:p>
        </w:tc>
      </w:tr>
    </w:tbl>
    <w:p w14:paraId="1C46868C" w14:textId="77777777" w:rsidR="00A0194B" w:rsidRDefault="00A0194B">
      <w:pPr>
        <w:spacing w:after="200" w:line="276" w:lineRule="auto"/>
        <w:jc w:val="left"/>
      </w:pPr>
      <w:r>
        <w:br w:type="page"/>
      </w:r>
    </w:p>
    <w:tbl>
      <w:tblPr>
        <w:tblStyle w:val="Styl2"/>
        <w:tblW w:w="0" w:type="auto"/>
        <w:tblCellMar>
          <w:top w:w="113" w:type="dxa"/>
          <w:bottom w:w="113" w:type="dxa"/>
        </w:tblCellMar>
        <w:tblLook w:val="0480" w:firstRow="0" w:lastRow="0" w:firstColumn="1" w:lastColumn="0" w:noHBand="0" w:noVBand="1"/>
      </w:tblPr>
      <w:tblGrid>
        <w:gridCol w:w="7011"/>
        <w:gridCol w:w="2051"/>
      </w:tblGrid>
      <w:tr w:rsidR="00905CDA" w:rsidRPr="0015590D" w14:paraId="63551667" w14:textId="77777777" w:rsidTr="00A0194B">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5228DEE" w14:textId="065EC62E" w:rsidR="007D6EDE" w:rsidRPr="0015590D" w:rsidRDefault="007D6EDE" w:rsidP="007D6EDE">
            <w:pPr>
              <w:spacing w:after="0"/>
              <w:jc w:val="left"/>
              <w:rPr>
                <w:rFonts w:cs="Arial"/>
                <w:b/>
                <w:bCs/>
                <w:szCs w:val="24"/>
                <w:lang w:eastAsia="cs-CZ"/>
              </w:rPr>
            </w:pPr>
            <w:r w:rsidRPr="0015590D">
              <w:rPr>
                <w:rFonts w:cs="Arial"/>
                <w:b/>
                <w:bCs/>
                <w:szCs w:val="24"/>
                <w:lang w:eastAsia="cs-CZ"/>
              </w:rPr>
              <w:lastRenderedPageBreak/>
              <w:t># 3 Nastavení dělby odměny</w:t>
            </w:r>
          </w:p>
        </w:tc>
        <w:tc>
          <w:tcPr>
            <w:tcW w:w="0" w:type="auto"/>
            <w:vAlign w:val="center"/>
            <w:hideMark/>
          </w:tcPr>
          <w:p w14:paraId="49ABEAA2" w14:textId="70D8900C" w:rsidR="007D6EDE" w:rsidRPr="0015590D" w:rsidRDefault="007D6EDE" w:rsidP="007D6EDE">
            <w:pPr>
              <w:spacing w:after="0"/>
              <w:jc w:val="center"/>
              <w:cnfStyle w:val="000000100000" w:firstRow="0" w:lastRow="0" w:firstColumn="0" w:lastColumn="0" w:oddVBand="0" w:evenVBand="0" w:oddHBand="1" w:evenHBand="0" w:firstRowFirstColumn="0" w:firstRowLastColumn="0" w:lastRowFirstColumn="0" w:lastRowLastColumn="0"/>
              <w:rPr>
                <w:rFonts w:cs="Arial"/>
                <w:szCs w:val="24"/>
                <w:lang w:eastAsia="cs-CZ"/>
              </w:rPr>
            </w:pPr>
            <w:r w:rsidRPr="0015590D">
              <w:rPr>
                <w:rFonts w:cs="Arial"/>
                <w:szCs w:val="24"/>
                <w:lang w:eastAsia="cs-CZ"/>
              </w:rPr>
              <w:t>pouze SFŽP</w:t>
            </w:r>
          </w:p>
        </w:tc>
      </w:tr>
      <w:tr w:rsidR="007D6EDE" w:rsidRPr="0015590D" w14:paraId="603CA0C7" w14:textId="77777777" w:rsidTr="00A0194B">
        <w:trPr>
          <w:cnfStyle w:val="000000010000" w:firstRow="0" w:lastRow="0" w:firstColumn="0" w:lastColumn="0" w:oddVBand="0" w:evenVBand="0" w:oddHBand="0" w:evenHBand="1" w:firstRowFirstColumn="0" w:firstRowLastColumn="0" w:lastRowFirstColumn="0" w:lastRowLastColumn="0"/>
          <w:trHeight w:val="1248"/>
        </w:trPr>
        <w:tc>
          <w:tcPr>
            <w:cnfStyle w:val="001000000000" w:firstRow="0" w:lastRow="0" w:firstColumn="1" w:lastColumn="0" w:oddVBand="0" w:evenVBand="0" w:oddHBand="0" w:evenHBand="0" w:firstRowFirstColumn="0" w:firstRowLastColumn="0" w:lastRowFirstColumn="0" w:lastRowLastColumn="0"/>
            <w:tcW w:w="0" w:type="auto"/>
            <w:gridSpan w:val="2"/>
            <w:hideMark/>
          </w:tcPr>
          <w:p w14:paraId="5249472E" w14:textId="29FE83F1" w:rsidR="007D6EDE" w:rsidRPr="0015590D" w:rsidRDefault="007D6EDE" w:rsidP="0015590D">
            <w:pPr>
              <w:spacing w:after="0"/>
              <w:jc w:val="left"/>
              <w:rPr>
                <w:rFonts w:cs="Arial"/>
                <w:szCs w:val="24"/>
                <w:lang w:eastAsia="cs-CZ"/>
              </w:rPr>
            </w:pPr>
            <w:r w:rsidRPr="0015590D">
              <w:rPr>
                <w:rFonts w:cs="Arial"/>
                <w:szCs w:val="24"/>
                <w:lang w:eastAsia="cs-CZ"/>
              </w:rPr>
              <w:t xml:space="preserve">S ohledem na skutečnost, že veškerou administraci během celého životního cyklu projektu zabezpečuje </w:t>
            </w:r>
            <w:r w:rsidR="0015590D">
              <w:rPr>
                <w:rFonts w:cs="Arial"/>
                <w:szCs w:val="24"/>
                <w:lang w:eastAsia="cs-CZ"/>
              </w:rPr>
              <w:t>SFŽP</w:t>
            </w:r>
            <w:r w:rsidRPr="0015590D">
              <w:rPr>
                <w:rFonts w:cs="Arial"/>
                <w:szCs w:val="24"/>
                <w:lang w:eastAsia="cs-CZ"/>
              </w:rPr>
              <w:t>, je jediným oprávněným subjektem, který bude čerpat smluvenou odměnu.</w:t>
            </w:r>
          </w:p>
        </w:tc>
      </w:tr>
      <w:tr w:rsidR="00905CDA" w:rsidRPr="0015590D" w14:paraId="43FD2233" w14:textId="77777777" w:rsidTr="00A0194B">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160DFB1" w14:textId="643DAD9D" w:rsidR="007D6EDE" w:rsidRPr="0015590D" w:rsidRDefault="007D6EDE" w:rsidP="007D6EDE">
            <w:pPr>
              <w:spacing w:after="0"/>
              <w:jc w:val="left"/>
              <w:rPr>
                <w:rFonts w:cs="Arial"/>
                <w:b/>
                <w:bCs/>
                <w:szCs w:val="24"/>
                <w:lang w:eastAsia="cs-CZ"/>
              </w:rPr>
            </w:pPr>
            <w:r w:rsidRPr="0015590D">
              <w:rPr>
                <w:rFonts w:cs="Arial"/>
                <w:b/>
                <w:bCs/>
                <w:szCs w:val="24"/>
                <w:lang w:eastAsia="cs-CZ"/>
              </w:rPr>
              <w:t># 4 Nastavení podílu financování OPŽP: soukromé zdroje</w:t>
            </w:r>
          </w:p>
        </w:tc>
        <w:tc>
          <w:tcPr>
            <w:tcW w:w="0" w:type="auto"/>
            <w:vAlign w:val="center"/>
            <w:hideMark/>
          </w:tcPr>
          <w:p w14:paraId="7C723235" w14:textId="5C563BC6" w:rsidR="007D6EDE" w:rsidRPr="0015590D" w:rsidRDefault="007D6EDE" w:rsidP="004649E1">
            <w:pPr>
              <w:spacing w:after="0"/>
              <w:jc w:val="center"/>
              <w:cnfStyle w:val="000000100000" w:firstRow="0" w:lastRow="0" w:firstColumn="0" w:lastColumn="0" w:oddVBand="0" w:evenVBand="0" w:oddHBand="1" w:evenHBand="0" w:firstRowFirstColumn="0" w:firstRowLastColumn="0" w:lastRowFirstColumn="0" w:lastRowLastColumn="0"/>
              <w:rPr>
                <w:rFonts w:cs="Arial"/>
                <w:szCs w:val="24"/>
                <w:lang w:eastAsia="cs-CZ"/>
              </w:rPr>
            </w:pPr>
            <w:r w:rsidRPr="0015590D">
              <w:rPr>
                <w:rFonts w:cs="Arial"/>
                <w:szCs w:val="24"/>
                <w:lang w:eastAsia="cs-CZ"/>
              </w:rPr>
              <w:t xml:space="preserve">až 65 % </w:t>
            </w:r>
            <w:r w:rsidR="00236D72">
              <w:rPr>
                <w:rFonts w:cs="Arial"/>
                <w:szCs w:val="24"/>
                <w:lang w:eastAsia="cs-CZ"/>
              </w:rPr>
              <w:t>CZV</w:t>
            </w:r>
            <w:r w:rsidR="004649E1">
              <w:rPr>
                <w:rFonts w:cs="Arial"/>
                <w:szCs w:val="24"/>
                <w:lang w:eastAsia="cs-CZ"/>
              </w:rPr>
              <w:t xml:space="preserve"> KP</w:t>
            </w:r>
          </w:p>
        </w:tc>
      </w:tr>
      <w:tr w:rsidR="007D6EDE" w:rsidRPr="0015590D" w14:paraId="209E42DB" w14:textId="77777777" w:rsidTr="00A0194B">
        <w:trPr>
          <w:cnfStyle w:val="000000010000" w:firstRow="0" w:lastRow="0" w:firstColumn="0" w:lastColumn="0" w:oddVBand="0" w:evenVBand="0" w:oddHBand="0" w:evenHBand="1"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0" w:type="auto"/>
            <w:gridSpan w:val="2"/>
            <w:hideMark/>
          </w:tcPr>
          <w:p w14:paraId="6115E926" w14:textId="22667CBA" w:rsidR="007D6EDE" w:rsidRPr="0015590D" w:rsidRDefault="007D6EDE" w:rsidP="007D6EDE">
            <w:pPr>
              <w:spacing w:after="0"/>
              <w:jc w:val="left"/>
              <w:rPr>
                <w:rFonts w:cs="Arial"/>
                <w:szCs w:val="24"/>
                <w:lang w:eastAsia="cs-CZ"/>
              </w:rPr>
            </w:pPr>
            <w:r w:rsidRPr="0015590D">
              <w:rPr>
                <w:rFonts w:cs="Arial"/>
                <w:szCs w:val="24"/>
                <w:lang w:eastAsia="cs-CZ"/>
              </w:rPr>
              <w:t>Výsledná míra podílu financování bude předur</w:t>
            </w:r>
            <w:r w:rsidR="00D040E8">
              <w:rPr>
                <w:rFonts w:cs="Arial"/>
                <w:szCs w:val="24"/>
                <w:lang w:eastAsia="cs-CZ"/>
              </w:rPr>
              <w:t>čena především mírou poptávky.</w:t>
            </w:r>
          </w:p>
        </w:tc>
      </w:tr>
    </w:tbl>
    <w:p w14:paraId="77E072B7" w14:textId="77777777" w:rsidR="007D6EDE" w:rsidRPr="004F3788" w:rsidRDefault="007D6EDE" w:rsidP="007D6EDE">
      <w:pPr>
        <w:pStyle w:val="Nadpis1"/>
        <w:keepLines w:val="0"/>
        <w:spacing w:before="360" w:after="360" w:line="240" w:lineRule="auto"/>
        <w:jc w:val="left"/>
      </w:pPr>
      <w:bookmarkStart w:id="0" w:name="_Toc436903093"/>
      <w:r w:rsidRPr="004F3788">
        <w:t>Schematické znázornění procesního fungování nástroje</w:t>
      </w:r>
      <w:bookmarkEnd w:id="0"/>
    </w:p>
    <w:p w14:paraId="2EC31104" w14:textId="569A04B0" w:rsidR="004F16BE" w:rsidRDefault="007D6EDE" w:rsidP="0040588C">
      <w:r w:rsidRPr="00E86EE6">
        <w:t>Dle výsledků ex-ante analýzy byla doporučena implementační varianta, počítající s jedním kontaktním místem pro žadatele, a to Státním fondem životního prostředí. SFŽP má dlouhodobé zkušenosti s poskytováním zvýhodněných úvěrů z národních zdrojů, má krajské pobočky ve všech krajích ČR a současně je zprostředkujícím subjektem pro dotační formu podporu OPŽP. Pro vytvoření žádoucího pákového efektu je kalkulováno se zapojením vlastních zdrojů žadatele včetně prostředků od bankovních subjektů a národních dotačních prostředků SFŽP. Státní fond životního prostředí v rámci budované implementační struktury vystupuje jako správce finančního nástroje.</w:t>
      </w:r>
    </w:p>
    <w:p w14:paraId="76271382" w14:textId="36958E21" w:rsidR="0040588C" w:rsidRDefault="0040588C" w:rsidP="0040588C">
      <w:pPr>
        <w:pStyle w:val="Titulek"/>
      </w:pPr>
      <w:r>
        <w:t xml:space="preserve">Obrázek </w:t>
      </w:r>
      <w:fldSimple w:instr=" SEQ Obrázek \* ARABIC ">
        <w:r w:rsidR="00A0194B">
          <w:rPr>
            <w:noProof/>
          </w:rPr>
          <w:t>1</w:t>
        </w:r>
      </w:fldSimple>
      <w:r>
        <w:t xml:space="preserve">: </w:t>
      </w:r>
      <w:r w:rsidRPr="00D10FB8">
        <w:t>Schéma implementační struktury</w:t>
      </w:r>
    </w:p>
    <w:p w14:paraId="75657D8D" w14:textId="1E6BAF3C" w:rsidR="007D6EDE" w:rsidRPr="007D6EDE" w:rsidRDefault="0040588C" w:rsidP="00D040E8">
      <w:pPr>
        <w:pStyle w:val="Nadpis2"/>
      </w:pPr>
      <w:r>
        <w:rPr>
          <w:noProof/>
          <w:lang w:eastAsia="cs-CZ"/>
        </w:rPr>
        <w:drawing>
          <wp:anchor distT="0" distB="0" distL="114300" distR="114300" simplePos="0" relativeHeight="251658240" behindDoc="0" locked="0" layoutInCell="1" allowOverlap="1" wp14:anchorId="55E16399" wp14:editId="4EB204B7">
            <wp:simplePos x="0" y="0"/>
            <wp:positionH relativeFrom="margin">
              <wp:align>center</wp:align>
            </wp:positionH>
            <wp:positionV relativeFrom="paragraph">
              <wp:posOffset>-1905</wp:posOffset>
            </wp:positionV>
            <wp:extent cx="5010150" cy="1590675"/>
            <wp:effectExtent l="0" t="0" r="0" b="9525"/>
            <wp:wrapTopAndBottom/>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chéma.jpg"/>
                    <pic:cNvPicPr/>
                  </pic:nvPicPr>
                  <pic:blipFill>
                    <a:blip r:embed="rId8">
                      <a:extLst>
                        <a:ext uri="{28A0092B-C50C-407E-A947-70E740481C1C}">
                          <a14:useLocalDpi xmlns:a14="http://schemas.microsoft.com/office/drawing/2010/main" val="0"/>
                        </a:ext>
                      </a:extLst>
                    </a:blip>
                    <a:stretch>
                      <a:fillRect/>
                    </a:stretch>
                  </pic:blipFill>
                  <pic:spPr>
                    <a:xfrm>
                      <a:off x="0" y="0"/>
                      <a:ext cx="5010150" cy="1590675"/>
                    </a:xfrm>
                    <a:prstGeom prst="rect">
                      <a:avLst/>
                    </a:prstGeom>
                  </pic:spPr>
                </pic:pic>
              </a:graphicData>
            </a:graphic>
            <wp14:sizeRelH relativeFrom="page">
              <wp14:pctWidth>0</wp14:pctWidth>
            </wp14:sizeRelH>
            <wp14:sizeRelV relativeFrom="page">
              <wp14:pctHeight>0</wp14:pctHeight>
            </wp14:sizeRelV>
          </wp:anchor>
        </w:drawing>
      </w:r>
      <w:r w:rsidR="007D6EDE" w:rsidRPr="007D6EDE">
        <w:t>Příjem projektů</w:t>
      </w:r>
    </w:p>
    <w:p w14:paraId="6EE6A1D5" w14:textId="30BFA65F" w:rsidR="00A0123D" w:rsidRPr="00E8383A" w:rsidRDefault="00A0123D" w:rsidP="00A0123D">
      <w:r w:rsidRPr="00E8383A">
        <w:t>Pro konzultaci projektových záměrů a jejich souladu s pravidly výzvy a OPŽP je pro žadatele k dispozici všech 14 krajských pracovišť SFŽP a centrála SFŽP. Samotné podání a kont</w:t>
      </w:r>
      <w:r w:rsidR="0015590D">
        <w:t xml:space="preserve">roly </w:t>
      </w:r>
      <w:r w:rsidR="0015590D">
        <w:lastRenderedPageBreak/>
        <w:t xml:space="preserve">společné žádosti o </w:t>
      </w:r>
      <w:r w:rsidR="00A5350A">
        <w:t>zá</w:t>
      </w:r>
      <w:r w:rsidR="0015590D">
        <w:t xml:space="preserve">půjčku </w:t>
      </w:r>
      <w:r w:rsidR="00A5350A">
        <w:t xml:space="preserve">v rámci </w:t>
      </w:r>
      <w:r w:rsidRPr="00E8383A">
        <w:t xml:space="preserve">FN a dotaci SFŽP probíhá elektronickou formou – v rámci prostředí </w:t>
      </w:r>
      <w:r w:rsidR="00CB23C1">
        <w:t xml:space="preserve">IFN </w:t>
      </w:r>
      <w:proofErr w:type="spellStart"/>
      <w:r w:rsidR="00CB23C1">
        <w:t>Central</w:t>
      </w:r>
      <w:proofErr w:type="spellEnd"/>
      <w:r w:rsidRPr="00E8383A">
        <w:t xml:space="preserve"> / </w:t>
      </w:r>
      <w:proofErr w:type="spellStart"/>
      <w:r w:rsidR="00CB23C1">
        <w:t>Benefill</w:t>
      </w:r>
      <w:proofErr w:type="spellEnd"/>
      <w:r w:rsidR="0040588C">
        <w:t>.</w:t>
      </w:r>
    </w:p>
    <w:p w14:paraId="10310648" w14:textId="77777777" w:rsidR="00A0123D" w:rsidRPr="00A0123D" w:rsidRDefault="00A0123D" w:rsidP="00A0123D">
      <w:pPr>
        <w:pStyle w:val="Nadpis2"/>
      </w:pPr>
      <w:r w:rsidRPr="00A0123D">
        <w:t>Hodnocení projektů a úvěrové způsobilosti a ratingu žadatele</w:t>
      </w:r>
    </w:p>
    <w:p w14:paraId="43CABC91" w14:textId="0DCB4FFE" w:rsidR="00A0123D" w:rsidRPr="00E8383A" w:rsidRDefault="00A0123D" w:rsidP="00A0123D">
      <w:r w:rsidRPr="00E8383A">
        <w:t>U přijatých žádostí je standardně hodnocena formální, specifická a věcná přijatelnost, následně je provedeno ekonomické prověření úvěrové způsobilosti a ratingu žadatele. Proces hodnocení žádosti je shodný s postupem platným pro dotační podporu OPŽP pouze s drobnými odchylkami, upravenými v aktuálně platných Závazných pokynech pro žadate</w:t>
      </w:r>
      <w:r w:rsidR="00A0194B">
        <w:t>le a </w:t>
      </w:r>
      <w:r w:rsidR="0015590D">
        <w:t>příjemce podpory v rámci  </w:t>
      </w:r>
      <w:r w:rsidRPr="00E8383A">
        <w:t>FN</w:t>
      </w:r>
      <w:r w:rsidRPr="00E8383A">
        <w:rPr>
          <w:b/>
        </w:rPr>
        <w:t xml:space="preserve"> </w:t>
      </w:r>
      <w:r w:rsidRPr="00E8383A">
        <w:t xml:space="preserve">a v konkrétní výzvě příp. její příloze. Hlavní odlišností je </w:t>
      </w:r>
      <w:r w:rsidR="0040086B">
        <w:t>odborné</w:t>
      </w:r>
      <w:r w:rsidRPr="00E8383A">
        <w:t xml:space="preserve"> hodnocení úvěrové způsobilosti a ratingu žadatele, které provádějí finanční manažeři v souladu se Sm</w:t>
      </w:r>
      <w:r w:rsidR="0015590D">
        <w:t xml:space="preserve">ěrnicí č. 8/2017. </w:t>
      </w:r>
      <w:r w:rsidRPr="00E8383A">
        <w:t>Hodnocení věcné, technické, ekonomické a ekologické relevance projektů provádí projektoví manažeři SFŽP</w:t>
      </w:r>
      <w:r w:rsidR="0040086B">
        <w:t xml:space="preserve">. Přiznání </w:t>
      </w:r>
      <w:r w:rsidRPr="00E8383A">
        <w:t>podpor</w:t>
      </w:r>
      <w:r w:rsidR="0040086B">
        <w:t>y</w:t>
      </w:r>
      <w:r w:rsidRPr="00E8383A">
        <w:t xml:space="preserve"> projektu podléhá schvalovacím procesům v reži</w:t>
      </w:r>
      <w:r w:rsidR="0015590D">
        <w:t xml:space="preserve">mu zákona </w:t>
      </w:r>
      <w:r w:rsidR="00A5350A">
        <w:t xml:space="preserve">č. </w:t>
      </w:r>
      <w:r w:rsidR="0015590D">
        <w:t>388/1991 Sb., o SFŽP</w:t>
      </w:r>
      <w:r w:rsidR="0040086B">
        <w:t>, konkretizovaným ustanoveními Směrnice MŽP č. 8/2017.</w:t>
      </w:r>
    </w:p>
    <w:p w14:paraId="332A4DBA" w14:textId="77777777" w:rsidR="00A0123D" w:rsidRPr="004F3788" w:rsidRDefault="00A0123D" w:rsidP="00A0123D">
      <w:pPr>
        <w:pStyle w:val="Nadpis1"/>
        <w:keepLines w:val="0"/>
        <w:spacing w:before="360" w:after="360" w:line="240" w:lineRule="auto"/>
        <w:jc w:val="left"/>
      </w:pPr>
      <w:bookmarkStart w:id="1" w:name="_Toc436903094"/>
      <w:r w:rsidRPr="004F3788">
        <w:t>Specifikace investiční strategie</w:t>
      </w:r>
      <w:bookmarkEnd w:id="1"/>
    </w:p>
    <w:p w14:paraId="78F4A824" w14:textId="77777777" w:rsidR="00A0123D" w:rsidRPr="004F3788" w:rsidRDefault="00A0123D" w:rsidP="00A0123D">
      <w:pPr>
        <w:pStyle w:val="Nadpis2"/>
        <w:keepLines w:val="0"/>
        <w:spacing w:before="240" w:beforeAutospacing="0" w:after="240" w:line="240" w:lineRule="auto"/>
        <w:ind w:left="576" w:hanging="576"/>
        <w:jc w:val="left"/>
      </w:pPr>
      <w:r w:rsidRPr="004F3788">
        <w:t>Cíle investiční strategie</w:t>
      </w:r>
    </w:p>
    <w:p w14:paraId="5CE36988" w14:textId="1B15AE18" w:rsidR="00A0123D" w:rsidRPr="00E8383A" w:rsidRDefault="00A0123D" w:rsidP="00262FE6">
      <w:pPr>
        <w:keepNext/>
      </w:pPr>
      <w:r w:rsidRPr="00E8383A">
        <w:t xml:space="preserve">Mezi hlavní cíle a k nim navázané nástroje </w:t>
      </w:r>
      <w:r w:rsidR="0015590D">
        <w:t>I</w:t>
      </w:r>
      <w:r w:rsidRPr="00E8383A">
        <w:t>nvestiční strategie patří:</w:t>
      </w:r>
    </w:p>
    <w:p w14:paraId="1B547B5F" w14:textId="14DC77BF" w:rsidR="00A0123D" w:rsidRPr="00262FE6" w:rsidRDefault="00A0123D" w:rsidP="00262FE6">
      <w:pPr>
        <w:pStyle w:val="Odstavecseseznamem"/>
      </w:pPr>
      <w:r w:rsidRPr="00262FE6">
        <w:t>realizace investičních záměrů v souladu se Státní politikou životního prostředí</w:t>
      </w:r>
      <w:r w:rsidR="007A65C7">
        <w:t xml:space="preserve"> ČR</w:t>
      </w:r>
      <w:r w:rsidRPr="00262FE6">
        <w:t xml:space="preserve">, které jsou za tržních podmínek obtížně financovatelné pro subjekty s omezeným přístupem k financování z bankovních zdrojů a </w:t>
      </w:r>
      <w:r w:rsidR="00236D72">
        <w:t>to zejména z důvod</w:t>
      </w:r>
      <w:r w:rsidR="007A65C7">
        <w:t>ů</w:t>
      </w:r>
      <w:r w:rsidRPr="00262FE6">
        <w:t>:</w:t>
      </w:r>
    </w:p>
    <w:p w14:paraId="130DB3BF" w14:textId="77777777" w:rsidR="00A0123D" w:rsidRPr="00262FE6" w:rsidRDefault="00A0123D" w:rsidP="00262FE6">
      <w:pPr>
        <w:pStyle w:val="Odstavecseseznamem"/>
        <w:numPr>
          <w:ilvl w:val="1"/>
          <w:numId w:val="18"/>
        </w:numPr>
      </w:pPr>
      <w:r w:rsidRPr="00262FE6">
        <w:t>snížení hodnoty rizikové přirážky v úrokové sazbě nabízeného úvěru;</w:t>
      </w:r>
    </w:p>
    <w:p w14:paraId="0FB55DC3" w14:textId="69E154B5" w:rsidR="00A0123D" w:rsidRPr="00262FE6" w:rsidRDefault="00A0123D" w:rsidP="00262FE6">
      <w:pPr>
        <w:pStyle w:val="Odstavecseseznamem"/>
        <w:numPr>
          <w:ilvl w:val="1"/>
          <w:numId w:val="18"/>
        </w:numPr>
      </w:pPr>
      <w:r w:rsidRPr="00262FE6">
        <w:t xml:space="preserve">snížení nákladů na </w:t>
      </w:r>
      <w:r w:rsidR="00634F4C">
        <w:t>zá</w:t>
      </w:r>
      <w:r w:rsidRPr="00262FE6">
        <w:t>půjčku příjemci - bez dodatečných poplatků, fixní sazba po celé splácení;</w:t>
      </w:r>
    </w:p>
    <w:p w14:paraId="3BDABE3C" w14:textId="77777777" w:rsidR="00A0123D" w:rsidRPr="00262FE6" w:rsidRDefault="00A0123D" w:rsidP="00262FE6">
      <w:pPr>
        <w:pStyle w:val="Odstavecseseznamem"/>
        <w:numPr>
          <w:ilvl w:val="1"/>
          <w:numId w:val="18"/>
        </w:numPr>
      </w:pPr>
      <w:r w:rsidRPr="00262FE6">
        <w:t>odkladu splátek, aby se příjemci projevily výsledky projektu (úspory, generované příjmy);</w:t>
      </w:r>
    </w:p>
    <w:p w14:paraId="6B93EF75" w14:textId="68EA8C96" w:rsidR="00A0123D" w:rsidRPr="00262FE6" w:rsidRDefault="00A0123D" w:rsidP="00262FE6">
      <w:pPr>
        <w:pStyle w:val="Odstavecseseznamem"/>
        <w:numPr>
          <w:ilvl w:val="1"/>
          <w:numId w:val="18"/>
        </w:numPr>
      </w:pPr>
      <w:r w:rsidRPr="00262FE6">
        <w:t>podpora nevede k disproporčním zvýhodněním jedné skupiny žadatelů oproti jiné, nebo dle typu projektu nebo dle územního zaměření</w:t>
      </w:r>
      <w:r w:rsidR="007A65C7">
        <w:t>.</w:t>
      </w:r>
    </w:p>
    <w:p w14:paraId="7C3A09CF" w14:textId="09204B29" w:rsidR="00A0123D" w:rsidRPr="00E8383A" w:rsidRDefault="00A0123D" w:rsidP="00A0123D">
      <w:r w:rsidRPr="00E8383A">
        <w:t xml:space="preserve">Správce finančního nástroje provádí důslednou úvěrovou politiku, a to zejména pokud jde </w:t>
      </w:r>
      <w:r>
        <w:t>o </w:t>
      </w:r>
      <w:r w:rsidRPr="00E8383A">
        <w:t>řízen</w:t>
      </w:r>
      <w:r w:rsidR="00CB23C1">
        <w:t xml:space="preserve">í rizik (viz příloha 5 Dohody) </w:t>
      </w:r>
      <w:r w:rsidR="0015590D">
        <w:t>v souladu s finančními zájmy a </w:t>
      </w:r>
      <w:r w:rsidRPr="00E8383A">
        <w:t>cíli řídicího orgánu. Identifikaci, výběr, hlo</w:t>
      </w:r>
      <w:r w:rsidR="0015590D">
        <w:t>ubkovou prověrku, dokumentaci a </w:t>
      </w:r>
      <w:r w:rsidRPr="00E8383A">
        <w:t xml:space="preserve">poskytování </w:t>
      </w:r>
      <w:r w:rsidR="00634F4C">
        <w:t>zá</w:t>
      </w:r>
      <w:r w:rsidRPr="00E8383A">
        <w:t xml:space="preserve">půjček </w:t>
      </w:r>
      <w:r w:rsidR="00236D72">
        <w:t>K</w:t>
      </w:r>
      <w:r w:rsidRPr="00E8383A">
        <w:t xml:space="preserve">onečným </w:t>
      </w:r>
      <w:r w:rsidRPr="00E8383A">
        <w:lastRenderedPageBreak/>
        <w:t>příjemcům provádí SFŽP v souladu se</w:t>
      </w:r>
      <w:r w:rsidR="00CB23C1">
        <w:t xml:space="preserve"> svými standardními postupy a v </w:t>
      </w:r>
      <w:r w:rsidRPr="00E8383A">
        <w:t xml:space="preserve">souladu se zásadami stanovenými v </w:t>
      </w:r>
      <w:r w:rsidR="00CB23C1">
        <w:t>Dohodě</w:t>
      </w:r>
      <w:r w:rsidRPr="00E8383A">
        <w:t>.</w:t>
      </w:r>
    </w:p>
    <w:p w14:paraId="599746BB" w14:textId="77777777" w:rsidR="00A0123D" w:rsidRPr="004F3788" w:rsidRDefault="00A0123D" w:rsidP="00A0123D">
      <w:pPr>
        <w:pStyle w:val="Nadpis2"/>
        <w:keepLines w:val="0"/>
        <w:spacing w:before="240" w:beforeAutospacing="0" w:after="240" w:line="240" w:lineRule="auto"/>
        <w:ind w:left="576" w:hanging="576"/>
        <w:jc w:val="left"/>
      </w:pPr>
      <w:r w:rsidRPr="004F3788">
        <w:t xml:space="preserve">Úvěrová politika </w:t>
      </w:r>
    </w:p>
    <w:p w14:paraId="1B814994" w14:textId="3E6437A3" w:rsidR="00A0123D" w:rsidRPr="00E8383A" w:rsidRDefault="00A0123D" w:rsidP="00A0123D">
      <w:pPr>
        <w:rPr>
          <w:b/>
        </w:rPr>
      </w:pPr>
      <w:r w:rsidRPr="00E8383A">
        <w:t xml:space="preserve">Finanční nástroj je zaměřen na podporu projektů, které jsou v souladu </w:t>
      </w:r>
      <w:r w:rsidR="00B31D53">
        <w:t xml:space="preserve">se </w:t>
      </w:r>
      <w:r w:rsidRPr="00E8383A">
        <w:t>Státní politikou životního prostředí</w:t>
      </w:r>
      <w:r w:rsidR="004649E1">
        <w:t xml:space="preserve"> ČR</w:t>
      </w:r>
      <w:r w:rsidRPr="00E8383A" w:rsidDel="00A81668">
        <w:t xml:space="preserve"> </w:t>
      </w:r>
      <w:r w:rsidRPr="00E8383A">
        <w:t xml:space="preserve">a zároveň mohou vykazovat určité tržní selhání a zároveň splní pravidla pro úvěrovou způsobilost a zajištění pohledávek stanovených SFŽP. </w:t>
      </w:r>
    </w:p>
    <w:p w14:paraId="49F07DD8" w14:textId="77777777" w:rsidR="00A0123D" w:rsidRPr="00A0123D" w:rsidRDefault="00A0123D" w:rsidP="0015590D">
      <w:pPr>
        <w:pStyle w:val="Nadpis3"/>
      </w:pPr>
      <w:r w:rsidRPr="00A0123D">
        <w:t>Stanovení ratingu žadatele a projektu</w:t>
      </w:r>
    </w:p>
    <w:p w14:paraId="2A18A176" w14:textId="36892DE1" w:rsidR="00A0123D" w:rsidRPr="00E8383A" w:rsidRDefault="00A0123D" w:rsidP="00A0123D">
      <w:r w:rsidRPr="00E8383A">
        <w:t xml:space="preserve">Oblast řízení rizik a řídící a kontrolní systém Správce finančního nástroje je nastaven dle Směrnice MŽP </w:t>
      </w:r>
      <w:r w:rsidR="0015590D">
        <w:t xml:space="preserve">č. </w:t>
      </w:r>
      <w:r w:rsidRPr="00E8383A">
        <w:t>8/2017, o poskytování podpory ze Státního</w:t>
      </w:r>
      <w:r w:rsidR="00E246EF">
        <w:t xml:space="preserve"> fondu životního prostředí ČR a </w:t>
      </w:r>
      <w:r w:rsidRPr="00E8383A">
        <w:t>Přílohy č. 5 Řízení rizik Dohody.</w:t>
      </w:r>
    </w:p>
    <w:p w14:paraId="0DF6E51E" w14:textId="2665DAE1" w:rsidR="00A0123D" w:rsidRPr="00E8383A" w:rsidRDefault="00A0123D" w:rsidP="00A0123D">
      <w:r w:rsidRPr="00E8383A">
        <w:t>Správce finančního nástroje (SFŽP ČR) je povinen se řídit zákonem č. </w:t>
      </w:r>
      <w:r w:rsidR="00262FE6">
        <w:t>388/1991 Sb., o </w:t>
      </w:r>
      <w:r w:rsidRPr="00E8383A">
        <w:t xml:space="preserve">Státním fondu životního prostředí, zákonem </w:t>
      </w:r>
      <w:r w:rsidR="00DA6593">
        <w:t xml:space="preserve">č. </w:t>
      </w:r>
      <w:r w:rsidRPr="00E8383A">
        <w:t>218/2000 Sb.</w:t>
      </w:r>
      <w:r w:rsidR="00262FE6">
        <w:t>, o rozpočtových pravidlech a o </w:t>
      </w:r>
      <w:r w:rsidRPr="00E8383A">
        <w:t>změně některých souvisejících zákonů (rozpočtová pravidla), ve znění pozdějších předpisů, dále zákonem č. 219/2000 Sb., o majetku České republiky a jejím vystupování v právních vztazích a zákonem č. 320/2001 Sb.</w:t>
      </w:r>
      <w:r w:rsidR="00DA6593">
        <w:t>,</w:t>
      </w:r>
      <w:r w:rsidRPr="00E8383A">
        <w:t xml:space="preserve"> o finanční kontrole ve veřejné správě a o změně některých zákonů, ve znění pozdějších předpisů.</w:t>
      </w:r>
    </w:p>
    <w:p w14:paraId="53C05AAE" w14:textId="36F01041" w:rsidR="00A0123D" w:rsidRPr="00E8383A" w:rsidRDefault="00A0123D" w:rsidP="00A0123D">
      <w:r w:rsidRPr="00E8383A">
        <w:t>Metody řízení úvěrového a dalších hlavních druhů rizik jsou obsaženy v Př</w:t>
      </w:r>
      <w:r w:rsidR="00CB23C1">
        <w:t>íloze č. 5 Řízení rizik Dohody</w:t>
      </w:r>
      <w:r w:rsidRPr="00E8383A">
        <w:t xml:space="preserve"> </w:t>
      </w:r>
      <w:r>
        <w:t xml:space="preserve">a </w:t>
      </w:r>
      <w:r w:rsidRPr="00E8383A">
        <w:t xml:space="preserve">jsou založeny na komplexním posouzení rizika </w:t>
      </w:r>
      <w:r w:rsidR="004649E1">
        <w:t>K</w:t>
      </w:r>
      <w:r w:rsidR="00DA6593">
        <w:t xml:space="preserve">onečného </w:t>
      </w:r>
      <w:r w:rsidRPr="00E8383A">
        <w:t xml:space="preserve">příjemce z finančního a kvalitativního hlediska s využitím vlastních pokročilých ratingových modelů za respektování klíčových požadavků kladených na standardní finanční instituce. </w:t>
      </w:r>
    </w:p>
    <w:p w14:paraId="1563BA8D" w14:textId="32AC5578" w:rsidR="00A0123D" w:rsidRPr="00E8383A" w:rsidRDefault="00A0123D" w:rsidP="00A0123D">
      <w:r w:rsidRPr="00E8383A">
        <w:t xml:space="preserve">Nedílnou součástí vyhodnocení úvěrové způsobilosti každého </w:t>
      </w:r>
      <w:r w:rsidR="00DA6593">
        <w:t>Konečného p</w:t>
      </w:r>
      <w:r w:rsidR="00DA6593" w:rsidRPr="00E8383A">
        <w:t xml:space="preserve">říjemce </w:t>
      </w:r>
      <w:r w:rsidRPr="00E8383A">
        <w:t>je posouzení následujících parametrů:</w:t>
      </w:r>
    </w:p>
    <w:p w14:paraId="2DF877EF" w14:textId="1857BDDA" w:rsidR="00A0123D" w:rsidRPr="00A0123D" w:rsidRDefault="00A0123D" w:rsidP="00A0123D">
      <w:pPr>
        <w:pStyle w:val="Odstavecseseznamem"/>
      </w:pPr>
      <w:r w:rsidRPr="00A0123D">
        <w:t xml:space="preserve">Vyhodnocení schopnosti </w:t>
      </w:r>
      <w:r w:rsidR="00DA6593">
        <w:t>Konečného p</w:t>
      </w:r>
      <w:r w:rsidR="00DA6593" w:rsidRPr="00A0123D">
        <w:t xml:space="preserve">říjemce </w:t>
      </w:r>
      <w:r w:rsidRPr="00A0123D">
        <w:t xml:space="preserve">dostát závazkům vyplývajícím z realizovaného Investičního záměru, a to zejména ve schopnosti vytvořit dostatečný zdroj ke splácení nastaveného splátkového kalendáře dle </w:t>
      </w:r>
      <w:r w:rsidR="0015590D">
        <w:t>Žádosti o </w:t>
      </w:r>
      <w:r w:rsidR="00BE1CFE">
        <w:t>zá</w:t>
      </w:r>
      <w:r w:rsidRPr="00A0123D">
        <w:t>půjčku, resp. dle Smlouvy o poskytnutí podpory.</w:t>
      </w:r>
    </w:p>
    <w:p w14:paraId="301DD4F5" w14:textId="791B2531" w:rsidR="00A0123D" w:rsidRPr="00A0123D" w:rsidRDefault="00A0123D" w:rsidP="00A0123D">
      <w:pPr>
        <w:pStyle w:val="Odstavecseseznamem"/>
      </w:pPr>
      <w:r w:rsidRPr="00A0123D">
        <w:t xml:space="preserve">Vyhodnocení a smluvní sjednání zajišťovacích instrumentů pro případ neschopnosti </w:t>
      </w:r>
      <w:r w:rsidR="00DA6593">
        <w:t>Konečného p</w:t>
      </w:r>
      <w:r w:rsidR="00DA6593" w:rsidRPr="00A0123D">
        <w:t xml:space="preserve">říjemce </w:t>
      </w:r>
      <w:r w:rsidRPr="00A0123D">
        <w:t>dostát svým závazkům vyplývajícím z realizace Investičního záměru.</w:t>
      </w:r>
    </w:p>
    <w:p w14:paraId="037F7946" w14:textId="0FAFCCE8" w:rsidR="00A0123D" w:rsidRPr="00A0123D" w:rsidRDefault="00A0123D" w:rsidP="0015590D">
      <w:pPr>
        <w:pStyle w:val="Nadpis3"/>
      </w:pPr>
      <w:r w:rsidRPr="00A0123D">
        <w:lastRenderedPageBreak/>
        <w:t>Metoda výběru způsobilých projektů dle ratingu a zajištění</w:t>
      </w:r>
    </w:p>
    <w:p w14:paraId="5A5B5AE6" w14:textId="216EB034" w:rsidR="0040588C" w:rsidRDefault="00A0123D" w:rsidP="0015590D">
      <w:pPr>
        <w:spacing w:after="0"/>
      </w:pPr>
      <w:r w:rsidRPr="00E8383A">
        <w:t xml:space="preserve">Na podkladové matici pro přepočet rizikové přirážky dle Sdělení </w:t>
      </w:r>
      <w:r w:rsidR="00B31D53">
        <w:t>K</w:t>
      </w:r>
      <w:r w:rsidRPr="00E8383A">
        <w:t>omise 2008/C 14/02 je možné ilustrovat návrh postupu úvěrové politiky SFŽP v rámci správc</w:t>
      </w:r>
      <w:r w:rsidR="0040588C">
        <w:t>ovství finančního nástroje OPŽP.</w:t>
      </w:r>
      <w:r w:rsidRPr="0040588C">
        <w:rPr>
          <w:rStyle w:val="Znakapoznpodarou"/>
          <w:sz w:val="22"/>
        </w:rPr>
        <w:footnoteReference w:id="2"/>
      </w:r>
    </w:p>
    <w:p w14:paraId="6333CC31" w14:textId="2B135A7C" w:rsidR="0040588C" w:rsidRDefault="0040588C" w:rsidP="0040588C">
      <w:pPr>
        <w:pStyle w:val="Titulek"/>
      </w:pPr>
      <w:r>
        <w:t xml:space="preserve">Tabulka </w:t>
      </w:r>
      <w:fldSimple w:instr=" SEQ Tabulka \* ARABIC ">
        <w:r w:rsidR="00A0194B">
          <w:rPr>
            <w:noProof/>
          </w:rPr>
          <w:t>4</w:t>
        </w:r>
      </w:fldSimple>
      <w:r>
        <w:t xml:space="preserve">: </w:t>
      </w:r>
      <w:r w:rsidRPr="00187376">
        <w:t>Podkladová matice pro výpočet rizikové přirážky dle Sdělení komise 2008/C 14/02</w:t>
      </w:r>
    </w:p>
    <w:tbl>
      <w:tblPr>
        <w:tblStyle w:val="Styl1"/>
        <w:tblW w:w="0" w:type="auto"/>
        <w:tblCellMar>
          <w:top w:w="113" w:type="dxa"/>
          <w:bottom w:w="113" w:type="dxa"/>
        </w:tblCellMar>
        <w:tblLook w:val="0420" w:firstRow="1" w:lastRow="0" w:firstColumn="0" w:lastColumn="0" w:noHBand="0" w:noVBand="1"/>
      </w:tblPr>
      <w:tblGrid>
        <w:gridCol w:w="3539"/>
        <w:gridCol w:w="1841"/>
        <w:gridCol w:w="1841"/>
        <w:gridCol w:w="1841"/>
      </w:tblGrid>
      <w:tr w:rsidR="00262FE6" w14:paraId="7327634A" w14:textId="77777777" w:rsidTr="0015590D">
        <w:trPr>
          <w:cnfStyle w:val="100000000000" w:firstRow="1" w:lastRow="0" w:firstColumn="0" w:lastColumn="0" w:oddVBand="0" w:evenVBand="0" w:oddHBand="0" w:evenHBand="0" w:firstRowFirstColumn="0" w:firstRowLastColumn="0" w:lastRowFirstColumn="0" w:lastRowLastColumn="0"/>
        </w:trPr>
        <w:tc>
          <w:tcPr>
            <w:tcW w:w="9062" w:type="dxa"/>
            <w:gridSpan w:val="4"/>
          </w:tcPr>
          <w:p w14:paraId="3E9848A3" w14:textId="52BEB9A6" w:rsidR="00262FE6" w:rsidRDefault="00262FE6" w:rsidP="00262FE6">
            <w:pPr>
              <w:jc w:val="center"/>
            </w:pPr>
            <w:r>
              <w:t>Úvěrové marže v základních bodech</w:t>
            </w:r>
          </w:p>
        </w:tc>
      </w:tr>
      <w:tr w:rsidR="00262FE6" w14:paraId="148554DC" w14:textId="77777777" w:rsidTr="0015590D">
        <w:tc>
          <w:tcPr>
            <w:tcW w:w="3539" w:type="dxa"/>
            <w:vMerge w:val="restart"/>
            <w:shd w:val="clear" w:color="auto" w:fill="CEE5B8"/>
            <w:vAlign w:val="center"/>
          </w:tcPr>
          <w:p w14:paraId="4918F210" w14:textId="2A3B4E80" w:rsidR="00262FE6" w:rsidRPr="00262FE6" w:rsidRDefault="00262FE6" w:rsidP="0040588C">
            <w:pPr>
              <w:jc w:val="left"/>
              <w:rPr>
                <w:b/>
              </w:rPr>
            </w:pPr>
            <w:r w:rsidRPr="00262FE6">
              <w:rPr>
                <w:b/>
              </w:rPr>
              <w:t>Ratingová kategorie</w:t>
            </w:r>
          </w:p>
        </w:tc>
        <w:tc>
          <w:tcPr>
            <w:tcW w:w="5523" w:type="dxa"/>
            <w:gridSpan w:val="3"/>
            <w:shd w:val="clear" w:color="auto" w:fill="CEE5B8"/>
            <w:vAlign w:val="center"/>
          </w:tcPr>
          <w:p w14:paraId="1796F017" w14:textId="1B0C26D5" w:rsidR="00262FE6" w:rsidRPr="00262FE6" w:rsidRDefault="00262FE6" w:rsidP="0040588C">
            <w:pPr>
              <w:jc w:val="center"/>
              <w:rPr>
                <w:b/>
              </w:rPr>
            </w:pPr>
            <w:r w:rsidRPr="00262FE6">
              <w:rPr>
                <w:b/>
              </w:rPr>
              <w:t>Zajištění</w:t>
            </w:r>
          </w:p>
        </w:tc>
      </w:tr>
      <w:tr w:rsidR="00262FE6" w14:paraId="066C515D" w14:textId="77777777" w:rsidTr="0015590D">
        <w:tc>
          <w:tcPr>
            <w:tcW w:w="3539" w:type="dxa"/>
            <w:vMerge/>
            <w:shd w:val="clear" w:color="auto" w:fill="CEE5B8"/>
          </w:tcPr>
          <w:p w14:paraId="5A153FBB" w14:textId="77777777" w:rsidR="00262FE6" w:rsidRPr="00262FE6" w:rsidRDefault="00262FE6" w:rsidP="00847D5C">
            <w:pPr>
              <w:rPr>
                <w:b/>
              </w:rPr>
            </w:pPr>
          </w:p>
        </w:tc>
        <w:tc>
          <w:tcPr>
            <w:tcW w:w="1841" w:type="dxa"/>
            <w:shd w:val="clear" w:color="auto" w:fill="CEE5B8"/>
            <w:vAlign w:val="center"/>
          </w:tcPr>
          <w:p w14:paraId="7C3AD188" w14:textId="31D6B1D0" w:rsidR="00262FE6" w:rsidRPr="00262FE6" w:rsidRDefault="00262FE6" w:rsidP="0040588C">
            <w:pPr>
              <w:jc w:val="center"/>
              <w:rPr>
                <w:b/>
              </w:rPr>
            </w:pPr>
            <w:r w:rsidRPr="00262FE6">
              <w:rPr>
                <w:b/>
              </w:rPr>
              <w:t>Vysoké</w:t>
            </w:r>
          </w:p>
        </w:tc>
        <w:tc>
          <w:tcPr>
            <w:tcW w:w="1841" w:type="dxa"/>
            <w:shd w:val="clear" w:color="auto" w:fill="CEE5B8"/>
            <w:vAlign w:val="center"/>
          </w:tcPr>
          <w:p w14:paraId="77853E1F" w14:textId="7D78262F" w:rsidR="00262FE6" w:rsidRPr="00262FE6" w:rsidRDefault="00262FE6" w:rsidP="0040588C">
            <w:pPr>
              <w:jc w:val="center"/>
              <w:rPr>
                <w:b/>
              </w:rPr>
            </w:pPr>
            <w:r w:rsidRPr="00262FE6">
              <w:rPr>
                <w:b/>
              </w:rPr>
              <w:t>Běžné</w:t>
            </w:r>
          </w:p>
        </w:tc>
        <w:tc>
          <w:tcPr>
            <w:tcW w:w="1841" w:type="dxa"/>
            <w:shd w:val="clear" w:color="auto" w:fill="CEE5B8"/>
            <w:vAlign w:val="center"/>
          </w:tcPr>
          <w:p w14:paraId="4DAD24DF" w14:textId="0A738A25" w:rsidR="00262FE6" w:rsidRPr="00262FE6" w:rsidRDefault="00262FE6" w:rsidP="0040588C">
            <w:pPr>
              <w:jc w:val="center"/>
              <w:rPr>
                <w:b/>
              </w:rPr>
            </w:pPr>
            <w:r w:rsidRPr="00262FE6">
              <w:rPr>
                <w:b/>
              </w:rPr>
              <w:t>Nízké</w:t>
            </w:r>
          </w:p>
        </w:tc>
      </w:tr>
      <w:tr w:rsidR="00262FE6" w14:paraId="57242C2E" w14:textId="77777777" w:rsidTr="0015590D">
        <w:tc>
          <w:tcPr>
            <w:tcW w:w="3539" w:type="dxa"/>
          </w:tcPr>
          <w:p w14:paraId="047A01CE" w14:textId="1C622C16" w:rsidR="00262FE6" w:rsidRPr="00262FE6" w:rsidRDefault="00262FE6" w:rsidP="00847D5C">
            <w:pPr>
              <w:rPr>
                <w:b/>
              </w:rPr>
            </w:pPr>
            <w:r w:rsidRPr="00262FE6">
              <w:rPr>
                <w:b/>
              </w:rPr>
              <w:t>Velmi dobrý (AAA – A)</w:t>
            </w:r>
          </w:p>
        </w:tc>
        <w:tc>
          <w:tcPr>
            <w:tcW w:w="1841" w:type="dxa"/>
          </w:tcPr>
          <w:p w14:paraId="57A3E4F8" w14:textId="0D8753BC" w:rsidR="00262FE6" w:rsidRDefault="00262FE6" w:rsidP="00262FE6">
            <w:pPr>
              <w:jc w:val="center"/>
            </w:pPr>
            <w:r>
              <w:t>60</w:t>
            </w:r>
          </w:p>
        </w:tc>
        <w:tc>
          <w:tcPr>
            <w:tcW w:w="1841" w:type="dxa"/>
          </w:tcPr>
          <w:p w14:paraId="4593F395" w14:textId="1BA3FFCF" w:rsidR="00262FE6" w:rsidRDefault="00262FE6" w:rsidP="00262FE6">
            <w:pPr>
              <w:jc w:val="center"/>
            </w:pPr>
            <w:r>
              <w:t>75</w:t>
            </w:r>
          </w:p>
        </w:tc>
        <w:tc>
          <w:tcPr>
            <w:tcW w:w="1841" w:type="dxa"/>
          </w:tcPr>
          <w:p w14:paraId="57F46DC6" w14:textId="7D9957A0" w:rsidR="00262FE6" w:rsidRDefault="00262FE6" w:rsidP="00262FE6">
            <w:pPr>
              <w:jc w:val="center"/>
            </w:pPr>
            <w:r>
              <w:t>100</w:t>
            </w:r>
          </w:p>
        </w:tc>
      </w:tr>
      <w:tr w:rsidR="00262FE6" w14:paraId="1ECBE5A4" w14:textId="77777777" w:rsidTr="0015590D">
        <w:tc>
          <w:tcPr>
            <w:tcW w:w="3539" w:type="dxa"/>
          </w:tcPr>
          <w:p w14:paraId="21BFC617" w14:textId="7D41F76B" w:rsidR="00262FE6" w:rsidRPr="00262FE6" w:rsidRDefault="00262FE6" w:rsidP="00847D5C">
            <w:pPr>
              <w:rPr>
                <w:b/>
              </w:rPr>
            </w:pPr>
            <w:r w:rsidRPr="00262FE6">
              <w:rPr>
                <w:b/>
              </w:rPr>
              <w:t>Dobrý (BBB)</w:t>
            </w:r>
          </w:p>
        </w:tc>
        <w:tc>
          <w:tcPr>
            <w:tcW w:w="1841" w:type="dxa"/>
          </w:tcPr>
          <w:p w14:paraId="551F30FA" w14:textId="7EC39480" w:rsidR="00262FE6" w:rsidRDefault="00262FE6" w:rsidP="00262FE6">
            <w:pPr>
              <w:jc w:val="center"/>
            </w:pPr>
            <w:r>
              <w:t>75</w:t>
            </w:r>
          </w:p>
        </w:tc>
        <w:tc>
          <w:tcPr>
            <w:tcW w:w="1841" w:type="dxa"/>
          </w:tcPr>
          <w:p w14:paraId="28A6D1BF" w14:textId="3024EA9D" w:rsidR="00262FE6" w:rsidRDefault="00262FE6" w:rsidP="00262FE6">
            <w:pPr>
              <w:jc w:val="center"/>
            </w:pPr>
            <w:r>
              <w:t>100</w:t>
            </w:r>
          </w:p>
        </w:tc>
        <w:tc>
          <w:tcPr>
            <w:tcW w:w="1841" w:type="dxa"/>
          </w:tcPr>
          <w:p w14:paraId="22C94795" w14:textId="1349431C" w:rsidR="00262FE6" w:rsidRDefault="00262FE6" w:rsidP="00262FE6">
            <w:pPr>
              <w:jc w:val="center"/>
            </w:pPr>
            <w:r>
              <w:t>220</w:t>
            </w:r>
          </w:p>
        </w:tc>
      </w:tr>
      <w:tr w:rsidR="00262FE6" w14:paraId="648824BC" w14:textId="77777777" w:rsidTr="0015590D">
        <w:tc>
          <w:tcPr>
            <w:tcW w:w="3539" w:type="dxa"/>
          </w:tcPr>
          <w:p w14:paraId="0F357523" w14:textId="66BDC33F" w:rsidR="00262FE6" w:rsidRPr="00262FE6" w:rsidRDefault="00262FE6" w:rsidP="00847D5C">
            <w:pPr>
              <w:rPr>
                <w:b/>
              </w:rPr>
            </w:pPr>
            <w:r w:rsidRPr="00262FE6">
              <w:rPr>
                <w:b/>
              </w:rPr>
              <w:t>Uspokojivý (BB)</w:t>
            </w:r>
          </w:p>
        </w:tc>
        <w:tc>
          <w:tcPr>
            <w:tcW w:w="1841" w:type="dxa"/>
          </w:tcPr>
          <w:p w14:paraId="10DB67CE" w14:textId="7CA033E1" w:rsidR="00262FE6" w:rsidRDefault="00262FE6" w:rsidP="00262FE6">
            <w:pPr>
              <w:jc w:val="center"/>
            </w:pPr>
            <w:r>
              <w:t>100</w:t>
            </w:r>
          </w:p>
        </w:tc>
        <w:tc>
          <w:tcPr>
            <w:tcW w:w="1841" w:type="dxa"/>
          </w:tcPr>
          <w:p w14:paraId="4C2A0421" w14:textId="35A1BED6" w:rsidR="00262FE6" w:rsidRDefault="00262FE6" w:rsidP="00262FE6">
            <w:pPr>
              <w:jc w:val="center"/>
            </w:pPr>
            <w:r>
              <w:t>220</w:t>
            </w:r>
          </w:p>
        </w:tc>
        <w:tc>
          <w:tcPr>
            <w:tcW w:w="1841" w:type="dxa"/>
          </w:tcPr>
          <w:p w14:paraId="02ED4BF8" w14:textId="0A52B2A3" w:rsidR="00262FE6" w:rsidRDefault="00262FE6" w:rsidP="00262FE6">
            <w:pPr>
              <w:jc w:val="center"/>
            </w:pPr>
            <w:r>
              <w:t>400</w:t>
            </w:r>
          </w:p>
        </w:tc>
      </w:tr>
      <w:tr w:rsidR="00262FE6" w14:paraId="29A44B4C" w14:textId="77777777" w:rsidTr="0015590D">
        <w:tc>
          <w:tcPr>
            <w:tcW w:w="3539" w:type="dxa"/>
          </w:tcPr>
          <w:p w14:paraId="55F6309E" w14:textId="18F84000" w:rsidR="00262FE6" w:rsidRPr="00262FE6" w:rsidRDefault="00262FE6" w:rsidP="00847D5C">
            <w:pPr>
              <w:rPr>
                <w:b/>
              </w:rPr>
            </w:pPr>
            <w:r w:rsidRPr="00262FE6">
              <w:rPr>
                <w:b/>
              </w:rPr>
              <w:t>Slabý (B)</w:t>
            </w:r>
          </w:p>
        </w:tc>
        <w:tc>
          <w:tcPr>
            <w:tcW w:w="1841" w:type="dxa"/>
          </w:tcPr>
          <w:p w14:paraId="60B3F297" w14:textId="28F32D1C" w:rsidR="00262FE6" w:rsidRDefault="00262FE6" w:rsidP="00262FE6">
            <w:pPr>
              <w:jc w:val="center"/>
            </w:pPr>
            <w:r>
              <w:t>220</w:t>
            </w:r>
          </w:p>
        </w:tc>
        <w:tc>
          <w:tcPr>
            <w:tcW w:w="1841" w:type="dxa"/>
          </w:tcPr>
          <w:p w14:paraId="726E78D9" w14:textId="1922D9C2" w:rsidR="00262FE6" w:rsidRDefault="00262FE6" w:rsidP="00262FE6">
            <w:pPr>
              <w:jc w:val="center"/>
            </w:pPr>
            <w:r>
              <w:t>400</w:t>
            </w:r>
          </w:p>
        </w:tc>
        <w:tc>
          <w:tcPr>
            <w:tcW w:w="1841" w:type="dxa"/>
          </w:tcPr>
          <w:p w14:paraId="131F0F8D" w14:textId="219BBB08" w:rsidR="00262FE6" w:rsidRDefault="00262FE6" w:rsidP="00262FE6">
            <w:pPr>
              <w:jc w:val="center"/>
            </w:pPr>
            <w:r>
              <w:t>650</w:t>
            </w:r>
          </w:p>
        </w:tc>
      </w:tr>
      <w:tr w:rsidR="00262FE6" w14:paraId="50F0553A" w14:textId="77777777" w:rsidTr="0015590D">
        <w:trPr>
          <w:trHeight w:val="531"/>
        </w:trPr>
        <w:tc>
          <w:tcPr>
            <w:tcW w:w="3539" w:type="dxa"/>
          </w:tcPr>
          <w:p w14:paraId="1EE9697E" w14:textId="06BBFA00" w:rsidR="00262FE6" w:rsidRPr="00262FE6" w:rsidRDefault="00262FE6" w:rsidP="00262FE6">
            <w:pPr>
              <w:jc w:val="left"/>
              <w:rPr>
                <w:b/>
              </w:rPr>
            </w:pPr>
            <w:r w:rsidRPr="00262FE6">
              <w:rPr>
                <w:b/>
              </w:rPr>
              <w:t>Špatný/Finanční obtíže (CCC a níže)</w:t>
            </w:r>
          </w:p>
        </w:tc>
        <w:tc>
          <w:tcPr>
            <w:tcW w:w="1841" w:type="dxa"/>
          </w:tcPr>
          <w:p w14:paraId="7B80DA2A" w14:textId="361097F1" w:rsidR="00262FE6" w:rsidRDefault="00262FE6" w:rsidP="00262FE6">
            <w:pPr>
              <w:jc w:val="center"/>
            </w:pPr>
            <w:r>
              <w:t>400</w:t>
            </w:r>
          </w:p>
        </w:tc>
        <w:tc>
          <w:tcPr>
            <w:tcW w:w="1841" w:type="dxa"/>
          </w:tcPr>
          <w:p w14:paraId="193E83D5" w14:textId="69089BED" w:rsidR="00262FE6" w:rsidRDefault="00262FE6" w:rsidP="00262FE6">
            <w:pPr>
              <w:jc w:val="center"/>
            </w:pPr>
            <w:r>
              <w:t>650</w:t>
            </w:r>
          </w:p>
        </w:tc>
        <w:tc>
          <w:tcPr>
            <w:tcW w:w="1841" w:type="dxa"/>
          </w:tcPr>
          <w:p w14:paraId="0E543E8D" w14:textId="6E62F500" w:rsidR="00262FE6" w:rsidRDefault="00262FE6" w:rsidP="00262FE6">
            <w:pPr>
              <w:jc w:val="center"/>
            </w:pPr>
            <w:r>
              <w:t>1 000</w:t>
            </w:r>
          </w:p>
        </w:tc>
      </w:tr>
    </w:tbl>
    <w:p w14:paraId="0BD69FCE" w14:textId="3F6C1ADF" w:rsidR="0040588C" w:rsidRPr="00B07795" w:rsidRDefault="0040588C" w:rsidP="0040588C">
      <w:pPr>
        <w:spacing w:before="360"/>
      </w:pPr>
      <w:r w:rsidRPr="00E8383A">
        <w:t xml:space="preserve">Provedení finančního ratingu a vyhodnocení míry zajištění nabízené </w:t>
      </w:r>
      <w:r w:rsidR="00367787">
        <w:t>zá</w:t>
      </w:r>
      <w:r w:rsidRPr="00E8383A">
        <w:t xml:space="preserve">půjčky provádí SFŽP v souladu se svými standardy stanovenými </w:t>
      </w:r>
      <w:r>
        <w:t>S</w:t>
      </w:r>
      <w:r w:rsidRPr="00E8383A">
        <w:t xml:space="preserve">měrnicí MŽP </w:t>
      </w:r>
      <w:r>
        <w:t>č. 8/2017</w:t>
      </w:r>
      <w:r w:rsidRPr="00E8383A">
        <w:t xml:space="preserve"> za využ</w:t>
      </w:r>
      <w:r w:rsidR="00CB23C1">
        <w:t xml:space="preserve">ití softwarové podpory IFN </w:t>
      </w:r>
      <w:proofErr w:type="spellStart"/>
      <w:r w:rsidR="00CB23C1">
        <w:t>Bene</w:t>
      </w:r>
      <w:r w:rsidRPr="00E8383A">
        <w:t>fill</w:t>
      </w:r>
      <w:proofErr w:type="spellEnd"/>
      <w:r w:rsidRPr="00E8383A">
        <w:t xml:space="preserve"> / IFN </w:t>
      </w:r>
      <w:proofErr w:type="spellStart"/>
      <w:r w:rsidRPr="00E8383A">
        <w:t>Central</w:t>
      </w:r>
      <w:proofErr w:type="spellEnd"/>
      <w:r w:rsidRPr="00E8383A">
        <w:t>.</w:t>
      </w:r>
    </w:p>
    <w:p w14:paraId="43BD56CF" w14:textId="77777777" w:rsidR="0040588C" w:rsidRPr="00E8383A" w:rsidRDefault="0040588C" w:rsidP="0015590D">
      <w:pPr>
        <w:pStyle w:val="Nadpis3"/>
      </w:pPr>
      <w:r w:rsidRPr="00462A71">
        <w:lastRenderedPageBreak/>
        <w:t>Mechanismus řízení rizik finančního nástroje</w:t>
      </w:r>
      <w:r w:rsidRPr="004F3788">
        <w:t xml:space="preserve"> </w:t>
      </w:r>
    </w:p>
    <w:p w14:paraId="20F99E4E" w14:textId="40EE50BD" w:rsidR="00632F98" w:rsidRDefault="0040588C" w:rsidP="0040588C">
      <w:r w:rsidRPr="00E8383A">
        <w:t xml:space="preserve">Správce finančního nástroje má definovánu strategii řízení rizik, která je zpřístupněna všem zaměstnancům zabývajícím se problematikou finančních nástrojů. </w:t>
      </w:r>
      <w:r w:rsidR="004649E1">
        <w:t>V rámci ř</w:t>
      </w:r>
      <w:r w:rsidRPr="00E8383A">
        <w:t>ízení rizik správce finančního nástroje respektuje klíčové požadavky kladené na standardní finanční instituce</w:t>
      </w:r>
      <w:r>
        <w:t xml:space="preserve">. </w:t>
      </w:r>
    </w:p>
    <w:p w14:paraId="07859FCF" w14:textId="4E98FCDD" w:rsidR="006C1B89" w:rsidRDefault="00632F98" w:rsidP="0040588C">
      <w:pPr>
        <w:rPr>
          <w:rFonts w:cs="Arial"/>
          <w:szCs w:val="24"/>
          <w:lang w:eastAsia="cs-CZ"/>
        </w:rPr>
      </w:pPr>
      <w:r w:rsidRPr="00E767F4">
        <w:rPr>
          <w:rFonts w:cs="Arial"/>
          <w:szCs w:val="24"/>
          <w:lang w:eastAsia="cs-CZ"/>
        </w:rPr>
        <w:t>Výše povolené ztráty z</w:t>
      </w:r>
      <w:r w:rsidR="00367787">
        <w:rPr>
          <w:rFonts w:cs="Arial"/>
          <w:szCs w:val="24"/>
          <w:lang w:eastAsia="cs-CZ"/>
        </w:rPr>
        <w:t>e</w:t>
      </w:r>
      <w:r w:rsidRPr="00E767F4">
        <w:rPr>
          <w:rFonts w:cs="Arial"/>
          <w:szCs w:val="24"/>
          <w:lang w:eastAsia="cs-CZ"/>
        </w:rPr>
        <w:t xml:space="preserve"> </w:t>
      </w:r>
      <w:r w:rsidR="00367787">
        <w:rPr>
          <w:rFonts w:cs="Arial"/>
          <w:szCs w:val="24"/>
          <w:lang w:eastAsia="cs-CZ"/>
        </w:rPr>
        <w:t>zá</w:t>
      </w:r>
      <w:r w:rsidRPr="00E767F4">
        <w:rPr>
          <w:rFonts w:cs="Arial"/>
          <w:szCs w:val="24"/>
          <w:lang w:eastAsia="cs-CZ"/>
        </w:rPr>
        <w:t>půjček FN odepsaná k tíži pros</w:t>
      </w:r>
      <w:r w:rsidR="00D040E8">
        <w:rPr>
          <w:rFonts w:cs="Arial"/>
          <w:szCs w:val="24"/>
          <w:lang w:eastAsia="cs-CZ"/>
        </w:rPr>
        <w:t>tředků vložených do Fondu SC 3.</w:t>
      </w:r>
      <w:r w:rsidRPr="00E767F4">
        <w:rPr>
          <w:rFonts w:cs="Arial"/>
          <w:szCs w:val="24"/>
          <w:lang w:eastAsia="cs-CZ"/>
        </w:rPr>
        <w:t>5</w:t>
      </w:r>
      <w:r w:rsidR="00A13D50">
        <w:rPr>
          <w:rFonts w:cs="Arial"/>
          <w:szCs w:val="24"/>
          <w:lang w:eastAsia="cs-CZ"/>
        </w:rPr>
        <w:t xml:space="preserve">, </w:t>
      </w:r>
      <w:r w:rsidR="004649E1">
        <w:rPr>
          <w:rFonts w:cs="Arial"/>
          <w:szCs w:val="24"/>
          <w:lang w:eastAsia="cs-CZ"/>
        </w:rPr>
        <w:t xml:space="preserve">která </w:t>
      </w:r>
      <w:r w:rsidR="00A13D50">
        <w:rPr>
          <w:rFonts w:cs="Arial"/>
          <w:szCs w:val="24"/>
          <w:lang w:eastAsia="cs-CZ"/>
        </w:rPr>
        <w:t>odpovídá podmínkám uvedeným v následujícím odstavci,</w:t>
      </w:r>
      <w:r w:rsidR="004F6051" w:rsidRPr="00E767F4">
        <w:rPr>
          <w:rFonts w:cs="Arial"/>
          <w:szCs w:val="24"/>
          <w:lang w:eastAsia="cs-CZ"/>
        </w:rPr>
        <w:t xml:space="preserve"> </w:t>
      </w:r>
      <w:r w:rsidR="00E767F4" w:rsidRPr="00E767F4">
        <w:rPr>
          <w:rFonts w:cs="Arial"/>
          <w:szCs w:val="24"/>
          <w:lang w:eastAsia="cs-CZ"/>
        </w:rPr>
        <w:t>je</w:t>
      </w:r>
      <w:r w:rsidRPr="00E767F4">
        <w:rPr>
          <w:rFonts w:cs="Arial"/>
          <w:szCs w:val="24"/>
          <w:lang w:eastAsia="cs-CZ"/>
        </w:rPr>
        <w:t xml:space="preserve"> stanovena na </w:t>
      </w:r>
      <w:r w:rsidR="00317014">
        <w:rPr>
          <w:rFonts w:cs="Arial"/>
          <w:szCs w:val="24"/>
          <w:lang w:eastAsia="cs-CZ"/>
        </w:rPr>
        <w:t>1</w:t>
      </w:r>
      <w:r w:rsidR="004F6051" w:rsidRPr="00E767F4">
        <w:rPr>
          <w:rFonts w:cs="Arial"/>
          <w:szCs w:val="24"/>
          <w:lang w:eastAsia="cs-CZ"/>
        </w:rPr>
        <w:t>0</w:t>
      </w:r>
      <w:r w:rsidRPr="00E767F4">
        <w:rPr>
          <w:rFonts w:cs="Arial"/>
          <w:szCs w:val="24"/>
          <w:lang w:eastAsia="cs-CZ"/>
        </w:rPr>
        <w:t xml:space="preserve"> % z objemu </w:t>
      </w:r>
      <w:r w:rsidR="00CA2BBB">
        <w:rPr>
          <w:rFonts w:cs="Arial"/>
          <w:szCs w:val="24"/>
          <w:lang w:eastAsia="cs-CZ"/>
        </w:rPr>
        <w:t>zá</w:t>
      </w:r>
      <w:r w:rsidRPr="00E767F4">
        <w:rPr>
          <w:rFonts w:cs="Arial"/>
          <w:szCs w:val="24"/>
          <w:lang w:eastAsia="cs-CZ"/>
        </w:rPr>
        <w:t xml:space="preserve">půjček proplacených </w:t>
      </w:r>
      <w:r w:rsidR="00E767F4">
        <w:rPr>
          <w:rFonts w:cs="Arial"/>
          <w:szCs w:val="24"/>
          <w:lang w:eastAsia="cs-CZ"/>
        </w:rPr>
        <w:t xml:space="preserve">Správcem </w:t>
      </w:r>
      <w:r w:rsidR="00CA2BBB">
        <w:rPr>
          <w:rFonts w:cs="Arial"/>
          <w:szCs w:val="24"/>
          <w:lang w:eastAsia="cs-CZ"/>
        </w:rPr>
        <w:t>finančního nástroje</w:t>
      </w:r>
      <w:r w:rsidR="00E767F4">
        <w:rPr>
          <w:rFonts w:cs="Arial"/>
          <w:szCs w:val="24"/>
          <w:lang w:eastAsia="cs-CZ"/>
        </w:rPr>
        <w:t xml:space="preserve"> na účty </w:t>
      </w:r>
      <w:r w:rsidR="00CA2BBB">
        <w:rPr>
          <w:rFonts w:cs="Arial"/>
          <w:szCs w:val="24"/>
          <w:lang w:eastAsia="cs-CZ"/>
        </w:rPr>
        <w:t>K</w:t>
      </w:r>
      <w:r w:rsidR="004F6051" w:rsidRPr="00E767F4">
        <w:rPr>
          <w:rFonts w:cs="Arial"/>
          <w:szCs w:val="24"/>
          <w:lang w:eastAsia="cs-CZ"/>
        </w:rPr>
        <w:t>onečný</w:t>
      </w:r>
      <w:r w:rsidR="00E767F4">
        <w:rPr>
          <w:rFonts w:cs="Arial"/>
          <w:szCs w:val="24"/>
          <w:lang w:eastAsia="cs-CZ"/>
        </w:rPr>
        <w:t>ch</w:t>
      </w:r>
      <w:r w:rsidR="004F6051" w:rsidRPr="00E767F4">
        <w:rPr>
          <w:rFonts w:cs="Arial"/>
          <w:szCs w:val="24"/>
          <w:lang w:eastAsia="cs-CZ"/>
        </w:rPr>
        <w:t xml:space="preserve"> </w:t>
      </w:r>
      <w:r w:rsidRPr="00E767F4">
        <w:rPr>
          <w:rFonts w:cs="Arial"/>
          <w:szCs w:val="24"/>
          <w:lang w:eastAsia="cs-CZ"/>
        </w:rPr>
        <w:t>příjemců</w:t>
      </w:r>
      <w:r w:rsidR="00D040E8">
        <w:rPr>
          <w:rFonts w:cs="Arial"/>
          <w:szCs w:val="24"/>
          <w:lang w:eastAsia="cs-CZ"/>
        </w:rPr>
        <w:t>.</w:t>
      </w:r>
      <w:bookmarkStart w:id="2" w:name="_GoBack"/>
      <w:bookmarkEnd w:id="2"/>
    </w:p>
    <w:p w14:paraId="74D1592C" w14:textId="0CB629F3" w:rsidR="006C1B89" w:rsidRDefault="00632F98" w:rsidP="0040588C">
      <w:pPr>
        <w:rPr>
          <w:rFonts w:cs="Arial"/>
          <w:szCs w:val="24"/>
          <w:lang w:eastAsia="cs-CZ"/>
        </w:rPr>
      </w:pPr>
      <w:r w:rsidRPr="00E767F4">
        <w:rPr>
          <w:rFonts w:cs="Arial"/>
          <w:szCs w:val="24"/>
          <w:lang w:eastAsia="cs-CZ"/>
        </w:rPr>
        <w:t xml:space="preserve">K  </w:t>
      </w:r>
      <w:r w:rsidR="00CA2BBB">
        <w:rPr>
          <w:rFonts w:cs="Arial"/>
          <w:szCs w:val="24"/>
          <w:lang w:eastAsia="cs-CZ"/>
        </w:rPr>
        <w:t xml:space="preserve">této </w:t>
      </w:r>
      <w:r w:rsidR="004F6051" w:rsidRPr="00E767F4">
        <w:rPr>
          <w:rFonts w:cs="Arial"/>
          <w:szCs w:val="24"/>
          <w:lang w:eastAsia="cs-CZ"/>
        </w:rPr>
        <w:t xml:space="preserve">případné </w:t>
      </w:r>
      <w:r w:rsidRPr="00E767F4">
        <w:rPr>
          <w:rFonts w:cs="Arial"/>
          <w:szCs w:val="24"/>
          <w:lang w:eastAsia="cs-CZ"/>
        </w:rPr>
        <w:t>ztrátě může dojít zejména z důvodu nesplácení závazk</w:t>
      </w:r>
      <w:r w:rsidR="00E767F4" w:rsidRPr="00E767F4">
        <w:rPr>
          <w:rFonts w:cs="Arial"/>
          <w:szCs w:val="24"/>
          <w:lang w:eastAsia="cs-CZ"/>
        </w:rPr>
        <w:t>ů</w:t>
      </w:r>
      <w:r w:rsidRPr="00E767F4">
        <w:rPr>
          <w:rFonts w:cs="Arial"/>
          <w:szCs w:val="24"/>
          <w:lang w:eastAsia="cs-CZ"/>
        </w:rPr>
        <w:t xml:space="preserve"> ze strany </w:t>
      </w:r>
      <w:r w:rsidR="00CA2BBB">
        <w:rPr>
          <w:rFonts w:cs="Arial"/>
          <w:szCs w:val="24"/>
          <w:lang w:eastAsia="cs-CZ"/>
        </w:rPr>
        <w:t>K</w:t>
      </w:r>
      <w:r w:rsidRPr="00E767F4">
        <w:rPr>
          <w:rFonts w:cs="Arial"/>
          <w:szCs w:val="24"/>
          <w:lang w:eastAsia="cs-CZ"/>
        </w:rPr>
        <w:t>onečného příjemce</w:t>
      </w:r>
      <w:r w:rsidR="00565475">
        <w:rPr>
          <w:rFonts w:cs="Arial"/>
          <w:szCs w:val="24"/>
          <w:lang w:eastAsia="cs-CZ"/>
        </w:rPr>
        <w:t xml:space="preserve"> a jiným porušením Smlouvy. </w:t>
      </w:r>
      <w:r w:rsidRPr="00E767F4">
        <w:rPr>
          <w:rFonts w:cs="Arial"/>
          <w:szCs w:val="24"/>
          <w:lang w:eastAsia="cs-CZ"/>
        </w:rPr>
        <w:t>SFŽP je povin</w:t>
      </w:r>
      <w:r w:rsidR="00E767F4" w:rsidRPr="00E767F4">
        <w:rPr>
          <w:rFonts w:cs="Arial"/>
          <w:szCs w:val="24"/>
          <w:lang w:eastAsia="cs-CZ"/>
        </w:rPr>
        <w:t>en případným</w:t>
      </w:r>
      <w:r w:rsidRPr="00E767F4">
        <w:rPr>
          <w:rFonts w:cs="Arial"/>
          <w:szCs w:val="24"/>
          <w:lang w:eastAsia="cs-CZ"/>
        </w:rPr>
        <w:t xml:space="preserve"> ztrátám předcházet </w:t>
      </w:r>
      <w:r w:rsidR="00E246EF">
        <w:rPr>
          <w:rFonts w:cs="Arial"/>
          <w:szCs w:val="24"/>
          <w:lang w:eastAsia="cs-CZ"/>
        </w:rPr>
        <w:t>a </w:t>
      </w:r>
      <w:r w:rsidR="00E767F4" w:rsidRPr="00E767F4">
        <w:rPr>
          <w:rFonts w:cs="Arial"/>
          <w:szCs w:val="24"/>
          <w:lang w:eastAsia="cs-CZ"/>
        </w:rPr>
        <w:t xml:space="preserve">vymáhat je všemi </w:t>
      </w:r>
      <w:r w:rsidRPr="00E767F4">
        <w:rPr>
          <w:rFonts w:cs="Arial"/>
          <w:szCs w:val="24"/>
          <w:lang w:eastAsia="cs-CZ"/>
        </w:rPr>
        <w:t>dostupnými prostředky</w:t>
      </w:r>
      <w:r w:rsidR="00D0777D">
        <w:rPr>
          <w:rFonts w:cs="Arial"/>
          <w:szCs w:val="24"/>
          <w:lang w:eastAsia="cs-CZ"/>
        </w:rPr>
        <w:t xml:space="preserve"> v souladu s Nařízením EK č. 480 /2014, čl. 6, bod 3.</w:t>
      </w:r>
      <w:r w:rsidRPr="00E767F4">
        <w:rPr>
          <w:rFonts w:cs="Arial"/>
          <w:szCs w:val="24"/>
          <w:lang w:eastAsia="cs-CZ"/>
        </w:rPr>
        <w:t xml:space="preserve"> Při splnění t</w:t>
      </w:r>
      <w:r w:rsidR="006C1B89">
        <w:rPr>
          <w:rFonts w:cs="Arial"/>
          <w:szCs w:val="24"/>
          <w:lang w:eastAsia="cs-CZ"/>
        </w:rPr>
        <w:t xml:space="preserve">ěchto </w:t>
      </w:r>
      <w:r w:rsidRPr="00E767F4">
        <w:rPr>
          <w:rFonts w:cs="Arial"/>
          <w:szCs w:val="24"/>
          <w:lang w:eastAsia="cs-CZ"/>
        </w:rPr>
        <w:t>podmín</w:t>
      </w:r>
      <w:r w:rsidR="006C1B89">
        <w:rPr>
          <w:rFonts w:cs="Arial"/>
          <w:szCs w:val="24"/>
          <w:lang w:eastAsia="cs-CZ"/>
        </w:rPr>
        <w:t>e</w:t>
      </w:r>
      <w:r w:rsidRPr="00E767F4">
        <w:rPr>
          <w:rFonts w:cs="Arial"/>
          <w:szCs w:val="24"/>
          <w:lang w:eastAsia="cs-CZ"/>
        </w:rPr>
        <w:t xml:space="preserve">k je </w:t>
      </w:r>
      <w:r w:rsidR="006C1B89">
        <w:rPr>
          <w:rFonts w:cs="Arial"/>
          <w:szCs w:val="24"/>
          <w:lang w:eastAsia="cs-CZ"/>
        </w:rPr>
        <w:t xml:space="preserve">míra </w:t>
      </w:r>
      <w:r w:rsidR="002A6CA5">
        <w:rPr>
          <w:rFonts w:cs="Arial"/>
          <w:szCs w:val="24"/>
          <w:lang w:eastAsia="cs-CZ"/>
        </w:rPr>
        <w:t>povolené ztráty</w:t>
      </w:r>
      <w:r w:rsidR="002A6CA5" w:rsidRPr="00E767F4">
        <w:rPr>
          <w:rFonts w:cs="Arial"/>
          <w:szCs w:val="24"/>
          <w:lang w:eastAsia="cs-CZ"/>
        </w:rPr>
        <w:t xml:space="preserve"> </w:t>
      </w:r>
      <w:r w:rsidRPr="00E767F4">
        <w:rPr>
          <w:rFonts w:cs="Arial"/>
          <w:szCs w:val="24"/>
          <w:lang w:eastAsia="cs-CZ"/>
        </w:rPr>
        <w:t xml:space="preserve">s ohledem na charakter </w:t>
      </w:r>
      <w:r w:rsidR="006C1B89">
        <w:rPr>
          <w:rFonts w:cs="Arial"/>
          <w:szCs w:val="24"/>
          <w:lang w:eastAsia="cs-CZ"/>
        </w:rPr>
        <w:t xml:space="preserve">a rizikovost projektů </w:t>
      </w:r>
      <w:r w:rsidR="002A6CA5">
        <w:rPr>
          <w:rFonts w:cs="Arial"/>
          <w:szCs w:val="24"/>
          <w:lang w:eastAsia="cs-CZ"/>
        </w:rPr>
        <w:t>K</w:t>
      </w:r>
      <w:r w:rsidR="00367787">
        <w:rPr>
          <w:rFonts w:cs="Arial"/>
          <w:szCs w:val="24"/>
          <w:lang w:eastAsia="cs-CZ"/>
        </w:rPr>
        <w:t xml:space="preserve">onečných příjemců v rámci </w:t>
      </w:r>
      <w:r w:rsidRPr="00E767F4">
        <w:rPr>
          <w:rFonts w:cs="Arial"/>
          <w:szCs w:val="24"/>
          <w:lang w:eastAsia="cs-CZ"/>
        </w:rPr>
        <w:t>FN akceptována a tyto prostředky nejsou nadále ve FN využity</w:t>
      </w:r>
      <w:r w:rsidR="006C1B89">
        <w:rPr>
          <w:rFonts w:cs="Arial"/>
          <w:szCs w:val="24"/>
          <w:lang w:eastAsia="cs-CZ"/>
        </w:rPr>
        <w:t xml:space="preserve"> a nejsou </w:t>
      </w:r>
      <w:r w:rsidR="00CA2BBB">
        <w:rPr>
          <w:rFonts w:cs="Arial"/>
          <w:szCs w:val="24"/>
          <w:lang w:eastAsia="cs-CZ"/>
        </w:rPr>
        <w:t xml:space="preserve">tak </w:t>
      </w:r>
      <w:r w:rsidR="006C1B89">
        <w:rPr>
          <w:rFonts w:cs="Arial"/>
          <w:szCs w:val="24"/>
          <w:lang w:eastAsia="cs-CZ"/>
        </w:rPr>
        <w:t xml:space="preserve">řešeny v režimu </w:t>
      </w:r>
      <w:r w:rsidR="00CA2BBB">
        <w:rPr>
          <w:rFonts w:cs="Arial"/>
          <w:szCs w:val="24"/>
          <w:lang w:eastAsia="cs-CZ"/>
        </w:rPr>
        <w:t>N</w:t>
      </w:r>
      <w:r w:rsidRPr="00E767F4">
        <w:rPr>
          <w:rFonts w:cs="Arial"/>
          <w:szCs w:val="24"/>
          <w:lang w:eastAsia="cs-CZ"/>
        </w:rPr>
        <w:t>esrovnalost</w:t>
      </w:r>
      <w:r w:rsidR="006C1B89">
        <w:rPr>
          <w:rFonts w:cs="Arial"/>
          <w:szCs w:val="24"/>
          <w:lang w:eastAsia="cs-CZ"/>
        </w:rPr>
        <w:t>í</w:t>
      </w:r>
      <w:r w:rsidR="00565475">
        <w:rPr>
          <w:rFonts w:cs="Arial"/>
          <w:szCs w:val="24"/>
          <w:lang w:eastAsia="cs-CZ"/>
        </w:rPr>
        <w:t xml:space="preserve"> v období způsobilosti výdajů OPŽP</w:t>
      </w:r>
      <w:r w:rsidR="006C1B89">
        <w:rPr>
          <w:rFonts w:cs="Arial"/>
          <w:szCs w:val="24"/>
          <w:lang w:eastAsia="cs-CZ"/>
        </w:rPr>
        <w:t xml:space="preserve">, ani </w:t>
      </w:r>
      <w:r w:rsidR="00565475">
        <w:rPr>
          <w:rFonts w:cs="Arial"/>
          <w:szCs w:val="24"/>
          <w:lang w:eastAsia="cs-CZ"/>
        </w:rPr>
        <w:t xml:space="preserve">nebudou </w:t>
      </w:r>
      <w:r w:rsidR="006C1B89">
        <w:rPr>
          <w:rFonts w:cs="Arial"/>
          <w:szCs w:val="24"/>
          <w:lang w:eastAsia="cs-CZ"/>
        </w:rPr>
        <w:t xml:space="preserve">vyjmuty </w:t>
      </w:r>
      <w:r w:rsidRPr="00E767F4">
        <w:rPr>
          <w:rFonts w:cs="Arial"/>
          <w:szCs w:val="24"/>
          <w:lang w:eastAsia="cs-CZ"/>
        </w:rPr>
        <w:t>z již certifikovaných prostředků</w:t>
      </w:r>
      <w:r w:rsidR="00CA2BBB">
        <w:rPr>
          <w:rFonts w:cs="Arial"/>
          <w:szCs w:val="24"/>
          <w:lang w:eastAsia="cs-CZ"/>
        </w:rPr>
        <w:t xml:space="preserve"> v rámci</w:t>
      </w:r>
      <w:r w:rsidR="00565475">
        <w:rPr>
          <w:rFonts w:cs="Arial"/>
          <w:szCs w:val="24"/>
          <w:lang w:eastAsia="cs-CZ"/>
        </w:rPr>
        <w:t xml:space="preserve"> programu</w:t>
      </w:r>
      <w:r w:rsidR="00D040E8">
        <w:rPr>
          <w:rFonts w:cs="Arial"/>
          <w:szCs w:val="24"/>
          <w:lang w:eastAsia="cs-CZ"/>
        </w:rPr>
        <w:t>.</w:t>
      </w:r>
    </w:p>
    <w:p w14:paraId="67E4ECE3" w14:textId="0D21AA97" w:rsidR="006C1B89" w:rsidRDefault="00D040E8" w:rsidP="0040588C">
      <w:pPr>
        <w:rPr>
          <w:rFonts w:cs="Arial"/>
          <w:szCs w:val="24"/>
          <w:lang w:eastAsia="cs-CZ"/>
        </w:rPr>
      </w:pPr>
      <w:r>
        <w:rPr>
          <w:rFonts w:cs="Arial"/>
          <w:szCs w:val="24"/>
          <w:lang w:eastAsia="cs-CZ"/>
        </w:rPr>
        <w:t xml:space="preserve">Míra </w:t>
      </w:r>
      <w:r w:rsidR="002A6CA5">
        <w:rPr>
          <w:rFonts w:cs="Arial"/>
          <w:szCs w:val="24"/>
          <w:lang w:eastAsia="cs-CZ"/>
        </w:rPr>
        <w:t>povolené ztráty</w:t>
      </w:r>
      <w:r w:rsidR="002A6CA5" w:rsidRPr="00E767F4">
        <w:rPr>
          <w:rFonts w:cs="Arial"/>
          <w:szCs w:val="24"/>
          <w:lang w:eastAsia="cs-CZ"/>
        </w:rPr>
        <w:t xml:space="preserve"> </w:t>
      </w:r>
      <w:r w:rsidR="00FA0EE2" w:rsidRPr="00E767F4">
        <w:rPr>
          <w:rFonts w:cs="Arial"/>
          <w:szCs w:val="24"/>
          <w:lang w:eastAsia="cs-CZ"/>
        </w:rPr>
        <w:t xml:space="preserve">bude počítána </w:t>
      </w:r>
      <w:r w:rsidR="00986D1C">
        <w:rPr>
          <w:rFonts w:cs="Arial"/>
          <w:szCs w:val="24"/>
          <w:lang w:eastAsia="cs-CZ"/>
        </w:rPr>
        <w:t>každo</w:t>
      </w:r>
      <w:r w:rsidR="004E27DC">
        <w:rPr>
          <w:rFonts w:cs="Arial"/>
          <w:szCs w:val="24"/>
          <w:lang w:eastAsia="cs-CZ"/>
        </w:rPr>
        <w:t xml:space="preserve">ročně </w:t>
      </w:r>
      <w:r w:rsidR="00986D1C">
        <w:rPr>
          <w:rFonts w:cs="Arial"/>
          <w:szCs w:val="24"/>
          <w:lang w:eastAsia="cs-CZ"/>
        </w:rPr>
        <w:t xml:space="preserve">a </w:t>
      </w:r>
      <w:r w:rsidR="00FA0EE2" w:rsidRPr="00E767F4">
        <w:rPr>
          <w:rFonts w:cs="Arial"/>
          <w:szCs w:val="24"/>
          <w:lang w:eastAsia="cs-CZ"/>
        </w:rPr>
        <w:t xml:space="preserve">za celé období splatnosti </w:t>
      </w:r>
      <w:r w:rsidR="00367787">
        <w:rPr>
          <w:rFonts w:cs="Arial"/>
          <w:szCs w:val="24"/>
          <w:lang w:eastAsia="cs-CZ"/>
        </w:rPr>
        <w:t>zá</w:t>
      </w:r>
      <w:r w:rsidR="00FA0EE2" w:rsidRPr="00E767F4">
        <w:rPr>
          <w:rFonts w:cs="Arial"/>
          <w:szCs w:val="24"/>
          <w:lang w:eastAsia="cs-CZ"/>
        </w:rPr>
        <w:t xml:space="preserve">půjček v 1. cyklu </w:t>
      </w:r>
      <w:r w:rsidR="006C1B89">
        <w:rPr>
          <w:rFonts w:cs="Arial"/>
          <w:szCs w:val="24"/>
          <w:lang w:eastAsia="cs-CZ"/>
        </w:rPr>
        <w:t xml:space="preserve">(tzn. z alokace 1. Výzvy IFN proplacené </w:t>
      </w:r>
      <w:r w:rsidR="0085056D">
        <w:rPr>
          <w:rFonts w:cs="Arial"/>
          <w:szCs w:val="24"/>
          <w:lang w:eastAsia="cs-CZ"/>
        </w:rPr>
        <w:t>K</w:t>
      </w:r>
      <w:r w:rsidR="006C1B89">
        <w:rPr>
          <w:rFonts w:cs="Arial"/>
          <w:szCs w:val="24"/>
          <w:lang w:eastAsia="cs-CZ"/>
        </w:rPr>
        <w:t xml:space="preserve">onečným příjemcům) </w:t>
      </w:r>
      <w:r w:rsidR="00FA0EE2" w:rsidRPr="00E767F4">
        <w:rPr>
          <w:rFonts w:cs="Arial"/>
          <w:szCs w:val="24"/>
          <w:lang w:eastAsia="cs-CZ"/>
        </w:rPr>
        <w:t>a</w:t>
      </w:r>
      <w:r w:rsidR="00A32366">
        <w:rPr>
          <w:rFonts w:cs="Arial"/>
          <w:szCs w:val="24"/>
          <w:lang w:eastAsia="cs-CZ"/>
        </w:rPr>
        <w:t xml:space="preserve"> časově</w:t>
      </w:r>
      <w:r w:rsidR="00FA0EE2" w:rsidRPr="00E767F4">
        <w:rPr>
          <w:rFonts w:cs="Arial"/>
          <w:szCs w:val="24"/>
          <w:lang w:eastAsia="cs-CZ"/>
        </w:rPr>
        <w:t xml:space="preserve"> </w:t>
      </w:r>
      <w:r w:rsidR="00986D1C">
        <w:rPr>
          <w:rFonts w:cs="Arial"/>
          <w:szCs w:val="24"/>
          <w:lang w:eastAsia="cs-CZ"/>
        </w:rPr>
        <w:t xml:space="preserve">je </w:t>
      </w:r>
      <w:r w:rsidR="00FA0EE2" w:rsidRPr="00E767F4">
        <w:rPr>
          <w:rFonts w:cs="Arial"/>
          <w:szCs w:val="24"/>
          <w:lang w:eastAsia="cs-CZ"/>
        </w:rPr>
        <w:t xml:space="preserve">ohraničena nejzazším termínem splatnosti </w:t>
      </w:r>
      <w:r w:rsidR="00367787">
        <w:rPr>
          <w:rFonts w:cs="Arial"/>
          <w:szCs w:val="24"/>
          <w:lang w:eastAsia="cs-CZ"/>
        </w:rPr>
        <w:t>zá</w:t>
      </w:r>
      <w:r w:rsidR="00FA0EE2" w:rsidRPr="00E767F4">
        <w:rPr>
          <w:rFonts w:cs="Arial"/>
          <w:szCs w:val="24"/>
          <w:lang w:eastAsia="cs-CZ"/>
        </w:rPr>
        <w:t>půjček</w:t>
      </w:r>
      <w:r w:rsidR="004E27DC">
        <w:rPr>
          <w:rFonts w:cs="Arial"/>
          <w:szCs w:val="24"/>
          <w:lang w:eastAsia="cs-CZ"/>
        </w:rPr>
        <w:t xml:space="preserve">, kdy bude </w:t>
      </w:r>
      <w:r w:rsidR="00986D1C">
        <w:rPr>
          <w:rFonts w:cs="Arial"/>
          <w:szCs w:val="24"/>
          <w:lang w:eastAsia="cs-CZ"/>
        </w:rPr>
        <w:t>vypočtena</w:t>
      </w:r>
      <w:r w:rsidR="004E27DC">
        <w:rPr>
          <w:rFonts w:cs="Arial"/>
          <w:szCs w:val="24"/>
          <w:lang w:eastAsia="cs-CZ"/>
        </w:rPr>
        <w:t xml:space="preserve"> závěrečná celková míra </w:t>
      </w:r>
      <w:r w:rsidR="0085056D">
        <w:rPr>
          <w:rFonts w:cs="Arial"/>
          <w:szCs w:val="24"/>
          <w:lang w:eastAsia="cs-CZ"/>
        </w:rPr>
        <w:t>povolené ztráty</w:t>
      </w:r>
      <w:r w:rsidR="00986D1C">
        <w:rPr>
          <w:rFonts w:cs="Arial"/>
          <w:szCs w:val="24"/>
          <w:lang w:eastAsia="cs-CZ"/>
        </w:rPr>
        <w:t xml:space="preserve">. Vymožené prostředky zpět do Fondu IFN snižují míru </w:t>
      </w:r>
      <w:r w:rsidR="0085056D">
        <w:rPr>
          <w:rFonts w:cs="Arial"/>
          <w:szCs w:val="24"/>
          <w:lang w:eastAsia="cs-CZ"/>
        </w:rPr>
        <w:t>povolené ztráty</w:t>
      </w:r>
      <w:r w:rsidR="00986D1C">
        <w:rPr>
          <w:rFonts w:cs="Arial"/>
          <w:szCs w:val="24"/>
          <w:lang w:eastAsia="cs-CZ"/>
        </w:rPr>
        <w:t>.</w:t>
      </w:r>
    </w:p>
    <w:p w14:paraId="62BF6EEF" w14:textId="216B263C" w:rsidR="00A32366" w:rsidRDefault="00A32366" w:rsidP="0040588C">
      <w:pPr>
        <w:rPr>
          <w:rFonts w:cs="Arial"/>
          <w:szCs w:val="24"/>
          <w:lang w:eastAsia="cs-CZ"/>
        </w:rPr>
      </w:pPr>
      <w:r>
        <w:rPr>
          <w:rFonts w:cs="Arial"/>
          <w:szCs w:val="24"/>
          <w:lang w:eastAsia="cs-CZ"/>
        </w:rPr>
        <w:t xml:space="preserve">Po </w:t>
      </w:r>
      <w:r w:rsidR="00F93EB1">
        <w:rPr>
          <w:rFonts w:cs="Arial"/>
          <w:szCs w:val="24"/>
          <w:lang w:eastAsia="cs-CZ"/>
        </w:rPr>
        <w:t xml:space="preserve">konečném </w:t>
      </w:r>
      <w:r>
        <w:rPr>
          <w:rFonts w:cs="Arial"/>
          <w:szCs w:val="24"/>
          <w:lang w:eastAsia="cs-CZ"/>
        </w:rPr>
        <w:t xml:space="preserve">uzavření 1. cyklu splatnosti </w:t>
      </w:r>
      <w:r w:rsidR="00C5497A">
        <w:rPr>
          <w:rFonts w:cs="Arial"/>
          <w:szCs w:val="24"/>
          <w:lang w:eastAsia="cs-CZ"/>
        </w:rPr>
        <w:t>zá</w:t>
      </w:r>
      <w:r>
        <w:rPr>
          <w:rFonts w:cs="Arial"/>
          <w:szCs w:val="24"/>
          <w:lang w:eastAsia="cs-CZ"/>
        </w:rPr>
        <w:t xml:space="preserve">půjček se prostředky </w:t>
      </w:r>
      <w:r w:rsidR="004E27DC">
        <w:rPr>
          <w:rFonts w:cs="Arial"/>
          <w:szCs w:val="24"/>
          <w:lang w:eastAsia="cs-CZ"/>
        </w:rPr>
        <w:t xml:space="preserve">vložené do Fondu SC 3.5 </w:t>
      </w:r>
      <w:r w:rsidR="00D040E8">
        <w:rPr>
          <w:rFonts w:cs="Arial"/>
          <w:szCs w:val="24"/>
          <w:lang w:eastAsia="cs-CZ"/>
        </w:rPr>
        <w:t>s</w:t>
      </w:r>
      <w:r>
        <w:rPr>
          <w:rFonts w:cs="Arial"/>
          <w:szCs w:val="24"/>
          <w:lang w:eastAsia="cs-CZ"/>
        </w:rPr>
        <w:t>távají prostředky SFŽP za těchto podmínek:</w:t>
      </w:r>
    </w:p>
    <w:p w14:paraId="5B5F9C4D" w14:textId="2C94D167" w:rsidR="004E27DC" w:rsidRDefault="00D040E8" w:rsidP="004E27DC">
      <w:pPr>
        <w:pStyle w:val="Odstavecseseznamem"/>
        <w:numPr>
          <w:ilvl w:val="0"/>
          <w:numId w:val="38"/>
        </w:numPr>
        <w:rPr>
          <w:szCs w:val="24"/>
          <w:lang w:eastAsia="cs-CZ"/>
        </w:rPr>
      </w:pPr>
      <w:r>
        <w:rPr>
          <w:szCs w:val="24"/>
          <w:lang w:eastAsia="cs-CZ"/>
        </w:rPr>
        <w:t>v</w:t>
      </w:r>
      <w:r w:rsidR="00A32366">
        <w:rPr>
          <w:szCs w:val="24"/>
          <w:lang w:eastAsia="cs-CZ"/>
        </w:rPr>
        <w:t xml:space="preserve">yčíslení celkové míry </w:t>
      </w:r>
      <w:r w:rsidR="002A6CA5">
        <w:rPr>
          <w:szCs w:val="24"/>
          <w:lang w:eastAsia="cs-CZ"/>
        </w:rPr>
        <w:t>povolené ztráty</w:t>
      </w:r>
      <w:r w:rsidR="0061707E">
        <w:rPr>
          <w:szCs w:val="24"/>
          <w:lang w:eastAsia="cs-CZ"/>
        </w:rPr>
        <w:t xml:space="preserve"> a v případě jejího překročení stanovení odpovědnosti Správce FN za vzniklou ztrátu, kontrola </w:t>
      </w:r>
      <w:r w:rsidR="00003BE5">
        <w:rPr>
          <w:szCs w:val="24"/>
          <w:lang w:eastAsia="cs-CZ"/>
        </w:rPr>
        <w:t xml:space="preserve">splnění postupu uvedeného </w:t>
      </w:r>
      <w:r w:rsidR="002A6CA5">
        <w:rPr>
          <w:szCs w:val="24"/>
          <w:lang w:eastAsia="cs-CZ"/>
        </w:rPr>
        <w:t>ve výše zmíněné analýze;</w:t>
      </w:r>
      <w:r w:rsidR="002A6CA5" w:rsidDel="002A6CA5">
        <w:rPr>
          <w:szCs w:val="24"/>
          <w:lang w:eastAsia="cs-CZ"/>
        </w:rPr>
        <w:t xml:space="preserve"> </w:t>
      </w:r>
    </w:p>
    <w:p w14:paraId="4076EA19" w14:textId="0FEF2581" w:rsidR="00D01D1E" w:rsidRPr="0074430A" w:rsidRDefault="00D01D1E" w:rsidP="004E27DC">
      <w:pPr>
        <w:pStyle w:val="Odstavecseseznamem"/>
        <w:numPr>
          <w:ilvl w:val="0"/>
          <w:numId w:val="38"/>
        </w:numPr>
        <w:rPr>
          <w:szCs w:val="24"/>
          <w:lang w:eastAsia="cs-CZ"/>
        </w:rPr>
      </w:pPr>
      <w:r>
        <w:rPr>
          <w:szCs w:val="24"/>
          <w:lang w:eastAsia="cs-CZ"/>
        </w:rPr>
        <w:t>naplnění kumulativní podmínek stanovených čl. 6 odst. 3 Prováděcího nařízení</w:t>
      </w:r>
    </w:p>
    <w:p w14:paraId="33FADF24" w14:textId="3F52AB71" w:rsidR="00F93EB1" w:rsidRDefault="00D040E8" w:rsidP="00F93EB1">
      <w:pPr>
        <w:pStyle w:val="Odstavecseseznamem"/>
        <w:numPr>
          <w:ilvl w:val="0"/>
          <w:numId w:val="38"/>
        </w:numPr>
        <w:rPr>
          <w:szCs w:val="24"/>
          <w:lang w:eastAsia="cs-CZ"/>
        </w:rPr>
      </w:pPr>
      <w:r>
        <w:rPr>
          <w:szCs w:val="24"/>
          <w:lang w:eastAsia="cs-CZ"/>
        </w:rPr>
        <w:t>f</w:t>
      </w:r>
      <w:r w:rsidR="00F93EB1" w:rsidRPr="00F93EB1">
        <w:rPr>
          <w:szCs w:val="24"/>
          <w:lang w:eastAsia="cs-CZ"/>
        </w:rPr>
        <w:t>inanční vypořádání posky</w:t>
      </w:r>
      <w:r w:rsidR="00F93EB1" w:rsidRPr="00A77F45">
        <w:rPr>
          <w:szCs w:val="24"/>
          <w:lang w:eastAsia="cs-CZ"/>
        </w:rPr>
        <w:t>tnuté dotace (</w:t>
      </w:r>
      <w:proofErr w:type="spellStart"/>
      <w:r w:rsidR="00F93EB1" w:rsidRPr="00A77F45">
        <w:rPr>
          <w:szCs w:val="24"/>
          <w:lang w:eastAsia="cs-CZ"/>
        </w:rPr>
        <w:t>RoPD</w:t>
      </w:r>
      <w:proofErr w:type="spellEnd"/>
      <w:r w:rsidR="00F93EB1" w:rsidRPr="00A77F45">
        <w:rPr>
          <w:szCs w:val="24"/>
          <w:lang w:eastAsia="cs-CZ"/>
        </w:rPr>
        <w:t>) se stá</w:t>
      </w:r>
      <w:r w:rsidR="00F32FBD">
        <w:rPr>
          <w:szCs w:val="24"/>
          <w:lang w:eastAsia="cs-CZ"/>
        </w:rPr>
        <w:t>t</w:t>
      </w:r>
      <w:r w:rsidR="00F93EB1" w:rsidRPr="00A77F45">
        <w:rPr>
          <w:szCs w:val="24"/>
          <w:lang w:eastAsia="cs-CZ"/>
        </w:rPr>
        <w:t>ním rozpočtem</w:t>
      </w:r>
      <w:r>
        <w:rPr>
          <w:szCs w:val="24"/>
          <w:lang w:eastAsia="cs-CZ"/>
        </w:rPr>
        <w:t>;</w:t>
      </w:r>
    </w:p>
    <w:p w14:paraId="2BC2F09D" w14:textId="51ED531F" w:rsidR="00C36E88" w:rsidRDefault="00D040E8" w:rsidP="00F93EB1">
      <w:pPr>
        <w:pStyle w:val="Odstavecseseznamem"/>
        <w:numPr>
          <w:ilvl w:val="0"/>
          <w:numId w:val="38"/>
        </w:numPr>
        <w:rPr>
          <w:szCs w:val="24"/>
          <w:lang w:eastAsia="cs-CZ"/>
        </w:rPr>
      </w:pPr>
      <w:r>
        <w:rPr>
          <w:szCs w:val="24"/>
          <w:lang w:eastAsia="cs-CZ"/>
        </w:rPr>
        <w:t>u</w:t>
      </w:r>
      <w:r w:rsidR="00C36E88">
        <w:rPr>
          <w:szCs w:val="24"/>
          <w:lang w:eastAsia="cs-CZ"/>
        </w:rPr>
        <w:t>končení doby způsobilosti výdajů OPŽP (31/12/20</w:t>
      </w:r>
      <w:r w:rsidR="00112EEA">
        <w:rPr>
          <w:szCs w:val="24"/>
          <w:lang w:eastAsia="cs-CZ"/>
        </w:rPr>
        <w:t>23</w:t>
      </w:r>
      <w:r w:rsidR="00C36E88">
        <w:rPr>
          <w:szCs w:val="24"/>
          <w:lang w:eastAsia="cs-CZ"/>
        </w:rPr>
        <w:t>)</w:t>
      </w:r>
      <w:r>
        <w:rPr>
          <w:szCs w:val="24"/>
          <w:lang w:eastAsia="cs-CZ"/>
        </w:rPr>
        <w:t>;</w:t>
      </w:r>
    </w:p>
    <w:p w14:paraId="6E997A5F" w14:textId="5E3F1D26" w:rsidR="00F93EB1" w:rsidRPr="00D040E8" w:rsidRDefault="00D040E8" w:rsidP="00D040E8">
      <w:pPr>
        <w:pStyle w:val="Odstavecseseznamem"/>
        <w:numPr>
          <w:ilvl w:val="0"/>
          <w:numId w:val="38"/>
        </w:numPr>
        <w:rPr>
          <w:szCs w:val="24"/>
          <w:lang w:eastAsia="cs-CZ"/>
        </w:rPr>
      </w:pPr>
      <w:r>
        <w:rPr>
          <w:szCs w:val="24"/>
          <w:lang w:eastAsia="cs-CZ"/>
        </w:rPr>
        <w:t>p</w:t>
      </w:r>
      <w:r w:rsidR="00C36E88">
        <w:rPr>
          <w:szCs w:val="24"/>
          <w:lang w:eastAsia="cs-CZ"/>
        </w:rPr>
        <w:t xml:space="preserve">o dobu minimálně 8 let </w:t>
      </w:r>
      <w:r w:rsidR="004E27DC">
        <w:rPr>
          <w:szCs w:val="24"/>
          <w:lang w:eastAsia="cs-CZ"/>
        </w:rPr>
        <w:t xml:space="preserve">od data ukončení způsobilosti výdajů OPŽP k 31/12/2023 </w:t>
      </w:r>
      <w:r w:rsidR="006E624C">
        <w:rPr>
          <w:szCs w:val="24"/>
          <w:lang w:eastAsia="cs-CZ"/>
        </w:rPr>
        <w:t xml:space="preserve">bude SFŽP </w:t>
      </w:r>
      <w:r w:rsidR="00C36E88">
        <w:rPr>
          <w:szCs w:val="24"/>
          <w:lang w:eastAsia="cs-CZ"/>
        </w:rPr>
        <w:t>využívat získané prostředky (splátky a úroky z</w:t>
      </w:r>
      <w:r w:rsidR="00C5497A">
        <w:rPr>
          <w:szCs w:val="24"/>
          <w:lang w:eastAsia="cs-CZ"/>
        </w:rPr>
        <w:t>e</w:t>
      </w:r>
      <w:r w:rsidR="00C36E88">
        <w:rPr>
          <w:szCs w:val="24"/>
          <w:lang w:eastAsia="cs-CZ"/>
        </w:rPr>
        <w:t> </w:t>
      </w:r>
      <w:r w:rsidR="00C5497A">
        <w:rPr>
          <w:szCs w:val="24"/>
          <w:lang w:eastAsia="cs-CZ"/>
        </w:rPr>
        <w:t>zá</w:t>
      </w:r>
      <w:r w:rsidR="00C36E88">
        <w:rPr>
          <w:szCs w:val="24"/>
          <w:lang w:eastAsia="cs-CZ"/>
        </w:rPr>
        <w:t>půjček, popř. další příjmy – sankce, penále apod.) v souladu s cíli programu v souladu s čl. 45 Obecného nařízení.</w:t>
      </w:r>
    </w:p>
    <w:p w14:paraId="51B82D26" w14:textId="1B8DEFEB" w:rsidR="0040588C" w:rsidRPr="00E8383A" w:rsidRDefault="0040588C" w:rsidP="00A0194B">
      <w:pPr>
        <w:keepNext/>
      </w:pPr>
      <w:r w:rsidRPr="00E8383A">
        <w:lastRenderedPageBreak/>
        <w:t>Správce finančního nástroje v souladu s uzavřenou D</w:t>
      </w:r>
      <w:r w:rsidR="00CB23C1">
        <w:t>ohodou</w:t>
      </w:r>
      <w:r w:rsidRPr="00E8383A">
        <w:t xml:space="preserve"> aplikuje metody definované Přílohou </w:t>
      </w:r>
      <w:r w:rsidR="00CB23C1">
        <w:t xml:space="preserve">č. 5 </w:t>
      </w:r>
      <w:r w:rsidRPr="00E8383A">
        <w:t>při řízen</w:t>
      </w:r>
      <w:r w:rsidR="00A0194B">
        <w:t>í následujících hlavních rizik:</w:t>
      </w:r>
    </w:p>
    <w:p w14:paraId="21A8DE80" w14:textId="77777777" w:rsidR="0040588C" w:rsidRPr="0040588C" w:rsidRDefault="0040588C" w:rsidP="0040588C">
      <w:pPr>
        <w:pStyle w:val="Odstavecseseznamem"/>
      </w:pPr>
      <w:r w:rsidRPr="0040588C">
        <w:t>úvěrové riziko (</w:t>
      </w:r>
      <w:proofErr w:type="spellStart"/>
      <w:r w:rsidRPr="0040588C">
        <w:t>credit</w:t>
      </w:r>
      <w:proofErr w:type="spellEnd"/>
      <w:r w:rsidRPr="0040588C">
        <w:t xml:space="preserve"> risk),</w:t>
      </w:r>
    </w:p>
    <w:p w14:paraId="666CAA37" w14:textId="77777777" w:rsidR="0040588C" w:rsidRPr="0040588C" w:rsidRDefault="0040588C" w:rsidP="0040588C">
      <w:pPr>
        <w:pStyle w:val="Odstavecseseznamem"/>
      </w:pPr>
      <w:r w:rsidRPr="0040588C">
        <w:t>riziko likvidity (</w:t>
      </w:r>
      <w:proofErr w:type="spellStart"/>
      <w:r w:rsidRPr="0040588C">
        <w:t>liquidity</w:t>
      </w:r>
      <w:proofErr w:type="spellEnd"/>
      <w:r w:rsidRPr="0040588C">
        <w:t xml:space="preserve"> risk),</w:t>
      </w:r>
    </w:p>
    <w:p w14:paraId="71CAF863" w14:textId="37808369" w:rsidR="0040588C" w:rsidRPr="0040588C" w:rsidRDefault="0040588C" w:rsidP="00A32366">
      <w:pPr>
        <w:pStyle w:val="Odstavecseseznamem"/>
      </w:pPr>
      <w:r w:rsidRPr="0040588C">
        <w:t>kurzové riziko (</w:t>
      </w:r>
      <w:proofErr w:type="spellStart"/>
      <w:r w:rsidRPr="0040588C">
        <w:t>exchange</w:t>
      </w:r>
      <w:proofErr w:type="spellEnd"/>
      <w:r w:rsidRPr="0040588C">
        <w:t xml:space="preserve"> </w:t>
      </w:r>
      <w:proofErr w:type="spellStart"/>
      <w:r w:rsidRPr="0040588C">
        <w:t>rate</w:t>
      </w:r>
      <w:proofErr w:type="spellEnd"/>
      <w:r w:rsidRPr="0040588C">
        <w:t xml:space="preserve"> risk)</w:t>
      </w:r>
      <w:r w:rsidR="00D040E8">
        <w:t>,</w:t>
      </w:r>
    </w:p>
    <w:p w14:paraId="12A7EA33" w14:textId="77777777" w:rsidR="0040588C" w:rsidRPr="0040588C" w:rsidRDefault="0040588C" w:rsidP="0040588C">
      <w:pPr>
        <w:pStyle w:val="Odstavecseseznamem"/>
      </w:pPr>
      <w:r w:rsidRPr="0040588C">
        <w:t>provozní riziko (</w:t>
      </w:r>
      <w:proofErr w:type="spellStart"/>
      <w:r w:rsidRPr="0040588C">
        <w:t>operation</w:t>
      </w:r>
      <w:proofErr w:type="spellEnd"/>
      <w:r w:rsidRPr="0040588C">
        <w:t xml:space="preserve"> risk),</w:t>
      </w:r>
    </w:p>
    <w:p w14:paraId="4ED0604C" w14:textId="77777777" w:rsidR="0040588C" w:rsidRPr="0040588C" w:rsidRDefault="0040588C" w:rsidP="0040588C">
      <w:pPr>
        <w:pStyle w:val="Odstavecseseznamem"/>
      </w:pPr>
      <w:r w:rsidRPr="0040588C">
        <w:t>právní riziko,</w:t>
      </w:r>
    </w:p>
    <w:p w14:paraId="2B0B1F2C" w14:textId="77777777" w:rsidR="0040588C" w:rsidRPr="0040588C" w:rsidRDefault="0040588C" w:rsidP="0040588C">
      <w:pPr>
        <w:pStyle w:val="Odstavecseseznamem"/>
      </w:pPr>
      <w:r w:rsidRPr="0040588C">
        <w:t>riziko cen nemovitostí,</w:t>
      </w:r>
    </w:p>
    <w:p w14:paraId="64B7B379" w14:textId="77777777" w:rsidR="0040588C" w:rsidRPr="0040588C" w:rsidRDefault="0040588C" w:rsidP="0040588C">
      <w:pPr>
        <w:pStyle w:val="Odstavecseseznamem"/>
      </w:pPr>
      <w:r w:rsidRPr="0040588C">
        <w:t>personální riziko,</w:t>
      </w:r>
    </w:p>
    <w:p w14:paraId="766D16A6" w14:textId="77777777" w:rsidR="0040588C" w:rsidRPr="0040588C" w:rsidRDefault="0040588C" w:rsidP="0040588C">
      <w:pPr>
        <w:pStyle w:val="Odstavecseseznamem"/>
      </w:pPr>
      <w:r w:rsidRPr="0040588C">
        <w:t>reputační riziko.</w:t>
      </w:r>
    </w:p>
    <w:p w14:paraId="520ADB82" w14:textId="77777777" w:rsidR="0040588C" w:rsidRPr="00462A71" w:rsidRDefault="0040588C" w:rsidP="0015590D">
      <w:pPr>
        <w:pStyle w:val="Nadpis3"/>
      </w:pPr>
      <w:r w:rsidRPr="00462A71">
        <w:t>Mechanismus stanovení úrokové sazby</w:t>
      </w:r>
    </w:p>
    <w:p w14:paraId="0593F826" w14:textId="567A992E" w:rsidR="0040588C" w:rsidRPr="00E8383A" w:rsidRDefault="0040588C" w:rsidP="0040588C">
      <w:r w:rsidRPr="00E8383A">
        <w:t>Finanční nástroj je navržen maximálně srozumitelně a jedn</w:t>
      </w:r>
      <w:r w:rsidR="00E246EF">
        <w:t>oduše, aby byl snadno čitelný a </w:t>
      </w:r>
      <w:r w:rsidRPr="00E8383A">
        <w:t xml:space="preserve">uchopitelný ze strany budoucích </w:t>
      </w:r>
      <w:r w:rsidR="00EB7795">
        <w:t>K</w:t>
      </w:r>
      <w:r w:rsidR="00EB7795" w:rsidRPr="00E8383A">
        <w:t xml:space="preserve">onečných </w:t>
      </w:r>
      <w:r w:rsidRPr="00E8383A">
        <w:t>příjemců. Především z uvedeného důvodu bude stanoven jednotný mechanismus stanovení úrokové sazby pro všechny způsobilé žadatele – bez ohledu na výsledky ratingu, délky splatnosti úvěru nebo dle území</w:t>
      </w:r>
      <w:r w:rsidR="001734E3">
        <w:t>, typu subjektu</w:t>
      </w:r>
      <w:r w:rsidRPr="00E8383A">
        <w:t xml:space="preserve"> či sektoru dopadu, apod.</w:t>
      </w:r>
    </w:p>
    <w:p w14:paraId="18A38F31" w14:textId="2E13EF75" w:rsidR="0040588C" w:rsidRPr="00E8383A" w:rsidRDefault="0040588C" w:rsidP="0040588C">
      <w:r w:rsidRPr="00E8383A">
        <w:t>Úroková sazba může být ve Výzvě stanovena na úrovni základní referenční sazby</w:t>
      </w:r>
      <w:r w:rsidRPr="0040588C">
        <w:rPr>
          <w:rStyle w:val="Znakapoznpodarou"/>
          <w:sz w:val="22"/>
        </w:rPr>
        <w:footnoteReference w:id="3"/>
      </w:r>
      <w:r w:rsidRPr="00E8383A">
        <w:t xml:space="preserve"> Evropské unie pro Českou republiku k 1. </w:t>
      </w:r>
      <w:r w:rsidR="007F098A">
        <w:t xml:space="preserve">srpnu </w:t>
      </w:r>
      <w:r w:rsidRPr="00E8383A">
        <w:t xml:space="preserve">2017, a to ve výši 0,45 % p. a., případně může být nastavena odlišně v souladu se Směrnicí </w:t>
      </w:r>
      <w:r>
        <w:t xml:space="preserve">č. </w:t>
      </w:r>
      <w:r w:rsidRPr="00E8383A">
        <w:t xml:space="preserve">8/2017, případně může být </w:t>
      </w:r>
      <w:r w:rsidR="00FE0341">
        <w:t>zá</w:t>
      </w:r>
      <w:r w:rsidRPr="00E8383A">
        <w:t xml:space="preserve">půjčka </w:t>
      </w:r>
      <w:r w:rsidR="00FE0341">
        <w:t xml:space="preserve">z </w:t>
      </w:r>
      <w:r w:rsidRPr="00E8383A">
        <w:t>IFN bezúročná.</w:t>
      </w:r>
    </w:p>
    <w:p w14:paraId="55B905EB" w14:textId="7FC55796" w:rsidR="0040588C" w:rsidRPr="00374818" w:rsidRDefault="0040588C" w:rsidP="0015590D">
      <w:pPr>
        <w:pStyle w:val="Nadpis3"/>
      </w:pPr>
      <w:r w:rsidRPr="00374818">
        <w:t>Mechanis</w:t>
      </w:r>
      <w:r w:rsidR="0098393C">
        <w:t xml:space="preserve">my zajištění poskytnuté </w:t>
      </w:r>
      <w:r w:rsidR="00641A2F">
        <w:t>zá</w:t>
      </w:r>
      <w:r w:rsidR="0098393C">
        <w:t xml:space="preserve">půjčky </w:t>
      </w:r>
      <w:r w:rsidRPr="00374818">
        <w:t>FN</w:t>
      </w:r>
    </w:p>
    <w:p w14:paraId="3624EE46" w14:textId="32EE76FB" w:rsidR="0040588C" w:rsidRPr="00374818" w:rsidRDefault="0040588C" w:rsidP="0040588C">
      <w:r w:rsidRPr="00374818">
        <w:t>V souladu s přílohou D</w:t>
      </w:r>
      <w:r w:rsidR="0098393C">
        <w:t>ohody</w:t>
      </w:r>
      <w:r w:rsidRPr="00374818">
        <w:t xml:space="preserve"> Řízení rizik </w:t>
      </w:r>
      <w:r w:rsidR="0098393C">
        <w:t>SFŽP</w:t>
      </w:r>
      <w:r w:rsidRPr="00374818">
        <w:t xml:space="preserve"> pro přímé zajišťování proti riziku (</w:t>
      </w:r>
      <w:proofErr w:type="spellStart"/>
      <w:r w:rsidRPr="00374818">
        <w:t>hedging</w:t>
      </w:r>
      <w:proofErr w:type="spellEnd"/>
      <w:r w:rsidRPr="00374818">
        <w:t>) realizuje:</w:t>
      </w:r>
    </w:p>
    <w:p w14:paraId="41D5CE78" w14:textId="4BD9679A" w:rsidR="0040588C" w:rsidRDefault="0040588C" w:rsidP="0040588C">
      <w:pPr>
        <w:pStyle w:val="Odstavecseseznamem"/>
      </w:pPr>
      <w:r w:rsidRPr="00374818">
        <w:t>smluvní zajišťovací instrumenty definované v Pokynech pro zajištění pohledávek, viz Metodický pokyn č. 1 ke Směrnici MŽP č. 8/2017</w:t>
      </w:r>
      <w:r>
        <w:t>;</w:t>
      </w:r>
    </w:p>
    <w:p w14:paraId="0E364B58" w14:textId="43FF2F43" w:rsidR="0040588C" w:rsidRDefault="0040588C" w:rsidP="0040588C">
      <w:pPr>
        <w:pStyle w:val="Odstavecseseznamem"/>
      </w:pPr>
      <w:r w:rsidRPr="00374818">
        <w:t>příslušná ustanovení zákona č. 218/2000 Sb.</w:t>
      </w:r>
      <w:r w:rsidR="000F7AE8">
        <w:t>,</w:t>
      </w:r>
      <w:r w:rsidRPr="00374818">
        <w:t xml:space="preserve"> o roz</w:t>
      </w:r>
      <w:r>
        <w:t>počtových pravidlech, zejména o </w:t>
      </w:r>
      <w:r w:rsidRPr="00374818">
        <w:t xml:space="preserve">spolupráci s </w:t>
      </w:r>
      <w:r w:rsidR="00CA2BBB">
        <w:t>orgány finanční správy</w:t>
      </w:r>
      <w:r w:rsidRPr="00374818">
        <w:t xml:space="preserve"> při porušení rozpočtové kázn</w:t>
      </w:r>
      <w:r>
        <w:t>ě a nesplácení závazků dlužníka;</w:t>
      </w:r>
    </w:p>
    <w:p w14:paraId="6CC2BDBB" w14:textId="60D41A3B" w:rsidR="00847D5C" w:rsidRDefault="0040588C" w:rsidP="00847D5C">
      <w:pPr>
        <w:pStyle w:val="Odstavecseseznamem"/>
      </w:pPr>
      <w:r w:rsidRPr="00374818">
        <w:lastRenderedPageBreak/>
        <w:t>ustanovení zákona č. 219/2000 Sb.</w:t>
      </w:r>
      <w:r w:rsidR="000F7AE8">
        <w:t>,</w:t>
      </w:r>
      <w:r w:rsidRPr="00374818">
        <w:t xml:space="preserve"> o majetku státu, zejména o správě státních prostředků (péče řádného hospodáře, princip 3 E) formou konzervat</w:t>
      </w:r>
      <w:r>
        <w:t>ivní správy úvěrového portfolia.</w:t>
      </w:r>
    </w:p>
    <w:p w14:paraId="29BB9CD0" w14:textId="6F2FA264" w:rsidR="0040588C" w:rsidRPr="004F3788" w:rsidRDefault="0040588C" w:rsidP="0040588C">
      <w:pPr>
        <w:pStyle w:val="Nadpis1"/>
        <w:keepLines w:val="0"/>
        <w:spacing w:before="360" w:after="360" w:line="240" w:lineRule="auto"/>
        <w:jc w:val="left"/>
      </w:pPr>
      <w:bookmarkStart w:id="3" w:name="_Toc436903095"/>
      <w:r w:rsidRPr="004F3788">
        <w:t>Mechanismus fungová</w:t>
      </w:r>
      <w:r>
        <w:t xml:space="preserve">ní FN </w:t>
      </w:r>
      <w:bookmarkEnd w:id="3"/>
    </w:p>
    <w:p w14:paraId="5855FF9B" w14:textId="674C1414" w:rsidR="0040588C" w:rsidRPr="00374818" w:rsidRDefault="0040588C" w:rsidP="0040588C">
      <w:r w:rsidRPr="00374818">
        <w:t xml:space="preserve">Finanční nástroj je navržen tak, aby byl schopen pokrýt až 100% </w:t>
      </w:r>
      <w:r w:rsidR="0085056D">
        <w:t>CZV KP</w:t>
      </w:r>
      <w:r w:rsidRPr="00374818">
        <w:t>, pokud jsou splněny všechny platné podmínky oblasti podpory s tím, že se jedná o kombinaci podpory formou:</w:t>
      </w:r>
    </w:p>
    <w:p w14:paraId="763BC468" w14:textId="77777777" w:rsidR="0040588C" w:rsidRPr="0040588C" w:rsidRDefault="0040588C" w:rsidP="0040588C">
      <w:pPr>
        <w:pStyle w:val="Odstavecseseznamem"/>
      </w:pPr>
      <w:r w:rsidRPr="0040588C">
        <w:t>dotace,</w:t>
      </w:r>
    </w:p>
    <w:p w14:paraId="6DEAC795" w14:textId="6CAB34DB" w:rsidR="0040588C" w:rsidRPr="0040588C" w:rsidRDefault="0040588C" w:rsidP="0040588C">
      <w:pPr>
        <w:pStyle w:val="Odstavecseseznamem"/>
      </w:pPr>
      <w:r w:rsidRPr="0040588C">
        <w:t xml:space="preserve">zvýhodněné </w:t>
      </w:r>
      <w:r w:rsidR="00641A2F">
        <w:t>zá</w:t>
      </w:r>
      <w:r w:rsidRPr="0040588C">
        <w:t xml:space="preserve">půjčky </w:t>
      </w:r>
      <w:r w:rsidR="00641A2F">
        <w:t>z </w:t>
      </w:r>
      <w:r w:rsidRPr="0040588C">
        <w:t>IFN</w:t>
      </w:r>
      <w:r w:rsidR="00171CED">
        <w:t>, souhrnně</w:t>
      </w:r>
      <w:r w:rsidRPr="0040588C">
        <w:t xml:space="preserve"> až do 100% CZV</w:t>
      </w:r>
      <w:r w:rsidR="00EB7795">
        <w:t xml:space="preserve"> KP</w:t>
      </w:r>
      <w:r w:rsidRPr="0040588C">
        <w:t>.</w:t>
      </w:r>
    </w:p>
    <w:p w14:paraId="591FC089" w14:textId="550CC150" w:rsidR="0040588C" w:rsidRDefault="0040588C" w:rsidP="0040588C">
      <w:r w:rsidRPr="009017D8">
        <w:t>Dotace SFŽP bude poskytnuta jako součást po</w:t>
      </w:r>
      <w:r w:rsidR="0098393C" w:rsidRPr="009017D8">
        <w:t>dpory</w:t>
      </w:r>
      <w:r w:rsidR="00171CED">
        <w:t xml:space="preserve"> (národní veřejné spolufinancování)</w:t>
      </w:r>
      <w:r w:rsidR="0098393C" w:rsidRPr="009017D8">
        <w:t>, přičemž se bude jednat o </w:t>
      </w:r>
      <w:r w:rsidR="004E5F94" w:rsidRPr="009017D8">
        <w:t xml:space="preserve">dva </w:t>
      </w:r>
      <w:r w:rsidRPr="009017D8">
        <w:t>oddělené finanční toky na základě jedno</w:t>
      </w:r>
      <w:r w:rsidR="005707B8">
        <w:t>ho</w:t>
      </w:r>
      <w:r w:rsidRPr="009017D8">
        <w:t xml:space="preserve"> právního aktu a dvě </w:t>
      </w:r>
      <w:r w:rsidR="009017D8" w:rsidRPr="009017D8">
        <w:t xml:space="preserve">samostatné </w:t>
      </w:r>
      <w:r w:rsidRPr="009017D8">
        <w:t xml:space="preserve">účetní </w:t>
      </w:r>
      <w:r w:rsidR="004E5F94" w:rsidRPr="009017D8">
        <w:t>položky</w:t>
      </w:r>
      <w:r w:rsidR="005707B8">
        <w:t>.</w:t>
      </w:r>
    </w:p>
    <w:p w14:paraId="08A21A5F" w14:textId="797BDA8D" w:rsidR="0040588C" w:rsidRPr="0040588C" w:rsidRDefault="0040588C" w:rsidP="006531BC">
      <w:pPr>
        <w:pStyle w:val="Odstavecseseznamem"/>
        <w:numPr>
          <w:ilvl w:val="0"/>
          <w:numId w:val="0"/>
        </w:numPr>
      </w:pPr>
      <w:r w:rsidRPr="0040588C">
        <w:rPr>
          <w:b/>
        </w:rPr>
        <w:t>Finanční nástroj umožňuje nově pokrýt až 100</w:t>
      </w:r>
      <w:r w:rsidR="0098393C">
        <w:rPr>
          <w:b/>
        </w:rPr>
        <w:t xml:space="preserve"> </w:t>
      </w:r>
      <w:r w:rsidRPr="0040588C">
        <w:rPr>
          <w:b/>
        </w:rPr>
        <w:t xml:space="preserve">% CZV </w:t>
      </w:r>
      <w:r w:rsidR="002A3EFB">
        <w:rPr>
          <w:b/>
        </w:rPr>
        <w:t>KP</w:t>
      </w:r>
      <w:r w:rsidRPr="0040588C">
        <w:t xml:space="preserve">, tedy celé investiční plánování je pro </w:t>
      </w:r>
      <w:r w:rsidR="0085056D">
        <w:t>K</w:t>
      </w:r>
      <w:r w:rsidRPr="0040588C">
        <w:t>onečného příjemce snazší – především nemusí shánět spolufinancování na nepokrytou část investice (v případě poskytování dotace).</w:t>
      </w:r>
    </w:p>
    <w:p w14:paraId="4DDA5194" w14:textId="0C8EE412" w:rsidR="0040588C" w:rsidRPr="0040588C" w:rsidRDefault="0040588C" w:rsidP="006531BC">
      <w:pPr>
        <w:pStyle w:val="Odstavecseseznamem"/>
        <w:numPr>
          <w:ilvl w:val="0"/>
          <w:numId w:val="0"/>
        </w:numPr>
      </w:pPr>
      <w:r w:rsidRPr="0040588C">
        <w:rPr>
          <w:b/>
        </w:rPr>
        <w:t xml:space="preserve">Dochází k poklesu reálně poskytnuté podpory </w:t>
      </w:r>
      <w:r w:rsidR="0085056D">
        <w:rPr>
          <w:b/>
        </w:rPr>
        <w:t>K</w:t>
      </w:r>
      <w:r w:rsidRPr="0040588C">
        <w:rPr>
          <w:b/>
        </w:rPr>
        <w:t>onečnému příjemci</w:t>
      </w:r>
      <w:r w:rsidRPr="0040588C">
        <w:t>, kdy není využito maximálního limitu (v příkladu 60</w:t>
      </w:r>
      <w:r w:rsidR="0098393C">
        <w:t xml:space="preserve"> </w:t>
      </w:r>
      <w:r w:rsidRPr="0040588C">
        <w:t>% CZV</w:t>
      </w:r>
      <w:r w:rsidR="002A3EFB">
        <w:t xml:space="preserve"> KP</w:t>
      </w:r>
      <w:r w:rsidRPr="0040588C">
        <w:t>). Ačkoli je pokryto financování 100</w:t>
      </w:r>
      <w:r w:rsidR="0098393C">
        <w:t xml:space="preserve"> </w:t>
      </w:r>
      <w:r w:rsidRPr="0040588C">
        <w:t>% CZV</w:t>
      </w:r>
      <w:r w:rsidR="002A3EFB">
        <w:t xml:space="preserve"> KP</w:t>
      </w:r>
      <w:r w:rsidRPr="0040588C">
        <w:t>, reálně poskytnutá přepočtená výše podpory je u modelového příkladu cca 30</w:t>
      </w:r>
      <w:r w:rsidR="0098393C">
        <w:t xml:space="preserve"> </w:t>
      </w:r>
      <w:r w:rsidRPr="0040588C">
        <w:t>% CZV</w:t>
      </w:r>
      <w:r w:rsidR="002A3EFB">
        <w:t xml:space="preserve"> K</w:t>
      </w:r>
      <w:r w:rsidR="0085056D">
        <w:t>P</w:t>
      </w:r>
      <w:r w:rsidRPr="0040588C">
        <w:t xml:space="preserve"> (5</w:t>
      </w:r>
      <w:r w:rsidR="0098393C">
        <w:t xml:space="preserve"> </w:t>
      </w:r>
      <w:r w:rsidRPr="0040588C">
        <w:t>% grantový ekvivalent za zvýhodněný úvěr a 25</w:t>
      </w:r>
      <w:r w:rsidR="0098393C">
        <w:t xml:space="preserve"> </w:t>
      </w:r>
      <w:r w:rsidRPr="0040588C">
        <w:t>% za dotační podporu).</w:t>
      </w:r>
    </w:p>
    <w:p w14:paraId="4B7874E7" w14:textId="60D0379E" w:rsidR="0040588C" w:rsidRPr="00374818" w:rsidRDefault="0040588C" w:rsidP="0040588C">
      <w:r w:rsidRPr="00374818">
        <w:t xml:space="preserve">V důsledku je </w:t>
      </w:r>
      <w:r w:rsidR="0085056D">
        <w:t>K</w:t>
      </w:r>
      <w:r w:rsidRPr="00374818">
        <w:t xml:space="preserve">onečný příjemce podpořen menším reálným příspěvkem, ale stále za výhodnějších podmínek, než v případě plně nezávislého financování, případně pouze za využití komerčního úvěrování. </w:t>
      </w:r>
    </w:p>
    <w:p w14:paraId="6729AF76" w14:textId="2EF28144" w:rsidR="0040588C" w:rsidRPr="00374818" w:rsidRDefault="0040588C" w:rsidP="0040588C">
      <w:r w:rsidRPr="00374818">
        <w:t xml:space="preserve">Výše uvedené vychází z rozdělení dotační podpory </w:t>
      </w:r>
      <w:r w:rsidR="002A3EFB">
        <w:t xml:space="preserve">nejvýše </w:t>
      </w:r>
      <w:r w:rsidRPr="00374818">
        <w:t xml:space="preserve">25 % a podpory formou </w:t>
      </w:r>
      <w:r w:rsidR="001D2927">
        <w:t>zá</w:t>
      </w:r>
      <w:r w:rsidRPr="00374818">
        <w:t>půjčky nejméně ve výši 35</w:t>
      </w:r>
      <w:r w:rsidR="0098393C">
        <w:t xml:space="preserve"> </w:t>
      </w:r>
      <w:r w:rsidRPr="00374818">
        <w:t>%</w:t>
      </w:r>
      <w:r w:rsidR="00542296">
        <w:t>,</w:t>
      </w:r>
      <w:r w:rsidRPr="00374818">
        <w:t xml:space="preserve"> v </w:t>
      </w:r>
      <w:r w:rsidR="0098393C">
        <w:t>O</w:t>
      </w:r>
      <w:r w:rsidRPr="00374818">
        <w:t xml:space="preserve">bchodním plánu SFŽP a ve </w:t>
      </w:r>
      <w:r w:rsidR="0098393C">
        <w:t>V</w:t>
      </w:r>
      <w:r w:rsidRPr="00374818">
        <w:t xml:space="preserve">ýzvě může být nastaveno odlišně. </w:t>
      </w:r>
    </w:p>
    <w:p w14:paraId="6E2E5BFF" w14:textId="77777777" w:rsidR="0040588C" w:rsidRPr="004F3788" w:rsidRDefault="0040588C" w:rsidP="0040588C">
      <w:pPr>
        <w:pStyle w:val="Nadpis1"/>
        <w:keepLines w:val="0"/>
        <w:spacing w:before="360" w:after="360" w:line="240" w:lineRule="auto"/>
        <w:jc w:val="left"/>
      </w:pPr>
      <w:bookmarkStart w:id="4" w:name="_Toc436903096"/>
      <w:r w:rsidRPr="004F3788">
        <w:t>Plán pro opětovné použití zdrojů navrácených do finančního nástroje</w:t>
      </w:r>
      <w:bookmarkEnd w:id="4"/>
    </w:p>
    <w:p w14:paraId="038C46E4" w14:textId="2855D184" w:rsidR="0040588C" w:rsidRPr="00374818" w:rsidRDefault="0040588C" w:rsidP="0040588C">
      <w:r w:rsidRPr="00374818">
        <w:t xml:space="preserve">Úroky a jiné výnosy, jež připadají na podporu </w:t>
      </w:r>
      <w:r w:rsidR="0098393C">
        <w:t xml:space="preserve">ESI </w:t>
      </w:r>
      <w:r w:rsidRPr="00374818">
        <w:t xml:space="preserve">fondů poskytovanou na finanční nástroje, se používají ke stejným účelům </w:t>
      </w:r>
      <w:r w:rsidRPr="00374818">
        <w:rPr>
          <w:rFonts w:cs="Arial"/>
          <w:bCs/>
          <w:iCs/>
        </w:rPr>
        <w:t>po dobu nejméně osmi let po skončení období způsobilosti</w:t>
      </w:r>
      <w:r w:rsidRPr="00374818">
        <w:t xml:space="preserve"> včetně úhrady vynaložených nákladů nebo poplatků za správu finančního nástroje – jako počáteční podpora fondů ESI buď v rámci téhož finančního nástroje, nebo po skončení dotčeného </w:t>
      </w:r>
      <w:r w:rsidRPr="00374818">
        <w:lastRenderedPageBreak/>
        <w:t>finančního nástroje u jiných finančních nástrojů nebo forem podpory v souladu se specifickými cíli stanovenými v rámci určité priority až do konce období způsobilosti</w:t>
      </w:r>
      <w:r w:rsidR="004F48DF">
        <w:t xml:space="preserve"> v souladu s čl. 45 Obecného nařízení a bodem 5.2.3. </w:t>
      </w:r>
      <w:r w:rsidR="00BB6275">
        <w:t>Investiční strategie.</w:t>
      </w:r>
    </w:p>
    <w:p w14:paraId="3788590B" w14:textId="349CDD4E" w:rsidR="0040588C" w:rsidRPr="00374818" w:rsidRDefault="0040588C" w:rsidP="0040588C">
      <w:r w:rsidRPr="00374818">
        <w:t>Investiční strategie předpokládá plné vyčerpání vyčleněné alokace (spolu se zapojenými národními zdroji SFŽP) na sledované oblasti podporované finančními nástroji do roku 2020, resp. do ukončení způsobilo</w:t>
      </w:r>
      <w:r w:rsidR="0098393C">
        <w:t>sti s ohledem na pravidlo n+3 a </w:t>
      </w:r>
      <w:r w:rsidRPr="00374818">
        <w:t xml:space="preserve">následně zahájení druhého investičního cyklu, stále v rámci programového období OPŽP 2014-2020. V souladu s požadavky </w:t>
      </w:r>
      <w:r w:rsidR="0098393C">
        <w:t>Obecného nařízení</w:t>
      </w:r>
      <w:r w:rsidRPr="00374818">
        <w:t xml:space="preserve"> bude na druhý investiční cyklus předběžně plánováno využití pouze do té doby navrácených finančních zdrojů (opět s možným doplněním o zdroje </w:t>
      </w:r>
      <w:r w:rsidR="0098393C">
        <w:t>SFŽP).</w:t>
      </w:r>
    </w:p>
    <w:p w14:paraId="1C5DA003" w14:textId="564E1600" w:rsidR="004F48DF" w:rsidRPr="00374818" w:rsidRDefault="0040588C" w:rsidP="0040588C">
      <w:r w:rsidRPr="00374818">
        <w:t>Investiční strategie pro druhý investiční cyklus bude up</w:t>
      </w:r>
      <w:r w:rsidR="0098393C">
        <w:t>řesněna v závislosti na zájmu o </w:t>
      </w:r>
      <w:r w:rsidRPr="00374818">
        <w:t>čerpání z inovativních finančních nástrojů, kdy stav čerpá</w:t>
      </w:r>
      <w:r w:rsidR="00A0194B">
        <w:t>ní bude průběžně vyhodnocován a </w:t>
      </w:r>
      <w:r w:rsidRPr="00374818">
        <w:t xml:space="preserve">porovnáván s finančním plánem. </w:t>
      </w:r>
    </w:p>
    <w:p w14:paraId="34DD011C" w14:textId="77777777" w:rsidR="0040588C" w:rsidRPr="004F3788" w:rsidRDefault="0040588C" w:rsidP="0040588C">
      <w:pPr>
        <w:pStyle w:val="Nadpis1"/>
        <w:keepLines w:val="0"/>
        <w:spacing w:before="360" w:after="360" w:line="240" w:lineRule="auto"/>
        <w:jc w:val="left"/>
      </w:pPr>
      <w:bookmarkStart w:id="5" w:name="_Toc436903097"/>
      <w:r w:rsidRPr="004F3788">
        <w:t>Mechanismus zapojení dodatečných zdrojů</w:t>
      </w:r>
      <w:bookmarkEnd w:id="5"/>
    </w:p>
    <w:p w14:paraId="1D804F50" w14:textId="091BC15D" w:rsidR="0040588C" w:rsidRPr="00B07795" w:rsidRDefault="0040588C" w:rsidP="0040588C">
      <w:r w:rsidRPr="00374818">
        <w:t xml:space="preserve">V zájmu generování pákového efektu na finančním nástroji, umožňující uspokojit maximální podíl identifikovaného tržního selhání, bylo rozhodnuto o </w:t>
      </w:r>
      <w:r w:rsidRPr="00374818">
        <w:rPr>
          <w:b/>
        </w:rPr>
        <w:t xml:space="preserve">využití vlastních zdrojů SFŽP, které budou poskytnuty ve formě dotace ve výši max. 25 % z CZV </w:t>
      </w:r>
      <w:r w:rsidR="00BE1CFE">
        <w:rPr>
          <w:b/>
        </w:rPr>
        <w:t xml:space="preserve">KP </w:t>
      </w:r>
      <w:r w:rsidRPr="00374818">
        <w:rPr>
          <w:b/>
        </w:rPr>
        <w:t>s ohledem na pravidla veřejné podpory, konkrétně bude upraveno ve vazbě na Obchodní plán.</w:t>
      </w:r>
      <w:r w:rsidRPr="00374818">
        <w:t xml:space="preserve"> Uvedená varianta je v řadě parametrů pro finanční nástroj výhodnější, kdy tento postup současně znamená vyšší pravděpodobnost zabezpečení cíleného objemu realizovaných opatření. Zajištění dalších zdrojů příjemců bez přímé va</w:t>
      </w:r>
      <w:r w:rsidR="00D040E8">
        <w:t>zby na výkonnost portfolia je z </w:t>
      </w:r>
      <w:r w:rsidRPr="00374818">
        <w:t>pohledu SFŽP efektivním nástrojem pro zajištění odpovídajícího zájmu o FN a realizaci projektů</w:t>
      </w:r>
      <w:r>
        <w:t>.</w:t>
      </w:r>
    </w:p>
    <w:p w14:paraId="21DAF14E" w14:textId="77777777" w:rsidR="0040588C" w:rsidRPr="00102F2A" w:rsidRDefault="0040588C" w:rsidP="0040588C">
      <w:pPr>
        <w:pStyle w:val="Nadpis2"/>
        <w:keepLines w:val="0"/>
        <w:spacing w:before="240" w:beforeAutospacing="0" w:after="240" w:line="240" w:lineRule="auto"/>
        <w:ind w:left="576" w:hanging="576"/>
        <w:jc w:val="left"/>
      </w:pPr>
      <w:r w:rsidRPr="00102F2A">
        <w:t>Výhody zapojení dodatečných národních zdrojů SFŽP</w:t>
      </w:r>
    </w:p>
    <w:p w14:paraId="67680B42" w14:textId="1750E8D6" w:rsidR="0040588C" w:rsidRPr="00374818" w:rsidRDefault="0040588C" w:rsidP="0040588C">
      <w:pPr>
        <w:pStyle w:val="Odstavecseseznamem"/>
      </w:pPr>
      <w:r w:rsidRPr="00374818">
        <w:t>pobídka pro averzní investor</w:t>
      </w:r>
      <w:r w:rsidR="0098393C">
        <w:t>y</w:t>
      </w:r>
    </w:p>
    <w:p w14:paraId="1D84DF96" w14:textId="0AE2D7EB" w:rsidR="0040588C" w:rsidRPr="00374818" w:rsidRDefault="0040588C" w:rsidP="0040588C">
      <w:pPr>
        <w:pStyle w:val="Odstavecseseznamem"/>
      </w:pPr>
      <w:r w:rsidRPr="00374818">
        <w:t xml:space="preserve">finanční podpora až do výše 100 % způsobilých výdajů projektu s volitelnou </w:t>
      </w:r>
      <w:r>
        <w:t>strukturou (min. </w:t>
      </w:r>
      <w:r w:rsidRPr="00374818">
        <w:t xml:space="preserve">35 % </w:t>
      </w:r>
      <w:r w:rsidR="00BE1CFE">
        <w:t>zá</w:t>
      </w:r>
      <w:r w:rsidRPr="00374818">
        <w:t>půjčky, max. 25</w:t>
      </w:r>
      <w:r w:rsidR="0098393C">
        <w:t xml:space="preserve"> % dotace)</w:t>
      </w:r>
    </w:p>
    <w:p w14:paraId="0D823398" w14:textId="58B4C89E" w:rsidR="0040588C" w:rsidRPr="00374818" w:rsidRDefault="0040588C" w:rsidP="0040588C">
      <w:pPr>
        <w:pStyle w:val="Odstavecseseznamem"/>
      </w:pPr>
      <w:proofErr w:type="spellStart"/>
      <w:r w:rsidRPr="00374818">
        <w:t>pákování</w:t>
      </w:r>
      <w:proofErr w:type="spellEnd"/>
      <w:r w:rsidRPr="00374818">
        <w:t xml:space="preserve"> disponibilních zdrojů SC</w:t>
      </w:r>
      <w:r>
        <w:t xml:space="preserve"> 3.5 </w:t>
      </w:r>
      <w:r w:rsidR="0098393C">
        <w:t>pro realizaci více projektů</w:t>
      </w:r>
    </w:p>
    <w:p w14:paraId="5702073D" w14:textId="01272B7E" w:rsidR="0040588C" w:rsidRPr="00374818" w:rsidRDefault="0040588C" w:rsidP="0040588C">
      <w:pPr>
        <w:pStyle w:val="Odstavecseseznamem"/>
      </w:pPr>
      <w:r w:rsidRPr="00374818">
        <w:t>navýšení budoucích příjmů F</w:t>
      </w:r>
      <w:r w:rsidR="0098393C">
        <w:t xml:space="preserve">ondu v rámci </w:t>
      </w:r>
      <w:proofErr w:type="spellStart"/>
      <w:r w:rsidR="0098393C">
        <w:t>revolvingu</w:t>
      </w:r>
      <w:proofErr w:type="spellEnd"/>
      <w:r w:rsidR="0098393C">
        <w:t xml:space="preserve"> zdrojů </w:t>
      </w:r>
      <w:r w:rsidRPr="00374818">
        <w:t xml:space="preserve">FN formou evergreen </w:t>
      </w:r>
      <w:proofErr w:type="spellStart"/>
      <w:r w:rsidRPr="00374818">
        <w:t>fund</w:t>
      </w:r>
      <w:proofErr w:type="spellEnd"/>
    </w:p>
    <w:p w14:paraId="03DC91C5" w14:textId="0B79D085" w:rsidR="0040588C" w:rsidRPr="00374818" w:rsidRDefault="0040588C" w:rsidP="0040588C">
      <w:pPr>
        <w:pStyle w:val="Odstavecseseznamem"/>
      </w:pPr>
      <w:r w:rsidRPr="00374818">
        <w:t xml:space="preserve">výše dotace SFŽP není omezena typem subjektu (veřejný / soukromý) při dodržení limitů </w:t>
      </w:r>
      <w:r w:rsidR="0098393C">
        <w:t>veřejné podpory</w:t>
      </w:r>
    </w:p>
    <w:p w14:paraId="3FD0E78B" w14:textId="5877EF79" w:rsidR="0040588C" w:rsidRPr="00374818" w:rsidRDefault="0040588C" w:rsidP="0040588C">
      <w:pPr>
        <w:pStyle w:val="Odstavecseseznamem"/>
      </w:pPr>
      <w:r w:rsidRPr="00374818">
        <w:t>administrace a financování projektů podle jednoho právního aktu – Smlouvy</w:t>
      </w:r>
    </w:p>
    <w:p w14:paraId="4C4F8315" w14:textId="6514E2A7" w:rsidR="0040588C" w:rsidRPr="00374818" w:rsidRDefault="0040588C" w:rsidP="0040588C">
      <w:pPr>
        <w:pStyle w:val="Odstavecseseznamem"/>
      </w:pPr>
      <w:r w:rsidRPr="00374818">
        <w:lastRenderedPageBreak/>
        <w:t>podstatné zjednodušení administrace a fina</w:t>
      </w:r>
      <w:r w:rsidR="000C324C">
        <w:t>ncování projektů pro příjemce i </w:t>
      </w:r>
      <w:r w:rsidRPr="00374818">
        <w:t>poskytovatele:</w:t>
      </w:r>
    </w:p>
    <w:p w14:paraId="21649053" w14:textId="62B604FD" w:rsidR="0040588C" w:rsidRPr="0040588C" w:rsidRDefault="0040588C" w:rsidP="0040588C">
      <w:pPr>
        <w:pStyle w:val="Odstavecseseznamem"/>
        <w:numPr>
          <w:ilvl w:val="1"/>
          <w:numId w:val="18"/>
        </w:numPr>
      </w:pPr>
      <w:r w:rsidRPr="0040588C">
        <w:t>v</w:t>
      </w:r>
      <w:r w:rsidR="0098393C">
        <w:t>yužití praxí ověřeného know-how</w:t>
      </w:r>
      <w:r w:rsidR="00392E2E">
        <w:t xml:space="preserve"> SFŽP</w:t>
      </w:r>
    </w:p>
    <w:p w14:paraId="2A0195DF" w14:textId="1147B036" w:rsidR="0040588C" w:rsidRPr="0040588C" w:rsidRDefault="0040588C" w:rsidP="0040588C">
      <w:pPr>
        <w:pStyle w:val="Odstavecseseznamem"/>
        <w:numPr>
          <w:ilvl w:val="1"/>
          <w:numId w:val="18"/>
        </w:numPr>
      </w:pPr>
      <w:r w:rsidRPr="0040588C">
        <w:t>aplikace osvědčených informačních syst</w:t>
      </w:r>
      <w:r w:rsidR="00CB23C1">
        <w:t xml:space="preserve">émů IFN </w:t>
      </w:r>
      <w:proofErr w:type="spellStart"/>
      <w:r w:rsidR="00CB23C1">
        <w:t>Bene</w:t>
      </w:r>
      <w:r w:rsidR="0098393C">
        <w:t>fill</w:t>
      </w:r>
      <w:proofErr w:type="spellEnd"/>
      <w:r w:rsidR="0098393C">
        <w:t xml:space="preserve"> / IFN </w:t>
      </w:r>
      <w:proofErr w:type="spellStart"/>
      <w:r w:rsidR="0098393C">
        <w:t>Central</w:t>
      </w:r>
      <w:proofErr w:type="spellEnd"/>
    </w:p>
    <w:p w14:paraId="19DF5E10" w14:textId="180B7C2B" w:rsidR="0040588C" w:rsidRPr="0040588C" w:rsidRDefault="0040588C" w:rsidP="0040588C">
      <w:pPr>
        <w:pStyle w:val="Odstavecseseznamem"/>
        <w:numPr>
          <w:ilvl w:val="1"/>
          <w:numId w:val="18"/>
        </w:numPr>
      </w:pPr>
      <w:r w:rsidRPr="0040588C">
        <w:t xml:space="preserve">jednotné </w:t>
      </w:r>
      <w:proofErr w:type="spellStart"/>
      <w:r w:rsidRPr="0040588C">
        <w:t>workflow</w:t>
      </w:r>
      <w:proofErr w:type="spellEnd"/>
      <w:r w:rsidRPr="0040588C">
        <w:t>, audi</w:t>
      </w:r>
      <w:r w:rsidR="0098393C">
        <w:t xml:space="preserve">t </w:t>
      </w:r>
      <w:proofErr w:type="spellStart"/>
      <w:r w:rsidR="0098393C">
        <w:t>trail</w:t>
      </w:r>
      <w:proofErr w:type="spellEnd"/>
      <w:r w:rsidR="0098393C">
        <w:t>, monitoring a reporting</w:t>
      </w:r>
    </w:p>
    <w:p w14:paraId="29283B52" w14:textId="77777777" w:rsidR="0040588C" w:rsidRPr="00374818" w:rsidRDefault="0040588C" w:rsidP="0040588C">
      <w:pPr>
        <w:pStyle w:val="Nadpis2"/>
        <w:keepLines w:val="0"/>
        <w:spacing w:before="240" w:beforeAutospacing="0" w:after="240" w:line="240" w:lineRule="auto"/>
        <w:ind w:left="576" w:hanging="576"/>
        <w:jc w:val="left"/>
      </w:pPr>
      <w:r w:rsidRPr="00374818">
        <w:t xml:space="preserve">Nevýhody zapojení dodatečných národních zdrojů SFŽP </w:t>
      </w:r>
    </w:p>
    <w:p w14:paraId="0778726A" w14:textId="0C2AEB46" w:rsidR="0040588C" w:rsidRPr="00374818" w:rsidRDefault="0040588C" w:rsidP="001A7CEE">
      <w:pPr>
        <w:pStyle w:val="Odstavecseseznamem"/>
      </w:pPr>
      <w:r w:rsidRPr="00374818">
        <w:t xml:space="preserve">omezení výše a struktury financování projektu limity pro </w:t>
      </w:r>
      <w:r w:rsidR="0098393C">
        <w:t>veřejnou podporu</w:t>
      </w:r>
    </w:p>
    <w:p w14:paraId="32C9F3C5" w14:textId="76CAAD8F" w:rsidR="0040588C" w:rsidRPr="00374818" w:rsidRDefault="0040588C" w:rsidP="001A7CEE">
      <w:pPr>
        <w:pStyle w:val="Odstavecseseznamem"/>
      </w:pPr>
      <w:r w:rsidRPr="00374818">
        <w:t xml:space="preserve">hrubý grantový ekvivalent </w:t>
      </w:r>
      <w:r w:rsidR="00933B12">
        <w:t>zá</w:t>
      </w:r>
      <w:r w:rsidRPr="00374818">
        <w:t>půjčky může mít vliv na výši dotace SFŽP</w:t>
      </w:r>
    </w:p>
    <w:p w14:paraId="0899AD4D" w14:textId="3B82071F" w:rsidR="0040588C" w:rsidRPr="00374818" w:rsidRDefault="0040588C" w:rsidP="001A7CEE">
      <w:pPr>
        <w:pStyle w:val="Odstavecseseznamem"/>
      </w:pPr>
      <w:r w:rsidRPr="00374818">
        <w:t xml:space="preserve">citlivost atraktivního nastavení struktury podpory (poměr dotace / </w:t>
      </w:r>
      <w:r w:rsidR="00BE1CFE">
        <w:t>zá</w:t>
      </w:r>
      <w:r w:rsidRPr="00374818">
        <w:t>půjčka) pro žadatele</w:t>
      </w:r>
    </w:p>
    <w:p w14:paraId="0A9A298F" w14:textId="31346F6A" w:rsidR="0040588C" w:rsidRPr="00374818" w:rsidRDefault="0040588C" w:rsidP="001A7CEE">
      <w:pPr>
        <w:pStyle w:val="Odstavecseseznamem"/>
      </w:pPr>
      <w:r w:rsidRPr="00374818">
        <w:t xml:space="preserve">efektivní poptávka žadatelů nemusí vyčerpat celkové zdroje Výzvy, </w:t>
      </w:r>
      <w:r w:rsidR="0098393C">
        <w:t>resp. alokaci FN</w:t>
      </w:r>
    </w:p>
    <w:p w14:paraId="1BE53D36" w14:textId="77777777" w:rsidR="001A7CEE" w:rsidRDefault="001A7CEE" w:rsidP="001A7CEE">
      <w:pPr>
        <w:pStyle w:val="Nadpis1"/>
        <w:keepLines w:val="0"/>
        <w:spacing w:before="360" w:after="360" w:line="240" w:lineRule="auto"/>
        <w:jc w:val="left"/>
      </w:pPr>
      <w:r>
        <w:t>Hrazení nákladů finančního nástroje</w:t>
      </w:r>
    </w:p>
    <w:p w14:paraId="724B09BF" w14:textId="77777777" w:rsidR="001A7CEE" w:rsidRDefault="001A7CEE" w:rsidP="001A7CEE">
      <w:pPr>
        <w:spacing w:after="0"/>
      </w:pPr>
      <w:r w:rsidRPr="00374818">
        <w:t>Náklady a poplatky na správu finančního nástroje mohou být účtovány subjektem provádějícím finanční nástroje s tím, že nesmí překročit prahové hodnoty</w:t>
      </w:r>
      <w:r>
        <w:t xml:space="preserve"> a to:</w:t>
      </w:r>
    </w:p>
    <w:p w14:paraId="4CB0FFF2" w14:textId="77777777" w:rsidR="00FB4457" w:rsidRDefault="001A7CEE" w:rsidP="001A7CEE">
      <w:pPr>
        <w:pStyle w:val="Odstavecseseznamem"/>
      </w:pPr>
      <w:r w:rsidRPr="00B07795">
        <w:t>základní odměnu 0,5 % za rok z příspěvků z programu uhrazených do finančního nástroje, vypočtených poměrným dílem od data uskutečnění platby do finančního nástroje až do konce doby způsobilosti, zpětné úhrady řídicímu orgánu či do fondu fondů, nebo do data ukončení finančního nástroje podle toho, co nastane dříve</w:t>
      </w:r>
      <w:r w:rsidR="00FB4457">
        <w:t>.</w:t>
      </w:r>
    </w:p>
    <w:p w14:paraId="73FD2508" w14:textId="3D9045C1" w:rsidR="00A0194B" w:rsidRDefault="00FB4457" w:rsidP="001A7CEE">
      <w:pPr>
        <w:pStyle w:val="Odstavecseseznamem"/>
      </w:pPr>
      <w:r>
        <w:t>Podrobně je uvedeno v Příloze č. 2 Metodika odměňování</w:t>
      </w:r>
    </w:p>
    <w:p w14:paraId="6C16B0FA" w14:textId="238D9A78" w:rsidR="001A7CEE" w:rsidRPr="00A0194B" w:rsidRDefault="00A0194B" w:rsidP="00A0194B">
      <w:pPr>
        <w:spacing w:after="200" w:line="276" w:lineRule="auto"/>
        <w:jc w:val="left"/>
        <w:rPr>
          <w:rFonts w:cs="Arial"/>
          <w:szCs w:val="20"/>
        </w:rPr>
      </w:pPr>
      <w:r>
        <w:br w:type="page"/>
      </w:r>
    </w:p>
    <w:p w14:paraId="2FD74D9E" w14:textId="77777777" w:rsidR="001A7CEE" w:rsidRPr="004F3788" w:rsidRDefault="001A7CEE" w:rsidP="001A7CEE">
      <w:pPr>
        <w:pStyle w:val="Nadpis1"/>
        <w:keepLines w:val="0"/>
        <w:spacing w:before="360" w:after="360" w:line="240" w:lineRule="auto"/>
        <w:jc w:val="left"/>
      </w:pPr>
      <w:bookmarkStart w:id="6" w:name="_Toc436903100"/>
      <w:r w:rsidRPr="004F3788">
        <w:lastRenderedPageBreak/>
        <w:t>Finanční výsledky využití finančního nástroje</w:t>
      </w:r>
      <w:bookmarkEnd w:id="6"/>
    </w:p>
    <w:p w14:paraId="71C9670F" w14:textId="77777777" w:rsidR="001A7CEE" w:rsidRPr="00374818" w:rsidRDefault="001A7CEE" w:rsidP="00A0194B">
      <w:pPr>
        <w:keepNext/>
      </w:pPr>
      <w:r w:rsidRPr="00374818">
        <w:t xml:space="preserve">Níže uvedené údaje prezentují modelové simulace zapojení předpokládané alokace finančního nástroje spolu s dotací SFŽP. </w:t>
      </w:r>
    </w:p>
    <w:p w14:paraId="635869D4" w14:textId="0B451103" w:rsidR="001A7CEE" w:rsidRDefault="001A7CEE" w:rsidP="001A7CEE">
      <w:pPr>
        <w:pStyle w:val="Titulek"/>
      </w:pPr>
      <w:r>
        <w:t xml:space="preserve">Tabulka </w:t>
      </w:r>
      <w:fldSimple w:instr=" SEQ Tabulka \* ARABIC ">
        <w:r w:rsidR="00A0194B">
          <w:rPr>
            <w:noProof/>
          </w:rPr>
          <w:t>5</w:t>
        </w:r>
      </w:fldSimple>
      <w:r>
        <w:t xml:space="preserve">: </w:t>
      </w:r>
      <w:r w:rsidRPr="00347495">
        <w:t>Modelové situace zapojení finančního nástroje</w:t>
      </w:r>
    </w:p>
    <w:tbl>
      <w:tblPr>
        <w:tblStyle w:val="Styl2"/>
        <w:tblW w:w="0" w:type="auto"/>
        <w:tblCellMar>
          <w:top w:w="57" w:type="dxa"/>
          <w:bottom w:w="57" w:type="dxa"/>
        </w:tblCellMar>
        <w:tblLook w:val="04A0" w:firstRow="1" w:lastRow="0" w:firstColumn="1" w:lastColumn="0" w:noHBand="0" w:noVBand="1"/>
      </w:tblPr>
      <w:tblGrid>
        <w:gridCol w:w="1510"/>
        <w:gridCol w:w="1510"/>
        <w:gridCol w:w="1511"/>
        <w:gridCol w:w="1510"/>
        <w:gridCol w:w="1510"/>
        <w:gridCol w:w="1511"/>
      </w:tblGrid>
      <w:tr w:rsidR="001A7CEE" w14:paraId="653A7F9B" w14:textId="77777777" w:rsidTr="0098393C">
        <w:trPr>
          <w:cnfStyle w:val="100000000000" w:firstRow="1" w:lastRow="0" w:firstColumn="0" w:lastColumn="0" w:oddVBand="0" w:evenVBand="0" w:oddHBand="0" w:evenHBand="0" w:firstRowFirstColumn="0" w:firstRowLastColumn="0" w:lastRowFirstColumn="0" w:lastRowLastColumn="0"/>
          <w:trHeight w:val="814"/>
        </w:trPr>
        <w:tc>
          <w:tcPr>
            <w:cnfStyle w:val="001000000000" w:firstRow="0" w:lastRow="0" w:firstColumn="1" w:lastColumn="0" w:oddVBand="0" w:evenVBand="0" w:oddHBand="0" w:evenHBand="0" w:firstRowFirstColumn="0" w:firstRowLastColumn="0" w:lastRowFirstColumn="0" w:lastRowLastColumn="0"/>
            <w:tcW w:w="1510" w:type="dxa"/>
            <w:vAlign w:val="center"/>
          </w:tcPr>
          <w:p w14:paraId="7554A994" w14:textId="7F537730" w:rsidR="001A7CEE" w:rsidRPr="00374818" w:rsidRDefault="0098393C" w:rsidP="00DD0948">
            <w:pPr>
              <w:jc w:val="center"/>
            </w:pPr>
            <w:r>
              <w:t>Dotace SFŽP</w:t>
            </w:r>
            <w:r w:rsidR="00DD0948">
              <w:t xml:space="preserve"> </w:t>
            </w:r>
            <w:r>
              <w:t>(v </w:t>
            </w:r>
            <w:r w:rsidR="001A7CEE" w:rsidRPr="00374818">
              <w:t>%)</w:t>
            </w:r>
          </w:p>
        </w:tc>
        <w:tc>
          <w:tcPr>
            <w:tcW w:w="1510" w:type="dxa"/>
            <w:vAlign w:val="center"/>
          </w:tcPr>
          <w:p w14:paraId="4BFA7CCA" w14:textId="4CD5FC3F" w:rsidR="001A7CEE" w:rsidRPr="00374818" w:rsidRDefault="001A7CEE" w:rsidP="001A7CEE">
            <w:pPr>
              <w:jc w:val="center"/>
              <w:cnfStyle w:val="100000000000" w:firstRow="1" w:lastRow="0" w:firstColumn="0" w:lastColumn="0" w:oddVBand="0" w:evenVBand="0" w:oddHBand="0" w:evenHBand="0" w:firstRowFirstColumn="0" w:firstRowLastColumn="0" w:lastRowFirstColumn="0" w:lastRowLastColumn="0"/>
            </w:pPr>
            <w:r w:rsidRPr="00374818">
              <w:t xml:space="preserve">Průměrná </w:t>
            </w:r>
            <w:r w:rsidR="00DD0948">
              <w:t>zá</w:t>
            </w:r>
            <w:r w:rsidRPr="00374818">
              <w:t>půjčka IFN (v %)</w:t>
            </w:r>
          </w:p>
        </w:tc>
        <w:tc>
          <w:tcPr>
            <w:tcW w:w="1511" w:type="dxa"/>
            <w:vAlign w:val="center"/>
          </w:tcPr>
          <w:p w14:paraId="63922C1E" w14:textId="73CB812A" w:rsidR="001A7CEE" w:rsidRPr="00374818" w:rsidRDefault="0098393C" w:rsidP="001A7CEE">
            <w:pPr>
              <w:jc w:val="center"/>
              <w:cnfStyle w:val="100000000000" w:firstRow="1" w:lastRow="0" w:firstColumn="0" w:lastColumn="0" w:oddVBand="0" w:evenVBand="0" w:oddHBand="0" w:evenHBand="0" w:firstRowFirstColumn="0" w:firstRowLastColumn="0" w:lastRowFirstColumn="0" w:lastRowLastColumn="0"/>
            </w:pPr>
            <w:r>
              <w:t>Dotace SFŽP (v </w:t>
            </w:r>
            <w:r w:rsidR="001A7CEE" w:rsidRPr="00374818">
              <w:t>mil. Kč)</w:t>
            </w:r>
          </w:p>
        </w:tc>
        <w:tc>
          <w:tcPr>
            <w:tcW w:w="1510" w:type="dxa"/>
            <w:vAlign w:val="center"/>
          </w:tcPr>
          <w:p w14:paraId="79B379D3" w14:textId="40105C28" w:rsidR="001A7CEE" w:rsidRPr="00374818" w:rsidRDefault="00DD0948" w:rsidP="00DD0948">
            <w:pPr>
              <w:jc w:val="center"/>
              <w:cnfStyle w:val="100000000000" w:firstRow="1" w:lastRow="0" w:firstColumn="0" w:lastColumn="0" w:oddVBand="0" w:evenVBand="0" w:oddHBand="0" w:evenHBand="0" w:firstRowFirstColumn="0" w:firstRowLastColumn="0" w:lastRowFirstColumn="0" w:lastRowLastColumn="0"/>
            </w:pPr>
            <w:r>
              <w:t>Záp</w:t>
            </w:r>
            <w:r w:rsidR="0098393C">
              <w:t>ůjčka IFN (v </w:t>
            </w:r>
            <w:r w:rsidR="001A7CEE" w:rsidRPr="00374818">
              <w:t>mil. Kč)</w:t>
            </w:r>
          </w:p>
        </w:tc>
        <w:tc>
          <w:tcPr>
            <w:tcW w:w="1510" w:type="dxa"/>
            <w:vAlign w:val="center"/>
          </w:tcPr>
          <w:p w14:paraId="75558850" w14:textId="72981355" w:rsidR="001A7CEE" w:rsidRPr="00374818" w:rsidRDefault="00D01D1E" w:rsidP="001A7CEE">
            <w:pPr>
              <w:jc w:val="center"/>
              <w:cnfStyle w:val="100000000000" w:firstRow="1" w:lastRow="0" w:firstColumn="0" w:lastColumn="0" w:oddVBand="0" w:evenVBand="0" w:oddHBand="0" w:evenHBand="0" w:firstRowFirstColumn="0" w:firstRowLastColumn="0" w:lastRowFirstColumn="0" w:lastRowLastColumn="0"/>
            </w:pPr>
            <w:r>
              <w:t xml:space="preserve">vlastní zdroje </w:t>
            </w:r>
            <w:r w:rsidR="002A3EFB">
              <w:t>KP</w:t>
            </w:r>
            <w:r w:rsidR="001A7CEE">
              <w:t xml:space="preserve"> (v </w:t>
            </w:r>
            <w:r w:rsidR="001A7CEE" w:rsidRPr="00374818">
              <w:t>mil. Kč)</w:t>
            </w:r>
          </w:p>
        </w:tc>
        <w:tc>
          <w:tcPr>
            <w:tcW w:w="1511" w:type="dxa"/>
            <w:vAlign w:val="center"/>
          </w:tcPr>
          <w:p w14:paraId="6D5B5E38" w14:textId="62790B2D" w:rsidR="001A7CEE" w:rsidRPr="00374818" w:rsidRDefault="002A3EFB" w:rsidP="002A3EFB">
            <w:pPr>
              <w:jc w:val="center"/>
              <w:cnfStyle w:val="100000000000" w:firstRow="1" w:lastRow="0" w:firstColumn="0" w:lastColumn="0" w:oddVBand="0" w:evenVBand="0" w:oddHBand="0" w:evenHBand="0" w:firstRowFirstColumn="0" w:firstRowLastColumn="0" w:lastRowFirstColumn="0" w:lastRowLastColumn="0"/>
            </w:pPr>
            <w:r>
              <w:t xml:space="preserve">CZV KP </w:t>
            </w:r>
            <w:r w:rsidR="001A7CEE">
              <w:t>(v </w:t>
            </w:r>
            <w:r w:rsidR="001A7CEE" w:rsidRPr="00374818">
              <w:t>mil. Kč)</w:t>
            </w:r>
          </w:p>
        </w:tc>
      </w:tr>
      <w:tr w:rsidR="001A7CEE" w14:paraId="16A2E046" w14:textId="77777777" w:rsidTr="0098393C">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510" w:type="dxa"/>
            <w:vAlign w:val="center"/>
          </w:tcPr>
          <w:p w14:paraId="103E417E" w14:textId="77777777" w:rsidR="001A7CEE" w:rsidRPr="00374818" w:rsidRDefault="001A7CEE" w:rsidP="001A7CEE">
            <w:pPr>
              <w:jc w:val="center"/>
            </w:pPr>
            <w:r w:rsidRPr="00374818">
              <w:t>25</w:t>
            </w:r>
          </w:p>
        </w:tc>
        <w:tc>
          <w:tcPr>
            <w:tcW w:w="1510" w:type="dxa"/>
            <w:vAlign w:val="center"/>
          </w:tcPr>
          <w:p w14:paraId="3F632CA1" w14:textId="77777777" w:rsidR="001A7CEE" w:rsidRPr="00374818" w:rsidRDefault="001A7CEE" w:rsidP="001A7CEE">
            <w:pPr>
              <w:jc w:val="center"/>
              <w:cnfStyle w:val="000000100000" w:firstRow="0" w:lastRow="0" w:firstColumn="0" w:lastColumn="0" w:oddVBand="0" w:evenVBand="0" w:oddHBand="1" w:evenHBand="0" w:firstRowFirstColumn="0" w:firstRowLastColumn="0" w:lastRowFirstColumn="0" w:lastRowLastColumn="0"/>
            </w:pPr>
            <w:r w:rsidRPr="00374818">
              <w:t>75</w:t>
            </w:r>
          </w:p>
        </w:tc>
        <w:tc>
          <w:tcPr>
            <w:tcW w:w="1511" w:type="dxa"/>
            <w:vAlign w:val="center"/>
          </w:tcPr>
          <w:p w14:paraId="5AB3FC9F" w14:textId="77777777" w:rsidR="001A7CEE" w:rsidRPr="00374818" w:rsidRDefault="001A7CEE" w:rsidP="001A7CEE">
            <w:pPr>
              <w:jc w:val="center"/>
              <w:cnfStyle w:val="000000100000" w:firstRow="0" w:lastRow="0" w:firstColumn="0" w:lastColumn="0" w:oddVBand="0" w:evenVBand="0" w:oddHBand="1" w:evenHBand="0" w:firstRowFirstColumn="0" w:firstRowLastColumn="0" w:lastRowFirstColumn="0" w:lastRowLastColumn="0"/>
            </w:pPr>
            <w:r w:rsidRPr="00374818">
              <w:t>160</w:t>
            </w:r>
          </w:p>
        </w:tc>
        <w:tc>
          <w:tcPr>
            <w:tcW w:w="1510" w:type="dxa"/>
            <w:vAlign w:val="center"/>
          </w:tcPr>
          <w:p w14:paraId="45EF3B53" w14:textId="77777777" w:rsidR="001A7CEE" w:rsidRPr="00374818" w:rsidRDefault="001A7CEE" w:rsidP="001A7CEE">
            <w:pPr>
              <w:jc w:val="center"/>
              <w:cnfStyle w:val="000000100000" w:firstRow="0" w:lastRow="0" w:firstColumn="0" w:lastColumn="0" w:oddVBand="0" w:evenVBand="0" w:oddHBand="1" w:evenHBand="0" w:firstRowFirstColumn="0" w:firstRowLastColumn="0" w:lastRowFirstColumn="0" w:lastRowLastColumn="0"/>
            </w:pPr>
            <w:r w:rsidRPr="00374818">
              <w:t>480</w:t>
            </w:r>
          </w:p>
        </w:tc>
        <w:tc>
          <w:tcPr>
            <w:tcW w:w="1510" w:type="dxa"/>
            <w:vAlign w:val="center"/>
          </w:tcPr>
          <w:p w14:paraId="05C3B7A6" w14:textId="77777777" w:rsidR="001A7CEE" w:rsidRPr="00374818" w:rsidRDefault="001A7CEE" w:rsidP="001A7CEE">
            <w:pPr>
              <w:jc w:val="center"/>
              <w:cnfStyle w:val="000000100000" w:firstRow="0" w:lastRow="0" w:firstColumn="0" w:lastColumn="0" w:oddVBand="0" w:evenVBand="0" w:oddHBand="1" w:evenHBand="0" w:firstRowFirstColumn="0" w:firstRowLastColumn="0" w:lastRowFirstColumn="0" w:lastRowLastColumn="0"/>
            </w:pPr>
            <w:r w:rsidRPr="00374818">
              <w:t>0</w:t>
            </w:r>
          </w:p>
        </w:tc>
        <w:tc>
          <w:tcPr>
            <w:tcW w:w="1511" w:type="dxa"/>
            <w:vAlign w:val="center"/>
          </w:tcPr>
          <w:p w14:paraId="4068FC46" w14:textId="77777777" w:rsidR="001A7CEE" w:rsidRPr="00374818" w:rsidRDefault="001A7CEE" w:rsidP="001A7CEE">
            <w:pPr>
              <w:jc w:val="center"/>
              <w:cnfStyle w:val="000000100000" w:firstRow="0" w:lastRow="0" w:firstColumn="0" w:lastColumn="0" w:oddVBand="0" w:evenVBand="0" w:oddHBand="1" w:evenHBand="0" w:firstRowFirstColumn="0" w:firstRowLastColumn="0" w:lastRowFirstColumn="0" w:lastRowLastColumn="0"/>
            </w:pPr>
            <w:r w:rsidRPr="00374818">
              <w:t>640</w:t>
            </w:r>
          </w:p>
        </w:tc>
      </w:tr>
      <w:tr w:rsidR="001A7CEE" w14:paraId="28BE2F45" w14:textId="77777777" w:rsidTr="0098393C">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510" w:type="dxa"/>
          </w:tcPr>
          <w:p w14:paraId="0182A4EA" w14:textId="77777777" w:rsidR="001A7CEE" w:rsidRPr="00374818" w:rsidRDefault="001A7CEE" w:rsidP="001A7CEE">
            <w:pPr>
              <w:jc w:val="center"/>
            </w:pPr>
            <w:r w:rsidRPr="00374818">
              <w:t>25</w:t>
            </w:r>
          </w:p>
        </w:tc>
        <w:tc>
          <w:tcPr>
            <w:tcW w:w="1510" w:type="dxa"/>
          </w:tcPr>
          <w:p w14:paraId="0BFD636D" w14:textId="77777777" w:rsidR="001A7CEE" w:rsidRPr="00374818" w:rsidRDefault="001A7CEE" w:rsidP="001A7CEE">
            <w:pPr>
              <w:jc w:val="center"/>
              <w:cnfStyle w:val="000000010000" w:firstRow="0" w:lastRow="0" w:firstColumn="0" w:lastColumn="0" w:oddVBand="0" w:evenVBand="0" w:oddHBand="0" w:evenHBand="1" w:firstRowFirstColumn="0" w:firstRowLastColumn="0" w:lastRowFirstColumn="0" w:lastRowLastColumn="0"/>
            </w:pPr>
            <w:r w:rsidRPr="00374818">
              <w:t>50</w:t>
            </w:r>
          </w:p>
        </w:tc>
        <w:tc>
          <w:tcPr>
            <w:tcW w:w="1511" w:type="dxa"/>
          </w:tcPr>
          <w:p w14:paraId="12DC0BD7" w14:textId="77777777" w:rsidR="001A7CEE" w:rsidRPr="00374818" w:rsidRDefault="001A7CEE" w:rsidP="001A7CEE">
            <w:pPr>
              <w:jc w:val="center"/>
              <w:cnfStyle w:val="000000010000" w:firstRow="0" w:lastRow="0" w:firstColumn="0" w:lastColumn="0" w:oddVBand="0" w:evenVBand="0" w:oddHBand="0" w:evenHBand="1" w:firstRowFirstColumn="0" w:firstRowLastColumn="0" w:lastRowFirstColumn="0" w:lastRowLastColumn="0"/>
            </w:pPr>
            <w:r w:rsidRPr="00374818">
              <w:t>240</w:t>
            </w:r>
          </w:p>
        </w:tc>
        <w:tc>
          <w:tcPr>
            <w:tcW w:w="1510" w:type="dxa"/>
          </w:tcPr>
          <w:p w14:paraId="1EBF01C6" w14:textId="77777777" w:rsidR="001A7CEE" w:rsidRPr="00374818" w:rsidRDefault="001A7CEE" w:rsidP="001A7CEE">
            <w:pPr>
              <w:jc w:val="center"/>
              <w:cnfStyle w:val="000000010000" w:firstRow="0" w:lastRow="0" w:firstColumn="0" w:lastColumn="0" w:oddVBand="0" w:evenVBand="0" w:oddHBand="0" w:evenHBand="1" w:firstRowFirstColumn="0" w:firstRowLastColumn="0" w:lastRowFirstColumn="0" w:lastRowLastColumn="0"/>
            </w:pPr>
            <w:r w:rsidRPr="00374818">
              <w:t>480</w:t>
            </w:r>
          </w:p>
        </w:tc>
        <w:tc>
          <w:tcPr>
            <w:tcW w:w="1510" w:type="dxa"/>
          </w:tcPr>
          <w:p w14:paraId="20B3CFC7" w14:textId="77777777" w:rsidR="001A7CEE" w:rsidRPr="00374818" w:rsidRDefault="001A7CEE" w:rsidP="001A7CEE">
            <w:pPr>
              <w:jc w:val="center"/>
              <w:cnfStyle w:val="000000010000" w:firstRow="0" w:lastRow="0" w:firstColumn="0" w:lastColumn="0" w:oddVBand="0" w:evenVBand="0" w:oddHBand="0" w:evenHBand="1" w:firstRowFirstColumn="0" w:firstRowLastColumn="0" w:lastRowFirstColumn="0" w:lastRowLastColumn="0"/>
            </w:pPr>
            <w:r w:rsidRPr="00374818">
              <w:t>240</w:t>
            </w:r>
          </w:p>
        </w:tc>
        <w:tc>
          <w:tcPr>
            <w:tcW w:w="1511" w:type="dxa"/>
          </w:tcPr>
          <w:p w14:paraId="2D36C206" w14:textId="77777777" w:rsidR="001A7CEE" w:rsidRPr="00374818" w:rsidRDefault="001A7CEE" w:rsidP="001A7CEE">
            <w:pPr>
              <w:jc w:val="center"/>
              <w:cnfStyle w:val="000000010000" w:firstRow="0" w:lastRow="0" w:firstColumn="0" w:lastColumn="0" w:oddVBand="0" w:evenVBand="0" w:oddHBand="0" w:evenHBand="1" w:firstRowFirstColumn="0" w:firstRowLastColumn="0" w:lastRowFirstColumn="0" w:lastRowLastColumn="0"/>
            </w:pPr>
            <w:r w:rsidRPr="00374818">
              <w:t>960</w:t>
            </w:r>
          </w:p>
        </w:tc>
      </w:tr>
      <w:tr w:rsidR="001A7CEE" w14:paraId="23521453" w14:textId="77777777" w:rsidTr="0098393C">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510" w:type="dxa"/>
            <w:vAlign w:val="center"/>
          </w:tcPr>
          <w:p w14:paraId="2328260C" w14:textId="77777777" w:rsidR="001A7CEE" w:rsidRPr="00374818" w:rsidRDefault="001A7CEE" w:rsidP="001A7CEE">
            <w:pPr>
              <w:jc w:val="center"/>
            </w:pPr>
            <w:r w:rsidRPr="00374818">
              <w:t>25</w:t>
            </w:r>
          </w:p>
        </w:tc>
        <w:tc>
          <w:tcPr>
            <w:tcW w:w="1510" w:type="dxa"/>
            <w:vAlign w:val="center"/>
          </w:tcPr>
          <w:p w14:paraId="5648707D" w14:textId="77777777" w:rsidR="001A7CEE" w:rsidRPr="00374818" w:rsidRDefault="001A7CEE" w:rsidP="001A7CEE">
            <w:pPr>
              <w:jc w:val="center"/>
              <w:cnfStyle w:val="000000100000" w:firstRow="0" w:lastRow="0" w:firstColumn="0" w:lastColumn="0" w:oddVBand="0" w:evenVBand="0" w:oddHBand="1" w:evenHBand="0" w:firstRowFirstColumn="0" w:firstRowLastColumn="0" w:lastRowFirstColumn="0" w:lastRowLastColumn="0"/>
            </w:pPr>
            <w:r w:rsidRPr="00374818">
              <w:t>35</w:t>
            </w:r>
          </w:p>
        </w:tc>
        <w:tc>
          <w:tcPr>
            <w:tcW w:w="1511" w:type="dxa"/>
            <w:vAlign w:val="center"/>
          </w:tcPr>
          <w:p w14:paraId="3410509A" w14:textId="77777777" w:rsidR="001A7CEE" w:rsidRPr="00374818" w:rsidRDefault="001A7CEE" w:rsidP="001A7CEE">
            <w:pPr>
              <w:jc w:val="center"/>
              <w:cnfStyle w:val="000000100000" w:firstRow="0" w:lastRow="0" w:firstColumn="0" w:lastColumn="0" w:oddVBand="0" w:evenVBand="0" w:oddHBand="1" w:evenHBand="0" w:firstRowFirstColumn="0" w:firstRowLastColumn="0" w:lastRowFirstColumn="0" w:lastRowLastColumn="0"/>
            </w:pPr>
            <w:r w:rsidRPr="00374818">
              <w:t>343</w:t>
            </w:r>
          </w:p>
        </w:tc>
        <w:tc>
          <w:tcPr>
            <w:tcW w:w="1510" w:type="dxa"/>
            <w:vAlign w:val="center"/>
          </w:tcPr>
          <w:p w14:paraId="70F0F65D" w14:textId="77777777" w:rsidR="001A7CEE" w:rsidRPr="00374818" w:rsidRDefault="001A7CEE" w:rsidP="001A7CEE">
            <w:pPr>
              <w:jc w:val="center"/>
              <w:cnfStyle w:val="000000100000" w:firstRow="0" w:lastRow="0" w:firstColumn="0" w:lastColumn="0" w:oddVBand="0" w:evenVBand="0" w:oddHBand="1" w:evenHBand="0" w:firstRowFirstColumn="0" w:firstRowLastColumn="0" w:lastRowFirstColumn="0" w:lastRowLastColumn="0"/>
            </w:pPr>
            <w:r w:rsidRPr="00374818">
              <w:t>480</w:t>
            </w:r>
          </w:p>
        </w:tc>
        <w:tc>
          <w:tcPr>
            <w:tcW w:w="1510" w:type="dxa"/>
            <w:vAlign w:val="center"/>
          </w:tcPr>
          <w:p w14:paraId="6728467E" w14:textId="77777777" w:rsidR="001A7CEE" w:rsidRPr="00374818" w:rsidRDefault="001A7CEE" w:rsidP="001A7CEE">
            <w:pPr>
              <w:jc w:val="center"/>
              <w:cnfStyle w:val="000000100000" w:firstRow="0" w:lastRow="0" w:firstColumn="0" w:lastColumn="0" w:oddVBand="0" w:evenVBand="0" w:oddHBand="1" w:evenHBand="0" w:firstRowFirstColumn="0" w:firstRowLastColumn="0" w:lastRowFirstColumn="0" w:lastRowLastColumn="0"/>
            </w:pPr>
            <w:r w:rsidRPr="00374818">
              <w:t>549</w:t>
            </w:r>
          </w:p>
        </w:tc>
        <w:tc>
          <w:tcPr>
            <w:tcW w:w="1511" w:type="dxa"/>
            <w:vAlign w:val="center"/>
          </w:tcPr>
          <w:p w14:paraId="0F254198" w14:textId="77777777" w:rsidR="001A7CEE" w:rsidRPr="00374818" w:rsidRDefault="001A7CEE" w:rsidP="001A7CEE">
            <w:pPr>
              <w:jc w:val="center"/>
              <w:cnfStyle w:val="000000100000" w:firstRow="0" w:lastRow="0" w:firstColumn="0" w:lastColumn="0" w:oddVBand="0" w:evenVBand="0" w:oddHBand="1" w:evenHBand="0" w:firstRowFirstColumn="0" w:firstRowLastColumn="0" w:lastRowFirstColumn="0" w:lastRowLastColumn="0"/>
            </w:pPr>
            <w:r w:rsidRPr="00374818">
              <w:t>1371</w:t>
            </w:r>
          </w:p>
        </w:tc>
      </w:tr>
    </w:tbl>
    <w:p w14:paraId="694185D2" w14:textId="77777777" w:rsidR="001A7CEE" w:rsidRPr="00374818" w:rsidRDefault="001A7CEE" w:rsidP="001A7CEE">
      <w:pPr>
        <w:spacing w:before="240"/>
      </w:pPr>
      <w:r w:rsidRPr="00374818">
        <w:t>Uplatnění finančního nástroje má přímý dopad na splněn</w:t>
      </w:r>
      <w:r>
        <w:t>í indikátorů, viz tabulka níže.</w:t>
      </w:r>
    </w:p>
    <w:p w14:paraId="4DD65AB1" w14:textId="2106379D" w:rsidR="001A7CEE" w:rsidRDefault="001A7CEE" w:rsidP="001A7CEE">
      <w:pPr>
        <w:pStyle w:val="Titulek"/>
      </w:pPr>
      <w:r>
        <w:t xml:space="preserve">Tabulka </w:t>
      </w:r>
      <w:fldSimple w:instr=" SEQ Tabulka \* ARABIC ">
        <w:r w:rsidR="00A0194B">
          <w:rPr>
            <w:noProof/>
          </w:rPr>
          <w:t>6</w:t>
        </w:r>
      </w:fldSimple>
      <w:r>
        <w:t xml:space="preserve">: </w:t>
      </w:r>
      <w:r w:rsidR="00DD0948">
        <w:t>Nez</w:t>
      </w:r>
      <w:r>
        <w:t>ávazné indikátory</w:t>
      </w:r>
    </w:p>
    <w:tbl>
      <w:tblPr>
        <w:tblStyle w:val="Styl2"/>
        <w:tblW w:w="9067" w:type="dxa"/>
        <w:tblCellMar>
          <w:top w:w="57" w:type="dxa"/>
          <w:bottom w:w="57" w:type="dxa"/>
        </w:tblCellMar>
        <w:tblLook w:val="04A0" w:firstRow="1" w:lastRow="0" w:firstColumn="1" w:lastColumn="0" w:noHBand="0" w:noVBand="1"/>
      </w:tblPr>
      <w:tblGrid>
        <w:gridCol w:w="5615"/>
        <w:gridCol w:w="3452"/>
      </w:tblGrid>
      <w:tr w:rsidR="001A7CEE" w:rsidRPr="004F3788" w14:paraId="73F5319A" w14:textId="77777777" w:rsidTr="0098393C">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5615" w:type="dxa"/>
            <w:vAlign w:val="center"/>
          </w:tcPr>
          <w:p w14:paraId="1900BED1" w14:textId="069050CA" w:rsidR="001A7CEE" w:rsidRPr="00B07795" w:rsidRDefault="00DD0948" w:rsidP="00DD0948">
            <w:pPr>
              <w:spacing w:after="0"/>
              <w:jc w:val="center"/>
              <w:rPr>
                <w:rFonts w:cs="Arial"/>
                <w:b w:val="0"/>
                <w:bCs/>
                <w:color w:val="FFFFFF"/>
                <w:lang w:eastAsia="cs-CZ"/>
              </w:rPr>
            </w:pPr>
            <w:r>
              <w:rPr>
                <w:rFonts w:cs="Arial"/>
                <w:bCs/>
                <w:color w:val="FFFFFF"/>
                <w:lang w:eastAsia="cs-CZ"/>
              </w:rPr>
              <w:t>Nez</w:t>
            </w:r>
            <w:r w:rsidR="001A7CEE" w:rsidRPr="00B07795">
              <w:rPr>
                <w:rFonts w:cs="Arial"/>
                <w:bCs/>
                <w:color w:val="FFFFFF"/>
                <w:lang w:eastAsia="cs-CZ"/>
              </w:rPr>
              <w:t>ávazné indikátory 3.5</w:t>
            </w:r>
          </w:p>
        </w:tc>
        <w:tc>
          <w:tcPr>
            <w:tcW w:w="3452" w:type="dxa"/>
            <w:vAlign w:val="center"/>
          </w:tcPr>
          <w:p w14:paraId="4CA513CB" w14:textId="77777777" w:rsidR="001A7CEE" w:rsidRPr="00B07795" w:rsidRDefault="001A7CEE" w:rsidP="001A7CEE">
            <w:pPr>
              <w:spacing w:after="0"/>
              <w:jc w:val="center"/>
              <w:cnfStyle w:val="100000000000" w:firstRow="1" w:lastRow="0" w:firstColumn="0" w:lastColumn="0" w:oddVBand="0" w:evenVBand="0" w:oddHBand="0" w:evenHBand="0" w:firstRowFirstColumn="0" w:firstRowLastColumn="0" w:lastRowFirstColumn="0" w:lastRowLastColumn="0"/>
              <w:rPr>
                <w:rFonts w:cs="Arial"/>
                <w:b w:val="0"/>
                <w:bCs/>
                <w:color w:val="FFFFFF"/>
                <w:lang w:eastAsia="cs-CZ"/>
              </w:rPr>
            </w:pPr>
            <w:r w:rsidRPr="00B07795">
              <w:rPr>
                <w:rFonts w:cs="Arial"/>
                <w:bCs/>
                <w:color w:val="FFFFFF"/>
                <w:lang w:eastAsia="cs-CZ"/>
              </w:rPr>
              <w:t>Cílová hodnota – dotace a finanční nástroj</w:t>
            </w:r>
          </w:p>
        </w:tc>
      </w:tr>
      <w:tr w:rsidR="001A7CEE" w:rsidRPr="00B33FBC" w14:paraId="496A27FC" w14:textId="77777777" w:rsidTr="0098393C">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5615" w:type="dxa"/>
            <w:vAlign w:val="center"/>
          </w:tcPr>
          <w:p w14:paraId="207CDF80" w14:textId="77777777" w:rsidR="001A7CEE" w:rsidRPr="00B07795" w:rsidRDefault="001A7CEE" w:rsidP="0098393C">
            <w:pPr>
              <w:spacing w:after="0"/>
              <w:jc w:val="left"/>
              <w:rPr>
                <w:rFonts w:cs="Arial"/>
                <w:b/>
                <w:bCs/>
                <w:lang w:eastAsia="cs-CZ"/>
              </w:rPr>
            </w:pPr>
            <w:r w:rsidRPr="00B07795">
              <w:rPr>
                <w:rFonts w:cs="Arial"/>
              </w:rPr>
              <w:t>Vybudovaná nebo rekonstruovaná zařízení (počet zařízení)</w:t>
            </w:r>
          </w:p>
        </w:tc>
        <w:tc>
          <w:tcPr>
            <w:tcW w:w="3452" w:type="dxa"/>
            <w:vAlign w:val="center"/>
          </w:tcPr>
          <w:p w14:paraId="71970365" w14:textId="77777777" w:rsidR="001A7CEE" w:rsidRPr="00B07795" w:rsidRDefault="001A7CEE" w:rsidP="001A7CEE">
            <w:pPr>
              <w:spacing w:after="0"/>
              <w:jc w:val="center"/>
              <w:cnfStyle w:val="000000100000" w:firstRow="0" w:lastRow="0" w:firstColumn="0" w:lastColumn="0" w:oddVBand="0" w:evenVBand="0" w:oddHBand="1" w:evenHBand="0" w:firstRowFirstColumn="0" w:firstRowLastColumn="0" w:lastRowFirstColumn="0" w:lastRowLastColumn="0"/>
              <w:rPr>
                <w:rFonts w:cs="Arial"/>
                <w:lang w:eastAsia="cs-CZ"/>
              </w:rPr>
            </w:pPr>
            <w:r w:rsidRPr="00B07795">
              <w:rPr>
                <w:rFonts w:cs="Arial"/>
                <w:lang w:eastAsia="cs-CZ"/>
              </w:rPr>
              <w:t>50</w:t>
            </w:r>
          </w:p>
        </w:tc>
      </w:tr>
      <w:tr w:rsidR="001A7CEE" w:rsidRPr="00B33FBC" w14:paraId="21FB649D" w14:textId="77777777" w:rsidTr="0098393C">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5615" w:type="dxa"/>
          </w:tcPr>
          <w:p w14:paraId="088CD6C7" w14:textId="77777777" w:rsidR="001A7CEE" w:rsidRPr="00B07795" w:rsidRDefault="001A7CEE" w:rsidP="0098393C">
            <w:pPr>
              <w:spacing w:after="0"/>
              <w:jc w:val="left"/>
              <w:rPr>
                <w:rFonts w:cs="Arial"/>
              </w:rPr>
            </w:pPr>
            <w:r w:rsidRPr="00B07795">
              <w:rPr>
                <w:rFonts w:cs="Calibri"/>
                <w:lang w:eastAsia="cs-CZ"/>
              </w:rPr>
              <w:t>Počet pořízených přístrojů a technik pro monitorování a měření emisí</w:t>
            </w:r>
          </w:p>
        </w:tc>
        <w:tc>
          <w:tcPr>
            <w:tcW w:w="3452" w:type="dxa"/>
          </w:tcPr>
          <w:p w14:paraId="1E1836CF" w14:textId="77777777" w:rsidR="001A7CEE" w:rsidRPr="00B07795" w:rsidRDefault="001A7CEE" w:rsidP="001A7CEE">
            <w:pPr>
              <w:spacing w:after="0"/>
              <w:jc w:val="center"/>
              <w:cnfStyle w:val="000000010000" w:firstRow="0" w:lastRow="0" w:firstColumn="0" w:lastColumn="0" w:oddVBand="0" w:evenVBand="0" w:oddHBand="0" w:evenHBand="1" w:firstRowFirstColumn="0" w:firstRowLastColumn="0" w:lastRowFirstColumn="0" w:lastRowLastColumn="0"/>
              <w:rPr>
                <w:rFonts w:cs="Arial"/>
                <w:lang w:eastAsia="cs-CZ"/>
              </w:rPr>
            </w:pPr>
            <w:r w:rsidRPr="00B07795">
              <w:rPr>
                <w:rFonts w:cs="Arial"/>
                <w:lang w:eastAsia="cs-CZ"/>
              </w:rPr>
              <w:t>20</w:t>
            </w:r>
          </w:p>
        </w:tc>
      </w:tr>
    </w:tbl>
    <w:p w14:paraId="6E770675" w14:textId="77777777" w:rsidR="001A7CEE" w:rsidRDefault="001A7CEE" w:rsidP="001A7CEE">
      <w:pPr>
        <w:pStyle w:val="Nadpis1"/>
        <w:keepLines w:val="0"/>
        <w:spacing w:before="360" w:after="360" w:line="240" w:lineRule="auto"/>
        <w:jc w:val="left"/>
      </w:pPr>
      <w:r>
        <w:t xml:space="preserve">Resumé </w:t>
      </w:r>
    </w:p>
    <w:p w14:paraId="673FB189" w14:textId="77777777" w:rsidR="001A7CEE" w:rsidRPr="00374818" w:rsidRDefault="001A7CEE" w:rsidP="001A7CEE">
      <w:r w:rsidRPr="00374818">
        <w:t xml:space="preserve">a) IFN jsou pevně zakotveny ve strategických dokumentech EU, jejichž cílem je utvářet budoucí financování EU. Komise predikuje, že IFN mohou poskytnout významný nový finanční tok pro strategické investice a mohou podporovat dlouhodobé udržitelné investice i v době finančních restrikcí veřejných rozpočtů a zejména s ohledem na plánovaný odklon finančních podpor EU od čistě dotační politiky. </w:t>
      </w:r>
    </w:p>
    <w:p w14:paraId="118AB881" w14:textId="48A4556B" w:rsidR="001A7CEE" w:rsidRPr="00374818" w:rsidRDefault="001A7CEE" w:rsidP="001A7CEE">
      <w:r w:rsidRPr="00374818">
        <w:t>b) Říd</w:t>
      </w:r>
      <w:r w:rsidR="0098393C">
        <w:t xml:space="preserve">icí orgán (MŽP) </w:t>
      </w:r>
      <w:r w:rsidRPr="00374818">
        <w:t xml:space="preserve">OPŽP 2014 – 2020 a Zprostředkující subjekt (SFŽP ČR) dlouhodobě usilují o vhodné zapojení zdrojů ESIF v podobě FN do financování ekologických opatření ke </w:t>
      </w:r>
      <w:r w:rsidRPr="00374818">
        <w:lastRenderedPageBreak/>
        <w:t>splnění závazků, které ČR plní na základ</w:t>
      </w:r>
      <w:r w:rsidR="0098393C">
        <w:t>ě mezinárodních smluv a Státní politiky životního prostředí.</w:t>
      </w:r>
    </w:p>
    <w:p w14:paraId="11D4D747" w14:textId="659088A3" w:rsidR="001A7CEE" w:rsidRPr="00374818" w:rsidRDefault="001A7CEE" w:rsidP="001A7CEE">
      <w:r w:rsidRPr="00374818">
        <w:t>c) Dohoda o financování a 1. Výzva na administraci a financování projektů se týká typových projektů v rámci specifického cíle OPŽP 3.5, s poměrně různorodým zaměřením:</w:t>
      </w:r>
    </w:p>
    <w:p w14:paraId="2D536AED" w14:textId="77777777" w:rsidR="001A7CEE" w:rsidRPr="00374818" w:rsidRDefault="001A7CEE" w:rsidP="001A7CEE">
      <w:pPr>
        <w:pStyle w:val="Odstavecseseznamem"/>
      </w:pPr>
      <w:r>
        <w:t>r</w:t>
      </w:r>
      <w:r w:rsidRPr="00374818">
        <w:t>ekonstrukce zařízení výrob s nebezpečnými chemickými látkami,</w:t>
      </w:r>
    </w:p>
    <w:p w14:paraId="7439DF69" w14:textId="77777777" w:rsidR="001A7CEE" w:rsidRPr="00374818" w:rsidRDefault="001A7CEE" w:rsidP="001A7CEE">
      <w:pPr>
        <w:pStyle w:val="Odstavecseseznamem"/>
      </w:pPr>
      <w:r>
        <w:t>r</w:t>
      </w:r>
      <w:r w:rsidRPr="00374818">
        <w:t>ekonstrukce chladícího zařízení - změnou chladiva, snížením množství kapalného čpavku, náhradou chladícího zařízení, modernizací rozvodů,</w:t>
      </w:r>
    </w:p>
    <w:p w14:paraId="6B3CACC3" w14:textId="77777777" w:rsidR="001A7CEE" w:rsidRPr="00374818" w:rsidRDefault="001A7CEE" w:rsidP="001A7CEE">
      <w:pPr>
        <w:pStyle w:val="Odstavecseseznamem"/>
      </w:pPr>
      <w:r>
        <w:t>p</w:t>
      </w:r>
      <w:r w:rsidRPr="00374818">
        <w:t>rotipožární izolace zásobníků LPG,</w:t>
      </w:r>
    </w:p>
    <w:p w14:paraId="11BCAB28" w14:textId="77777777" w:rsidR="001A7CEE" w:rsidRPr="00374818" w:rsidRDefault="001A7CEE" w:rsidP="001A7CEE">
      <w:pPr>
        <w:pStyle w:val="Odstavecseseznamem"/>
      </w:pPr>
      <w:r>
        <w:t>v</w:t>
      </w:r>
      <w:r w:rsidRPr="00374818">
        <w:t>ybudování bezpečného stáčení vstupních surovin a nových produktů,</w:t>
      </w:r>
    </w:p>
    <w:p w14:paraId="0DFEC9D1" w14:textId="77777777" w:rsidR="001A7CEE" w:rsidRPr="00374818" w:rsidRDefault="001A7CEE" w:rsidP="001A7CEE">
      <w:pPr>
        <w:pStyle w:val="Odstavecseseznamem"/>
      </w:pPr>
      <w:r>
        <w:t>r</w:t>
      </w:r>
      <w:r w:rsidRPr="00374818">
        <w:t>ekonstrukce skladovacích nádrží vč. realizace havarijních jímek,</w:t>
      </w:r>
    </w:p>
    <w:p w14:paraId="029117D1" w14:textId="77777777" w:rsidR="001A7CEE" w:rsidRPr="00374818" w:rsidRDefault="001A7CEE" w:rsidP="001A7CEE">
      <w:pPr>
        <w:pStyle w:val="Odstavecseseznamem"/>
      </w:pPr>
      <w:r>
        <w:t>r</w:t>
      </w:r>
      <w:r w:rsidRPr="00374818">
        <w:t>ekonstrukce skladů hořlavých kapalin,</w:t>
      </w:r>
    </w:p>
    <w:p w14:paraId="134B6BF2" w14:textId="77777777" w:rsidR="001A7CEE" w:rsidRPr="00374818" w:rsidRDefault="001A7CEE" w:rsidP="001A7CEE">
      <w:pPr>
        <w:pStyle w:val="Odstavecseseznamem"/>
      </w:pPr>
      <w:r>
        <w:t>r</w:t>
      </w:r>
      <w:r w:rsidRPr="00374818">
        <w:t>ekonstrukce skladovacích nádrží kapalných uhlovodíků,</w:t>
      </w:r>
    </w:p>
    <w:p w14:paraId="4F78CD2D" w14:textId="77777777" w:rsidR="001A7CEE" w:rsidRPr="00374818" w:rsidRDefault="001A7CEE" w:rsidP="001A7CEE">
      <w:pPr>
        <w:pStyle w:val="Odstavecseseznamem"/>
      </w:pPr>
      <w:r>
        <w:t>r</w:t>
      </w:r>
      <w:r w:rsidRPr="00374818">
        <w:t>ekonstrukce skladů kapalných průmyslových hnojiv,</w:t>
      </w:r>
    </w:p>
    <w:p w14:paraId="686412E8" w14:textId="77777777" w:rsidR="001A7CEE" w:rsidRPr="00374818" w:rsidRDefault="001A7CEE" w:rsidP="001A7CEE">
      <w:pPr>
        <w:pStyle w:val="Odstavecseseznamem"/>
      </w:pPr>
      <w:r>
        <w:t>v</w:t>
      </w:r>
      <w:r w:rsidRPr="00374818">
        <w:t>ýstavba zabezpečených skladů agrochemikálií,</w:t>
      </w:r>
    </w:p>
    <w:p w14:paraId="62364D22" w14:textId="77777777" w:rsidR="001A7CEE" w:rsidRPr="00374818" w:rsidRDefault="001A7CEE" w:rsidP="001A7CEE">
      <w:pPr>
        <w:pStyle w:val="Odstavecseseznamem"/>
      </w:pPr>
      <w:r>
        <w:t>m</w:t>
      </w:r>
      <w:r w:rsidRPr="00374818">
        <w:t>odernizace zabezpečovacího zařízení u vlečky pro přepravu nebezpečných látek,</w:t>
      </w:r>
    </w:p>
    <w:p w14:paraId="5839FF0C" w14:textId="77777777" w:rsidR="001A7CEE" w:rsidRPr="00374818" w:rsidRDefault="001A7CEE" w:rsidP="001A7CEE">
      <w:pPr>
        <w:pStyle w:val="Odstavecseseznamem"/>
        <w:rPr>
          <w:lang w:eastAsia="x-none"/>
        </w:rPr>
      </w:pPr>
      <w:r>
        <w:rPr>
          <w:color w:val="000000"/>
          <w:lang w:eastAsia="x-none"/>
        </w:rPr>
        <w:t xml:space="preserve">rekonstrukce </w:t>
      </w:r>
      <w:r w:rsidRPr="00374818">
        <w:rPr>
          <w:color w:val="000000"/>
          <w:lang w:val="x-none" w:eastAsia="x-none"/>
        </w:rPr>
        <w:t xml:space="preserve">nebo nákup technologií </w:t>
      </w:r>
      <w:r w:rsidRPr="00374818">
        <w:rPr>
          <w:color w:val="000000"/>
          <w:lang w:eastAsia="x-none"/>
        </w:rPr>
        <w:t>vedoucích k omezení emisí znečišťujících životní prostředí (použití tzv. nejlepších dostupných technik (BAT) a nově vznikajících technik uvedených např. v referenčních dokumentech o BAT)</w:t>
      </w:r>
      <w:r w:rsidRPr="00374818">
        <w:rPr>
          <w:lang w:eastAsia="x-none"/>
        </w:rPr>
        <w:t>,</w:t>
      </w:r>
    </w:p>
    <w:p w14:paraId="43FA4634" w14:textId="77777777" w:rsidR="001A7CEE" w:rsidRPr="00374818" w:rsidRDefault="001A7CEE" w:rsidP="001A7CEE">
      <w:pPr>
        <w:pStyle w:val="Odstavecseseznamem"/>
        <w:rPr>
          <w:lang w:eastAsia="x-none"/>
        </w:rPr>
      </w:pPr>
      <w:r>
        <w:rPr>
          <w:color w:val="000000"/>
          <w:lang w:eastAsia="x-none"/>
        </w:rPr>
        <w:t>rekonstrukce</w:t>
      </w:r>
      <w:r w:rsidRPr="00374818">
        <w:rPr>
          <w:lang w:eastAsia="x-none"/>
        </w:rPr>
        <w:t xml:space="preserve"> </w:t>
      </w:r>
      <w:r w:rsidRPr="00374818">
        <w:rPr>
          <w:lang w:val="x-none" w:eastAsia="x-none"/>
        </w:rPr>
        <w:t>nebo nákup technologií pro monitoring průmyslového znečištění</w:t>
      </w:r>
      <w:r w:rsidRPr="00374818">
        <w:rPr>
          <w:lang w:eastAsia="x-none"/>
        </w:rPr>
        <w:t xml:space="preserve"> jednotlivých složek životního prostředí.</w:t>
      </w:r>
    </w:p>
    <w:p w14:paraId="7364005F" w14:textId="77777777" w:rsidR="001A7CEE" w:rsidRPr="00374818" w:rsidRDefault="001A7CEE" w:rsidP="001A7CEE">
      <w:r w:rsidRPr="00374818">
        <w:t>d) S ohledem na výše uvedené zaměření projektů lze jen obtížně kvalifikovaně predikovat počet podpořených projektů, analogicky se finanční objem podpory jednotlivým opatřením může řádově lišit.</w:t>
      </w:r>
    </w:p>
    <w:p w14:paraId="5E6F214A" w14:textId="77777777" w:rsidR="001A7CEE" w:rsidRPr="00374818" w:rsidRDefault="001A7CEE" w:rsidP="001A7CEE">
      <w:r w:rsidRPr="00374818">
        <w:t>e) Ekologické efekty a indikátory podpořených projektů budou v objemech odpovídajících standardům OPŽP a Národních programů SFŽP realizovány a sdíleny, viz závazné indikátory.</w:t>
      </w:r>
    </w:p>
    <w:p w14:paraId="242E409A" w14:textId="050E6C50" w:rsidR="0040588C" w:rsidRPr="00847D5C" w:rsidRDefault="001A7CEE" w:rsidP="0040588C">
      <w:r w:rsidRPr="00374818">
        <w:t xml:space="preserve">f) Na základě vyhodnocení efektivní poptávky v rámci pilotní 1. Výzvy s kombinovanou strukturou finanční podpory formou </w:t>
      </w:r>
      <w:r w:rsidR="002069C8">
        <w:t>zá</w:t>
      </w:r>
      <w:r w:rsidRPr="00374818">
        <w:t>půjčky IFN a dotace SFŽP budou Řídícím orgánem přijata adekvátní opatření pro další Výzvy OPŽP.</w:t>
      </w:r>
    </w:p>
    <w:sectPr w:rsidR="0040588C" w:rsidRPr="00847D5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5E62BC" w14:textId="77777777" w:rsidR="008B431F" w:rsidRDefault="008B431F" w:rsidP="00C3222C">
      <w:pPr>
        <w:spacing w:after="0" w:line="240" w:lineRule="auto"/>
      </w:pPr>
      <w:r>
        <w:separator/>
      </w:r>
    </w:p>
  </w:endnote>
  <w:endnote w:type="continuationSeparator" w:id="0">
    <w:p w14:paraId="642DAB9E" w14:textId="77777777" w:rsidR="008B431F" w:rsidRDefault="008B431F" w:rsidP="00C3222C">
      <w:pPr>
        <w:spacing w:after="0" w:line="240" w:lineRule="auto"/>
      </w:pPr>
      <w:r>
        <w:continuationSeparator/>
      </w:r>
    </w:p>
  </w:endnote>
  <w:endnote w:type="continuationNotice" w:id="1">
    <w:p w14:paraId="5893376A" w14:textId="77777777" w:rsidR="008B431F" w:rsidRDefault="008B43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808080" w:themeColor="background1" w:themeShade="80"/>
      </w:rPr>
      <w:id w:val="-690844454"/>
      <w:docPartObj>
        <w:docPartGallery w:val="Page Numbers (Bottom of Page)"/>
        <w:docPartUnique/>
      </w:docPartObj>
    </w:sdtPr>
    <w:sdtEndPr/>
    <w:sdtContent>
      <w:p w14:paraId="185DAEE7" w14:textId="19FCDB25" w:rsidR="006531BC" w:rsidRPr="00770F9C" w:rsidRDefault="006531BC" w:rsidP="0042180F">
        <w:pPr>
          <w:pStyle w:val="Zpat"/>
          <w:jc w:val="center"/>
          <w:rPr>
            <w:color w:val="808080" w:themeColor="background1" w:themeShade="80"/>
          </w:rPr>
        </w:pPr>
        <w:r w:rsidRPr="00770F9C">
          <w:rPr>
            <w:color w:val="808080" w:themeColor="background1" w:themeShade="80"/>
          </w:rPr>
          <w:fldChar w:fldCharType="begin"/>
        </w:r>
        <w:r w:rsidRPr="00770F9C">
          <w:rPr>
            <w:color w:val="808080" w:themeColor="background1" w:themeShade="80"/>
          </w:rPr>
          <w:instrText>PAGE   \* MERGEFORMAT</w:instrText>
        </w:r>
        <w:r w:rsidRPr="00770F9C">
          <w:rPr>
            <w:color w:val="808080" w:themeColor="background1" w:themeShade="80"/>
          </w:rPr>
          <w:fldChar w:fldCharType="separate"/>
        </w:r>
        <w:r w:rsidR="00317014">
          <w:rPr>
            <w:noProof/>
            <w:color w:val="808080" w:themeColor="background1" w:themeShade="80"/>
          </w:rPr>
          <w:t>20</w:t>
        </w:r>
        <w:r w:rsidRPr="00770F9C">
          <w:rPr>
            <w:color w:val="808080" w:themeColor="background1" w:themeShade="8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75A14" w14:textId="77777777" w:rsidR="008B431F" w:rsidRDefault="008B431F" w:rsidP="00C3222C">
      <w:pPr>
        <w:spacing w:after="0" w:line="240" w:lineRule="auto"/>
      </w:pPr>
      <w:r>
        <w:separator/>
      </w:r>
    </w:p>
  </w:footnote>
  <w:footnote w:type="continuationSeparator" w:id="0">
    <w:p w14:paraId="5D5569EE" w14:textId="77777777" w:rsidR="008B431F" w:rsidRDefault="008B431F" w:rsidP="00C3222C">
      <w:pPr>
        <w:spacing w:after="0" w:line="240" w:lineRule="auto"/>
      </w:pPr>
      <w:r>
        <w:continuationSeparator/>
      </w:r>
    </w:p>
  </w:footnote>
  <w:footnote w:type="continuationNotice" w:id="1">
    <w:p w14:paraId="5DD0760A" w14:textId="77777777" w:rsidR="008B431F" w:rsidRDefault="008B431F">
      <w:pPr>
        <w:spacing w:after="0" w:line="240" w:lineRule="auto"/>
      </w:pPr>
    </w:p>
  </w:footnote>
  <w:footnote w:id="2">
    <w:p w14:paraId="05D3AAB5" w14:textId="0C7BC43B" w:rsidR="006531BC" w:rsidRPr="0015590D" w:rsidRDefault="006531BC" w:rsidP="00262FE6">
      <w:pPr>
        <w:pStyle w:val="Textpoznpodarou"/>
      </w:pPr>
      <w:r w:rsidRPr="0015590D">
        <w:rPr>
          <w:rStyle w:val="Znakapoznpodarou"/>
          <w:rFonts w:ascii="Georgia" w:hAnsi="Georgia"/>
          <w:sz w:val="20"/>
        </w:rPr>
        <w:footnoteRef/>
      </w:r>
      <w:r w:rsidRPr="0015590D">
        <w:t xml:space="preserve"> Běžným zajištěním by se měla rozumět úroveň zajištění, kterou běžně vyžadují finanční instituce jako záruku za svou půjčku. Úroveň zajištění lze měřit jako ztrátu při selhání (LGD), což je očekávaná ztráta vyjádřená v procentech expozice dlužníka, pokud se přihlédne k částkám, kt</w:t>
      </w:r>
      <w:r w:rsidR="00E246EF">
        <w:t>eré lze získat ze zajištění a </w:t>
      </w:r>
      <w:r>
        <w:t>z </w:t>
      </w:r>
      <w:r w:rsidRPr="0015590D">
        <w:t>aktiv při úpadku; LGD je proto nepřímo úměrná platnosti zajištění. Pro účely tohoto sdělení se má za to, že při „vysokém“ zajištění představuje LGD 30 % nebo méně, při „běžném“ zajištění představuje LGD 31 až 59 % a při „nízkém“ zajištění je LGD 60 % nebo více.</w:t>
      </w:r>
    </w:p>
  </w:footnote>
  <w:footnote w:id="3">
    <w:p w14:paraId="485C2931" w14:textId="77777777" w:rsidR="006531BC" w:rsidRPr="0040588C" w:rsidRDefault="006531BC" w:rsidP="0040588C">
      <w:pPr>
        <w:pStyle w:val="Textpoznpodarou"/>
      </w:pPr>
      <w:r w:rsidRPr="0040588C">
        <w:rPr>
          <w:rStyle w:val="Znakapoznpodarou"/>
          <w:sz w:val="20"/>
        </w:rPr>
        <w:footnoteRef/>
      </w:r>
      <w:r w:rsidRPr="0040588C">
        <w:t xml:space="preserve"> http://ec.europa.eu/competition/state_aid/legislation/reference_rates.html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EA7A3" w14:textId="69D1FBE7" w:rsidR="006531BC" w:rsidRPr="00A656E2" w:rsidRDefault="006531BC" w:rsidP="00A656E2">
    <w:pPr>
      <w:pStyle w:val="Zhlav"/>
      <w:spacing w:before="240" w:after="480"/>
      <w:rPr>
        <w:rFonts w:cs="Arial"/>
        <w:color w:val="808080" w:themeColor="background1" w:themeShade="80"/>
      </w:rPr>
    </w:pPr>
    <w:r>
      <w:rPr>
        <w:noProof/>
        <w:lang w:eastAsia="cs-CZ"/>
      </w:rPr>
      <w:drawing>
        <wp:anchor distT="0" distB="0" distL="114300" distR="114300" simplePos="0" relativeHeight="251658240" behindDoc="0" locked="0" layoutInCell="1" allowOverlap="1" wp14:anchorId="41237186" wp14:editId="181BC77A">
          <wp:simplePos x="0" y="0"/>
          <wp:positionH relativeFrom="column">
            <wp:posOffset>4681855</wp:posOffset>
          </wp:positionH>
          <wp:positionV relativeFrom="paragraph">
            <wp:posOffset>110490</wp:posOffset>
          </wp:positionV>
          <wp:extent cx="1012884" cy="360000"/>
          <wp:effectExtent l="0" t="0" r="0" b="2540"/>
          <wp:wrapTopAndBottom/>
          <wp:docPr id="2" name="Obrázek 2" descr="C:\Users\User\Downloads\2492-loga_sfzp\SFZP_H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2492-loga_sfzp\SFZP_H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2884" cy="360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lang w:eastAsia="cs-CZ"/>
      </w:rPr>
      <w:drawing>
        <wp:anchor distT="0" distB="0" distL="114300" distR="114300" simplePos="0" relativeHeight="251659264" behindDoc="0" locked="0" layoutInCell="1" allowOverlap="1" wp14:anchorId="413A5008" wp14:editId="3E4501B6">
          <wp:simplePos x="0" y="0"/>
          <wp:positionH relativeFrom="column">
            <wp:posOffset>-4445</wp:posOffset>
          </wp:positionH>
          <wp:positionV relativeFrom="paragraph">
            <wp:posOffset>113665</wp:posOffset>
          </wp:positionV>
          <wp:extent cx="1662831" cy="360000"/>
          <wp:effectExtent l="0" t="0" r="0" b="2540"/>
          <wp:wrapTopAndBottom/>
          <wp:docPr id="1" name="Obrázek 1" descr="C:\Users\User\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2831"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5919">
      <w:rPr>
        <w:rFonts w:cs="Arial"/>
        <w:color w:val="808080" w:themeColor="background1" w:themeShade="80"/>
      </w:rPr>
      <w:t xml:space="preserve">Dohoda o financování – Příloha č. </w:t>
    </w:r>
    <w:r>
      <w:rPr>
        <w:rFonts w:cs="Arial"/>
        <w:color w:val="808080" w:themeColor="background1" w:themeShade="80"/>
      </w:rPr>
      <w:t>1</w:t>
    </w:r>
    <w:r w:rsidRPr="00AF5919">
      <w:rPr>
        <w:rFonts w:cs="Arial"/>
        <w:color w:val="808080" w:themeColor="background1" w:themeShade="80"/>
      </w:rPr>
      <w:t xml:space="preserve"> </w:t>
    </w:r>
    <w:r>
      <w:rPr>
        <w:rFonts w:cs="Arial"/>
        <w:color w:val="808080" w:themeColor="background1" w:themeShade="80"/>
      </w:rPr>
      <w:t>Investiční strategie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C7636"/>
    <w:multiLevelType w:val="hybridMultilevel"/>
    <w:tmpl w:val="4F9A34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EE435D"/>
    <w:multiLevelType w:val="hybridMultilevel"/>
    <w:tmpl w:val="237820E2"/>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 w15:restartNumberingAfterBreak="0">
    <w:nsid w:val="0FB65E80"/>
    <w:multiLevelType w:val="hybridMultilevel"/>
    <w:tmpl w:val="3634BD5A"/>
    <w:lvl w:ilvl="0" w:tplc="04050001">
      <w:start w:val="1"/>
      <w:numFmt w:val="bullet"/>
      <w:lvlText w:val=""/>
      <w:lvlJc w:val="left"/>
      <w:pPr>
        <w:ind w:left="2858" w:hanging="360"/>
      </w:pPr>
      <w:rPr>
        <w:rFonts w:ascii="Symbol" w:hAnsi="Symbol" w:hint="default"/>
      </w:rPr>
    </w:lvl>
    <w:lvl w:ilvl="1" w:tplc="04050003" w:tentative="1">
      <w:start w:val="1"/>
      <w:numFmt w:val="bullet"/>
      <w:lvlText w:val="o"/>
      <w:lvlJc w:val="left"/>
      <w:pPr>
        <w:ind w:left="3578" w:hanging="360"/>
      </w:pPr>
      <w:rPr>
        <w:rFonts w:ascii="Courier New" w:hAnsi="Courier New" w:cs="Courier New" w:hint="default"/>
      </w:rPr>
    </w:lvl>
    <w:lvl w:ilvl="2" w:tplc="04050005" w:tentative="1">
      <w:start w:val="1"/>
      <w:numFmt w:val="bullet"/>
      <w:lvlText w:val=""/>
      <w:lvlJc w:val="left"/>
      <w:pPr>
        <w:ind w:left="4298" w:hanging="360"/>
      </w:pPr>
      <w:rPr>
        <w:rFonts w:ascii="Wingdings" w:hAnsi="Wingdings" w:hint="default"/>
      </w:rPr>
    </w:lvl>
    <w:lvl w:ilvl="3" w:tplc="04050001" w:tentative="1">
      <w:start w:val="1"/>
      <w:numFmt w:val="bullet"/>
      <w:lvlText w:val=""/>
      <w:lvlJc w:val="left"/>
      <w:pPr>
        <w:ind w:left="5018" w:hanging="360"/>
      </w:pPr>
      <w:rPr>
        <w:rFonts w:ascii="Symbol" w:hAnsi="Symbol" w:hint="default"/>
      </w:rPr>
    </w:lvl>
    <w:lvl w:ilvl="4" w:tplc="04050003" w:tentative="1">
      <w:start w:val="1"/>
      <w:numFmt w:val="bullet"/>
      <w:lvlText w:val="o"/>
      <w:lvlJc w:val="left"/>
      <w:pPr>
        <w:ind w:left="5738" w:hanging="360"/>
      </w:pPr>
      <w:rPr>
        <w:rFonts w:ascii="Courier New" w:hAnsi="Courier New" w:cs="Courier New" w:hint="default"/>
      </w:rPr>
    </w:lvl>
    <w:lvl w:ilvl="5" w:tplc="04050005" w:tentative="1">
      <w:start w:val="1"/>
      <w:numFmt w:val="bullet"/>
      <w:lvlText w:val=""/>
      <w:lvlJc w:val="left"/>
      <w:pPr>
        <w:ind w:left="6458" w:hanging="360"/>
      </w:pPr>
      <w:rPr>
        <w:rFonts w:ascii="Wingdings" w:hAnsi="Wingdings" w:hint="default"/>
      </w:rPr>
    </w:lvl>
    <w:lvl w:ilvl="6" w:tplc="04050001" w:tentative="1">
      <w:start w:val="1"/>
      <w:numFmt w:val="bullet"/>
      <w:lvlText w:val=""/>
      <w:lvlJc w:val="left"/>
      <w:pPr>
        <w:ind w:left="7178" w:hanging="360"/>
      </w:pPr>
      <w:rPr>
        <w:rFonts w:ascii="Symbol" w:hAnsi="Symbol" w:hint="default"/>
      </w:rPr>
    </w:lvl>
    <w:lvl w:ilvl="7" w:tplc="04050003" w:tentative="1">
      <w:start w:val="1"/>
      <w:numFmt w:val="bullet"/>
      <w:lvlText w:val="o"/>
      <w:lvlJc w:val="left"/>
      <w:pPr>
        <w:ind w:left="7898" w:hanging="360"/>
      </w:pPr>
      <w:rPr>
        <w:rFonts w:ascii="Courier New" w:hAnsi="Courier New" w:cs="Courier New" w:hint="default"/>
      </w:rPr>
    </w:lvl>
    <w:lvl w:ilvl="8" w:tplc="04050005" w:tentative="1">
      <w:start w:val="1"/>
      <w:numFmt w:val="bullet"/>
      <w:lvlText w:val=""/>
      <w:lvlJc w:val="left"/>
      <w:pPr>
        <w:ind w:left="8618" w:hanging="360"/>
      </w:pPr>
      <w:rPr>
        <w:rFonts w:ascii="Wingdings" w:hAnsi="Wingdings" w:hint="default"/>
      </w:rPr>
    </w:lvl>
  </w:abstractNum>
  <w:abstractNum w:abstractNumId="3" w15:restartNumberingAfterBreak="0">
    <w:nsid w:val="168D5AB9"/>
    <w:multiLevelType w:val="hybridMultilevel"/>
    <w:tmpl w:val="6F22CBB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7FE110F"/>
    <w:multiLevelType w:val="hybridMultilevel"/>
    <w:tmpl w:val="971C77B4"/>
    <w:lvl w:ilvl="0" w:tplc="04050001">
      <w:start w:val="1"/>
      <w:numFmt w:val="bullet"/>
      <w:lvlText w:val=""/>
      <w:lvlJc w:val="left"/>
      <w:pPr>
        <w:ind w:left="1440" w:hanging="360"/>
      </w:pPr>
      <w:rPr>
        <w:rFonts w:ascii="Symbol" w:hAnsi="Symbol" w:hint="default"/>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8454C44"/>
    <w:multiLevelType w:val="multilevel"/>
    <w:tmpl w:val="E0CC8836"/>
    <w:lvl w:ilvl="0">
      <w:start w:val="1"/>
      <w:numFmt w:val="decimal"/>
      <w:pStyle w:val="Nadpis1"/>
      <w:suff w:val="space"/>
      <w:lvlText w:val="%1."/>
      <w:lvlJc w:val="left"/>
      <w:pPr>
        <w:ind w:left="0" w:firstLine="0"/>
      </w:pPr>
      <w:rPr>
        <w:rFonts w:hint="default"/>
      </w:rPr>
    </w:lvl>
    <w:lvl w:ilvl="1">
      <w:start w:val="1"/>
      <w:numFmt w:val="decimal"/>
      <w:pStyle w:val="Nadpis2"/>
      <w:suff w:val="space"/>
      <w:lvlText w:val="%1.%2"/>
      <w:lvlJc w:val="lef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suff w:val="space"/>
      <w:lvlText w:val="%1.%2.%3"/>
      <w:lvlJc w:val="lef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A9500C0"/>
    <w:multiLevelType w:val="hybridMultilevel"/>
    <w:tmpl w:val="7FE888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490"/>
    <w:multiLevelType w:val="hybridMultilevel"/>
    <w:tmpl w:val="376A668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248E1C1B"/>
    <w:multiLevelType w:val="hybridMultilevel"/>
    <w:tmpl w:val="EB920962"/>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25101354"/>
    <w:multiLevelType w:val="hybridMultilevel"/>
    <w:tmpl w:val="3DAA351E"/>
    <w:lvl w:ilvl="0" w:tplc="327ACCC2">
      <w:start w:val="1"/>
      <w:numFmt w:val="upperLetter"/>
      <w:lvlText w:val="%1."/>
      <w:lvlJc w:val="left"/>
      <w:pPr>
        <w:ind w:left="1353" w:hanging="360"/>
      </w:pPr>
      <w:rPr>
        <w:sz w:val="20"/>
        <w:szCs w:val="20"/>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0" w15:restartNumberingAfterBreak="0">
    <w:nsid w:val="258A64D0"/>
    <w:multiLevelType w:val="hybridMultilevel"/>
    <w:tmpl w:val="9014F150"/>
    <w:lvl w:ilvl="0" w:tplc="04050001">
      <w:start w:val="1"/>
      <w:numFmt w:val="bullet"/>
      <w:lvlText w:val=""/>
      <w:lvlJc w:val="left"/>
      <w:pPr>
        <w:ind w:left="2062"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1" w15:restartNumberingAfterBreak="0">
    <w:nsid w:val="2B4358DE"/>
    <w:multiLevelType w:val="hybridMultilevel"/>
    <w:tmpl w:val="226E5AE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29C55AE"/>
    <w:multiLevelType w:val="hybridMultilevel"/>
    <w:tmpl w:val="6C3E18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2E117AB"/>
    <w:multiLevelType w:val="hybridMultilevel"/>
    <w:tmpl w:val="E0D03C3C"/>
    <w:lvl w:ilvl="0" w:tplc="5AD65420">
      <w:start w:val="1"/>
      <w:numFmt w:val="decimal"/>
      <w:lvlText w:val="%1."/>
      <w:lvlJc w:val="left"/>
      <w:pPr>
        <w:ind w:left="502" w:hanging="360"/>
      </w:pPr>
      <w:rPr>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FF00E1"/>
    <w:multiLevelType w:val="hybridMultilevel"/>
    <w:tmpl w:val="B8C862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7E33010"/>
    <w:multiLevelType w:val="hybridMultilevel"/>
    <w:tmpl w:val="45F2EC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B0F7F76"/>
    <w:multiLevelType w:val="hybridMultilevel"/>
    <w:tmpl w:val="53EAC1E6"/>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7" w15:restartNumberingAfterBreak="0">
    <w:nsid w:val="444305DD"/>
    <w:multiLevelType w:val="hybridMultilevel"/>
    <w:tmpl w:val="7F903EFC"/>
    <w:lvl w:ilvl="0" w:tplc="9A949770">
      <w:start w:val="1"/>
      <w:numFmt w:val="bullet"/>
      <w:pStyle w:val="Odstavecseseznamem"/>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8536A8C"/>
    <w:multiLevelType w:val="hybridMultilevel"/>
    <w:tmpl w:val="B1C458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AA4A98"/>
    <w:multiLevelType w:val="hybridMultilevel"/>
    <w:tmpl w:val="FD46F0BC"/>
    <w:lvl w:ilvl="0" w:tplc="04050001">
      <w:start w:val="1"/>
      <w:numFmt w:val="bullet"/>
      <w:lvlText w:val=""/>
      <w:lvlJc w:val="left"/>
      <w:pPr>
        <w:ind w:left="1424" w:hanging="360"/>
      </w:pPr>
      <w:rPr>
        <w:rFonts w:ascii="Symbol" w:hAnsi="Symbol" w:hint="default"/>
      </w:rPr>
    </w:lvl>
    <w:lvl w:ilvl="1" w:tplc="04050003" w:tentative="1">
      <w:start w:val="1"/>
      <w:numFmt w:val="bullet"/>
      <w:lvlText w:val="o"/>
      <w:lvlJc w:val="left"/>
      <w:pPr>
        <w:ind w:left="2144" w:hanging="360"/>
      </w:pPr>
      <w:rPr>
        <w:rFonts w:ascii="Courier New" w:hAnsi="Courier New" w:cs="Courier New" w:hint="default"/>
      </w:rPr>
    </w:lvl>
    <w:lvl w:ilvl="2" w:tplc="04050005" w:tentative="1">
      <w:start w:val="1"/>
      <w:numFmt w:val="bullet"/>
      <w:lvlText w:val=""/>
      <w:lvlJc w:val="left"/>
      <w:pPr>
        <w:ind w:left="2864" w:hanging="360"/>
      </w:pPr>
      <w:rPr>
        <w:rFonts w:ascii="Wingdings" w:hAnsi="Wingdings" w:hint="default"/>
      </w:rPr>
    </w:lvl>
    <w:lvl w:ilvl="3" w:tplc="04050001" w:tentative="1">
      <w:start w:val="1"/>
      <w:numFmt w:val="bullet"/>
      <w:lvlText w:val=""/>
      <w:lvlJc w:val="left"/>
      <w:pPr>
        <w:ind w:left="3584" w:hanging="360"/>
      </w:pPr>
      <w:rPr>
        <w:rFonts w:ascii="Symbol" w:hAnsi="Symbol" w:hint="default"/>
      </w:rPr>
    </w:lvl>
    <w:lvl w:ilvl="4" w:tplc="04050003" w:tentative="1">
      <w:start w:val="1"/>
      <w:numFmt w:val="bullet"/>
      <w:lvlText w:val="o"/>
      <w:lvlJc w:val="left"/>
      <w:pPr>
        <w:ind w:left="4304" w:hanging="360"/>
      </w:pPr>
      <w:rPr>
        <w:rFonts w:ascii="Courier New" w:hAnsi="Courier New" w:cs="Courier New" w:hint="default"/>
      </w:rPr>
    </w:lvl>
    <w:lvl w:ilvl="5" w:tplc="04050005" w:tentative="1">
      <w:start w:val="1"/>
      <w:numFmt w:val="bullet"/>
      <w:lvlText w:val=""/>
      <w:lvlJc w:val="left"/>
      <w:pPr>
        <w:ind w:left="5024" w:hanging="360"/>
      </w:pPr>
      <w:rPr>
        <w:rFonts w:ascii="Wingdings" w:hAnsi="Wingdings" w:hint="default"/>
      </w:rPr>
    </w:lvl>
    <w:lvl w:ilvl="6" w:tplc="04050001" w:tentative="1">
      <w:start w:val="1"/>
      <w:numFmt w:val="bullet"/>
      <w:lvlText w:val=""/>
      <w:lvlJc w:val="left"/>
      <w:pPr>
        <w:ind w:left="5744" w:hanging="360"/>
      </w:pPr>
      <w:rPr>
        <w:rFonts w:ascii="Symbol" w:hAnsi="Symbol" w:hint="default"/>
      </w:rPr>
    </w:lvl>
    <w:lvl w:ilvl="7" w:tplc="04050003" w:tentative="1">
      <w:start w:val="1"/>
      <w:numFmt w:val="bullet"/>
      <w:lvlText w:val="o"/>
      <w:lvlJc w:val="left"/>
      <w:pPr>
        <w:ind w:left="6464" w:hanging="360"/>
      </w:pPr>
      <w:rPr>
        <w:rFonts w:ascii="Courier New" w:hAnsi="Courier New" w:cs="Courier New" w:hint="default"/>
      </w:rPr>
    </w:lvl>
    <w:lvl w:ilvl="8" w:tplc="04050005" w:tentative="1">
      <w:start w:val="1"/>
      <w:numFmt w:val="bullet"/>
      <w:lvlText w:val=""/>
      <w:lvlJc w:val="left"/>
      <w:pPr>
        <w:ind w:left="7184" w:hanging="360"/>
      </w:pPr>
      <w:rPr>
        <w:rFonts w:ascii="Wingdings" w:hAnsi="Wingdings" w:hint="default"/>
      </w:rPr>
    </w:lvl>
  </w:abstractNum>
  <w:abstractNum w:abstractNumId="20" w15:restartNumberingAfterBreak="0">
    <w:nsid w:val="4CB62FCB"/>
    <w:multiLevelType w:val="hybridMultilevel"/>
    <w:tmpl w:val="577A5E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D784638"/>
    <w:multiLevelType w:val="hybridMultilevel"/>
    <w:tmpl w:val="4FBEAD06"/>
    <w:lvl w:ilvl="0" w:tplc="0405000F">
      <w:start w:val="1"/>
      <w:numFmt w:val="decimal"/>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22" w15:restartNumberingAfterBreak="0">
    <w:nsid w:val="5398391B"/>
    <w:multiLevelType w:val="hybridMultilevel"/>
    <w:tmpl w:val="E6E8060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9AB4B18"/>
    <w:multiLevelType w:val="hybridMultilevel"/>
    <w:tmpl w:val="3E0A5E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ADC7172"/>
    <w:multiLevelType w:val="hybridMultilevel"/>
    <w:tmpl w:val="01E89084"/>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25" w15:restartNumberingAfterBreak="0">
    <w:nsid w:val="5C47655D"/>
    <w:multiLevelType w:val="hybridMultilevel"/>
    <w:tmpl w:val="0242D77C"/>
    <w:lvl w:ilvl="0" w:tplc="9446BBAC">
      <w:start w:val="1"/>
      <w:numFmt w:val="bullet"/>
      <w:lvlText w:val=""/>
      <w:lvlJc w:val="left"/>
      <w:pPr>
        <w:ind w:left="2138" w:hanging="360"/>
      </w:pPr>
      <w:rPr>
        <w:rFonts w:ascii="Symbol" w:hAnsi="Symbol" w:hint="default"/>
        <w:sz w:val="20"/>
        <w:szCs w:val="2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6" w15:restartNumberingAfterBreak="0">
    <w:nsid w:val="5D037316"/>
    <w:multiLevelType w:val="multilevel"/>
    <w:tmpl w:val="F21CDAF0"/>
    <w:lvl w:ilvl="0">
      <w:start w:val="1"/>
      <w:numFmt w:val="decimal"/>
      <w:suff w:val="space"/>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DAB3AA8"/>
    <w:multiLevelType w:val="hybridMultilevel"/>
    <w:tmpl w:val="1AA8E84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5DBB1936"/>
    <w:multiLevelType w:val="hybridMultilevel"/>
    <w:tmpl w:val="BDD2CD0C"/>
    <w:lvl w:ilvl="0" w:tplc="0405000F">
      <w:start w:val="1"/>
      <w:numFmt w:val="decimal"/>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29" w15:restartNumberingAfterBreak="0">
    <w:nsid w:val="5EAF2561"/>
    <w:multiLevelType w:val="hybridMultilevel"/>
    <w:tmpl w:val="81A28D40"/>
    <w:lvl w:ilvl="0" w:tplc="502AEB2C">
      <w:start w:val="1"/>
      <w:numFmt w:val="bullet"/>
      <w:pStyle w:val="SidebarBulletText2"/>
      <w:lvlText w:val="‒"/>
      <w:lvlJc w:val="left"/>
      <w:pPr>
        <w:ind w:left="720" w:hanging="360"/>
      </w:pPr>
      <w:rPr>
        <w:rFonts w:ascii="Arial" w:hAnsi="Aria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3F65CF"/>
    <w:multiLevelType w:val="hybridMultilevel"/>
    <w:tmpl w:val="4BF42B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81110F8"/>
    <w:multiLevelType w:val="hybridMultilevel"/>
    <w:tmpl w:val="60EA80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8CB789D"/>
    <w:multiLevelType w:val="hybridMultilevel"/>
    <w:tmpl w:val="E97A7F0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AB60DFB"/>
    <w:multiLevelType w:val="hybridMultilevel"/>
    <w:tmpl w:val="06E86C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0676CFF"/>
    <w:multiLevelType w:val="hybridMultilevel"/>
    <w:tmpl w:val="9F4824C6"/>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35" w15:restartNumberingAfterBreak="0">
    <w:nsid w:val="732638CD"/>
    <w:multiLevelType w:val="hybridMultilevel"/>
    <w:tmpl w:val="8B26D83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5766EA8"/>
    <w:multiLevelType w:val="hybridMultilevel"/>
    <w:tmpl w:val="07B62184"/>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7" w15:restartNumberingAfterBreak="0">
    <w:nsid w:val="75A4552A"/>
    <w:multiLevelType w:val="hybridMultilevel"/>
    <w:tmpl w:val="944CAB76"/>
    <w:lvl w:ilvl="0" w:tplc="0405000B">
      <w:numFmt w:val="bullet"/>
      <w:lvlText w:val=""/>
      <w:lvlJc w:val="left"/>
      <w:pPr>
        <w:ind w:left="720" w:hanging="360"/>
      </w:pPr>
      <w:rPr>
        <w:rFonts w:ascii="Wingdings" w:eastAsia="Times New Roman" w:hAnsi="Wingdings"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9"/>
  </w:num>
  <w:num w:numId="4">
    <w:abstractNumId w:val="1"/>
  </w:num>
  <w:num w:numId="5">
    <w:abstractNumId w:val="36"/>
  </w:num>
  <w:num w:numId="6">
    <w:abstractNumId w:val="28"/>
  </w:num>
  <w:num w:numId="7">
    <w:abstractNumId w:val="30"/>
  </w:num>
  <w:num w:numId="8">
    <w:abstractNumId w:val="21"/>
  </w:num>
  <w:num w:numId="9">
    <w:abstractNumId w:val="23"/>
  </w:num>
  <w:num w:numId="10">
    <w:abstractNumId w:val="5"/>
  </w:num>
  <w:num w:numId="11">
    <w:abstractNumId w:val="25"/>
  </w:num>
  <w:num w:numId="12">
    <w:abstractNumId w:val="10"/>
  </w:num>
  <w:num w:numId="13">
    <w:abstractNumId w:val="16"/>
  </w:num>
  <w:num w:numId="14">
    <w:abstractNumId w:val="15"/>
  </w:num>
  <w:num w:numId="15">
    <w:abstractNumId w:val="2"/>
  </w:num>
  <w:num w:numId="16">
    <w:abstractNumId w:val="18"/>
  </w:num>
  <w:num w:numId="17">
    <w:abstractNumId w:val="26"/>
  </w:num>
  <w:num w:numId="18">
    <w:abstractNumId w:val="17"/>
  </w:num>
  <w:num w:numId="19">
    <w:abstractNumId w:val="37"/>
  </w:num>
  <w:num w:numId="20">
    <w:abstractNumId w:val="11"/>
  </w:num>
  <w:num w:numId="21">
    <w:abstractNumId w:val="24"/>
  </w:num>
  <w:num w:numId="22">
    <w:abstractNumId w:val="31"/>
  </w:num>
  <w:num w:numId="23">
    <w:abstractNumId w:val="0"/>
  </w:num>
  <w:num w:numId="24">
    <w:abstractNumId w:val="32"/>
  </w:num>
  <w:num w:numId="25">
    <w:abstractNumId w:val="35"/>
  </w:num>
  <w:num w:numId="26">
    <w:abstractNumId w:val="33"/>
  </w:num>
  <w:num w:numId="27">
    <w:abstractNumId w:val="3"/>
  </w:num>
  <w:num w:numId="28">
    <w:abstractNumId w:val="12"/>
  </w:num>
  <w:num w:numId="29">
    <w:abstractNumId w:val="22"/>
  </w:num>
  <w:num w:numId="30">
    <w:abstractNumId w:val="29"/>
  </w:num>
  <w:num w:numId="31">
    <w:abstractNumId w:val="6"/>
  </w:num>
  <w:num w:numId="32">
    <w:abstractNumId w:val="14"/>
  </w:num>
  <w:num w:numId="33">
    <w:abstractNumId w:val="7"/>
  </w:num>
  <w:num w:numId="34">
    <w:abstractNumId w:val="20"/>
  </w:num>
  <w:num w:numId="35">
    <w:abstractNumId w:val="34"/>
  </w:num>
  <w:num w:numId="36">
    <w:abstractNumId w:val="8"/>
  </w:num>
  <w:num w:numId="37">
    <w:abstractNumId w:val="27"/>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304"/>
    <w:rsid w:val="00003BE5"/>
    <w:rsid w:val="00022429"/>
    <w:rsid w:val="00025696"/>
    <w:rsid w:val="0002633C"/>
    <w:rsid w:val="00037346"/>
    <w:rsid w:val="00044943"/>
    <w:rsid w:val="000476BB"/>
    <w:rsid w:val="000854C9"/>
    <w:rsid w:val="000A7F7B"/>
    <w:rsid w:val="000B00C0"/>
    <w:rsid w:val="000B3473"/>
    <w:rsid w:val="000C05E9"/>
    <w:rsid w:val="000C324C"/>
    <w:rsid w:val="000E20C3"/>
    <w:rsid w:val="000F7AE8"/>
    <w:rsid w:val="001051E6"/>
    <w:rsid w:val="00112EEA"/>
    <w:rsid w:val="00140593"/>
    <w:rsid w:val="0015590D"/>
    <w:rsid w:val="00157C4A"/>
    <w:rsid w:val="00170902"/>
    <w:rsid w:val="00171CED"/>
    <w:rsid w:val="001734E3"/>
    <w:rsid w:val="001873B6"/>
    <w:rsid w:val="001911C3"/>
    <w:rsid w:val="001936D2"/>
    <w:rsid w:val="001A0B17"/>
    <w:rsid w:val="001A5AFC"/>
    <w:rsid w:val="001A7CEE"/>
    <w:rsid w:val="001B292E"/>
    <w:rsid w:val="001D2927"/>
    <w:rsid w:val="001E48CD"/>
    <w:rsid w:val="001E6AE0"/>
    <w:rsid w:val="001F103A"/>
    <w:rsid w:val="001F306C"/>
    <w:rsid w:val="002013FB"/>
    <w:rsid w:val="002069C8"/>
    <w:rsid w:val="00236D72"/>
    <w:rsid w:val="002477AB"/>
    <w:rsid w:val="002537AA"/>
    <w:rsid w:val="002620CA"/>
    <w:rsid w:val="002622BE"/>
    <w:rsid w:val="00262FE6"/>
    <w:rsid w:val="00284346"/>
    <w:rsid w:val="002A3EFB"/>
    <w:rsid w:val="002A6CA5"/>
    <w:rsid w:val="002B05EE"/>
    <w:rsid w:val="002C2300"/>
    <w:rsid w:val="002D4304"/>
    <w:rsid w:val="002D4C4C"/>
    <w:rsid w:val="002E40C1"/>
    <w:rsid w:val="003119C2"/>
    <w:rsid w:val="00317014"/>
    <w:rsid w:val="003331C1"/>
    <w:rsid w:val="00336F4E"/>
    <w:rsid w:val="0036141B"/>
    <w:rsid w:val="00367787"/>
    <w:rsid w:val="003712C5"/>
    <w:rsid w:val="00374627"/>
    <w:rsid w:val="00392E2E"/>
    <w:rsid w:val="003E3A15"/>
    <w:rsid w:val="003F43FA"/>
    <w:rsid w:val="0040086B"/>
    <w:rsid w:val="0040588C"/>
    <w:rsid w:val="00406883"/>
    <w:rsid w:val="0041724A"/>
    <w:rsid w:val="0042180F"/>
    <w:rsid w:val="004233E5"/>
    <w:rsid w:val="00441392"/>
    <w:rsid w:val="00453192"/>
    <w:rsid w:val="00456F3C"/>
    <w:rsid w:val="00461E1E"/>
    <w:rsid w:val="004649E1"/>
    <w:rsid w:val="00466E1A"/>
    <w:rsid w:val="00492986"/>
    <w:rsid w:val="00497F97"/>
    <w:rsid w:val="004B4A43"/>
    <w:rsid w:val="004C2714"/>
    <w:rsid w:val="004C7B93"/>
    <w:rsid w:val="004E27DC"/>
    <w:rsid w:val="004E5F94"/>
    <w:rsid w:val="004F0781"/>
    <w:rsid w:val="004F16BE"/>
    <w:rsid w:val="004F48DF"/>
    <w:rsid w:val="004F6051"/>
    <w:rsid w:val="00524E3E"/>
    <w:rsid w:val="005303D8"/>
    <w:rsid w:val="00542296"/>
    <w:rsid w:val="00543C8E"/>
    <w:rsid w:val="00546021"/>
    <w:rsid w:val="00550499"/>
    <w:rsid w:val="00562857"/>
    <w:rsid w:val="00565475"/>
    <w:rsid w:val="005707B8"/>
    <w:rsid w:val="00572F1C"/>
    <w:rsid w:val="005851D5"/>
    <w:rsid w:val="005A4004"/>
    <w:rsid w:val="005A7BB8"/>
    <w:rsid w:val="005C2095"/>
    <w:rsid w:val="005E0705"/>
    <w:rsid w:val="005E2C68"/>
    <w:rsid w:val="005E530A"/>
    <w:rsid w:val="0061707E"/>
    <w:rsid w:val="00624C01"/>
    <w:rsid w:val="00632F98"/>
    <w:rsid w:val="00634F4C"/>
    <w:rsid w:val="00641A2F"/>
    <w:rsid w:val="00651E86"/>
    <w:rsid w:val="006531BC"/>
    <w:rsid w:val="00665601"/>
    <w:rsid w:val="00665E62"/>
    <w:rsid w:val="00683A03"/>
    <w:rsid w:val="006909CB"/>
    <w:rsid w:val="006C0797"/>
    <w:rsid w:val="006C1B89"/>
    <w:rsid w:val="006E624C"/>
    <w:rsid w:val="007044EB"/>
    <w:rsid w:val="00707EC5"/>
    <w:rsid w:val="007370F5"/>
    <w:rsid w:val="00754E91"/>
    <w:rsid w:val="007573F9"/>
    <w:rsid w:val="0075756F"/>
    <w:rsid w:val="00762FF5"/>
    <w:rsid w:val="00767F5B"/>
    <w:rsid w:val="00770F9C"/>
    <w:rsid w:val="00777800"/>
    <w:rsid w:val="00787BF7"/>
    <w:rsid w:val="007A4565"/>
    <w:rsid w:val="007A65C7"/>
    <w:rsid w:val="007B6A6B"/>
    <w:rsid w:val="007C226C"/>
    <w:rsid w:val="007D0006"/>
    <w:rsid w:val="007D6EDE"/>
    <w:rsid w:val="007F098A"/>
    <w:rsid w:val="00817470"/>
    <w:rsid w:val="0081767D"/>
    <w:rsid w:val="008337CB"/>
    <w:rsid w:val="00847D5C"/>
    <w:rsid w:val="0085056D"/>
    <w:rsid w:val="00855971"/>
    <w:rsid w:val="0085732E"/>
    <w:rsid w:val="008851B5"/>
    <w:rsid w:val="008B40A1"/>
    <w:rsid w:val="008B431F"/>
    <w:rsid w:val="008F660F"/>
    <w:rsid w:val="009017D8"/>
    <w:rsid w:val="00904EE4"/>
    <w:rsid w:val="00905CDA"/>
    <w:rsid w:val="0091058B"/>
    <w:rsid w:val="00921FCA"/>
    <w:rsid w:val="00933B12"/>
    <w:rsid w:val="0093537B"/>
    <w:rsid w:val="00962290"/>
    <w:rsid w:val="0098393C"/>
    <w:rsid w:val="00986D1C"/>
    <w:rsid w:val="009B26D5"/>
    <w:rsid w:val="009D329A"/>
    <w:rsid w:val="009E240D"/>
    <w:rsid w:val="009E668D"/>
    <w:rsid w:val="00A0123D"/>
    <w:rsid w:val="00A0194B"/>
    <w:rsid w:val="00A13D50"/>
    <w:rsid w:val="00A16FE8"/>
    <w:rsid w:val="00A20DE5"/>
    <w:rsid w:val="00A32288"/>
    <w:rsid w:val="00A32366"/>
    <w:rsid w:val="00A52AC2"/>
    <w:rsid w:val="00A5350A"/>
    <w:rsid w:val="00A656E2"/>
    <w:rsid w:val="00AA446F"/>
    <w:rsid w:val="00AB291C"/>
    <w:rsid w:val="00AB523C"/>
    <w:rsid w:val="00AD7439"/>
    <w:rsid w:val="00AE709F"/>
    <w:rsid w:val="00AF5919"/>
    <w:rsid w:val="00B31D53"/>
    <w:rsid w:val="00B32B3B"/>
    <w:rsid w:val="00B5183D"/>
    <w:rsid w:val="00B80011"/>
    <w:rsid w:val="00BB6275"/>
    <w:rsid w:val="00BB6825"/>
    <w:rsid w:val="00BC3BA8"/>
    <w:rsid w:val="00BE1CFE"/>
    <w:rsid w:val="00BE2D94"/>
    <w:rsid w:val="00BE3FF0"/>
    <w:rsid w:val="00BF318D"/>
    <w:rsid w:val="00BF5117"/>
    <w:rsid w:val="00C3222C"/>
    <w:rsid w:val="00C35C34"/>
    <w:rsid w:val="00C36E88"/>
    <w:rsid w:val="00C514B3"/>
    <w:rsid w:val="00C5497A"/>
    <w:rsid w:val="00C701DC"/>
    <w:rsid w:val="00C91CD6"/>
    <w:rsid w:val="00CA2BBB"/>
    <w:rsid w:val="00CA4701"/>
    <w:rsid w:val="00CA720B"/>
    <w:rsid w:val="00CB23C1"/>
    <w:rsid w:val="00CE1FBA"/>
    <w:rsid w:val="00CE76F6"/>
    <w:rsid w:val="00CE7F5A"/>
    <w:rsid w:val="00D01D1E"/>
    <w:rsid w:val="00D040E8"/>
    <w:rsid w:val="00D0777D"/>
    <w:rsid w:val="00D12557"/>
    <w:rsid w:val="00D16505"/>
    <w:rsid w:val="00D17263"/>
    <w:rsid w:val="00D65783"/>
    <w:rsid w:val="00D66438"/>
    <w:rsid w:val="00D84508"/>
    <w:rsid w:val="00D94881"/>
    <w:rsid w:val="00DA3607"/>
    <w:rsid w:val="00DA6593"/>
    <w:rsid w:val="00DB2C66"/>
    <w:rsid w:val="00DB3458"/>
    <w:rsid w:val="00DB6CC2"/>
    <w:rsid w:val="00DB7897"/>
    <w:rsid w:val="00DC2494"/>
    <w:rsid w:val="00DC32CD"/>
    <w:rsid w:val="00DC4A1C"/>
    <w:rsid w:val="00DD0948"/>
    <w:rsid w:val="00E2092B"/>
    <w:rsid w:val="00E246EF"/>
    <w:rsid w:val="00E2485C"/>
    <w:rsid w:val="00E767F4"/>
    <w:rsid w:val="00E83092"/>
    <w:rsid w:val="00E90A9D"/>
    <w:rsid w:val="00E916AC"/>
    <w:rsid w:val="00EA3513"/>
    <w:rsid w:val="00EB0C41"/>
    <w:rsid w:val="00EB667D"/>
    <w:rsid w:val="00EB7795"/>
    <w:rsid w:val="00ED5758"/>
    <w:rsid w:val="00F063AE"/>
    <w:rsid w:val="00F10DEF"/>
    <w:rsid w:val="00F120EB"/>
    <w:rsid w:val="00F13B39"/>
    <w:rsid w:val="00F17CE9"/>
    <w:rsid w:val="00F32FBD"/>
    <w:rsid w:val="00F51F6F"/>
    <w:rsid w:val="00F63427"/>
    <w:rsid w:val="00F8373B"/>
    <w:rsid w:val="00F93EB1"/>
    <w:rsid w:val="00FA0EE2"/>
    <w:rsid w:val="00FA398E"/>
    <w:rsid w:val="00FB4457"/>
    <w:rsid w:val="00FE03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C07B61"/>
  <w15:docId w15:val="{BA15D5B7-9490-43CD-84F9-959924E6F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40E8"/>
    <w:pPr>
      <w:spacing w:after="120" w:line="360" w:lineRule="auto"/>
      <w:jc w:val="both"/>
    </w:pPr>
    <w:rPr>
      <w:rFonts w:ascii="Georgia" w:hAnsi="Georgia"/>
    </w:rPr>
  </w:style>
  <w:style w:type="paragraph" w:styleId="Nadpis1">
    <w:name w:val="heading 1"/>
    <w:basedOn w:val="Normln"/>
    <w:next w:val="Normln"/>
    <w:link w:val="Nadpis1Char"/>
    <w:uiPriority w:val="9"/>
    <w:qFormat/>
    <w:rsid w:val="0015590D"/>
    <w:pPr>
      <w:keepNext/>
      <w:keepLines/>
      <w:numPr>
        <w:numId w:val="10"/>
      </w:numPr>
      <w:spacing w:before="240" w:after="0"/>
      <w:outlineLvl w:val="0"/>
    </w:pPr>
    <w:rPr>
      <w:rFonts w:eastAsiaTheme="majorEastAsia" w:cstheme="majorBidi"/>
      <w:b/>
      <w:bCs/>
      <w:sz w:val="32"/>
      <w:szCs w:val="28"/>
    </w:rPr>
  </w:style>
  <w:style w:type="paragraph" w:styleId="Nadpis2">
    <w:name w:val="heading 2"/>
    <w:basedOn w:val="Nadpis1"/>
    <w:next w:val="Normln"/>
    <w:link w:val="Nadpis2Char"/>
    <w:uiPriority w:val="9"/>
    <w:unhideWhenUsed/>
    <w:qFormat/>
    <w:rsid w:val="0015590D"/>
    <w:pPr>
      <w:numPr>
        <w:ilvl w:val="1"/>
      </w:numPr>
      <w:spacing w:before="100" w:beforeAutospacing="1" w:after="120"/>
      <w:outlineLvl w:val="1"/>
    </w:pPr>
    <w:rPr>
      <w:sz w:val="28"/>
    </w:rPr>
  </w:style>
  <w:style w:type="paragraph" w:styleId="Nadpis3">
    <w:name w:val="heading 3"/>
    <w:basedOn w:val="Nadpis2"/>
    <w:next w:val="Normln"/>
    <w:link w:val="Nadpis3Char"/>
    <w:uiPriority w:val="9"/>
    <w:unhideWhenUsed/>
    <w:qFormat/>
    <w:rsid w:val="0015590D"/>
    <w:pPr>
      <w:numPr>
        <w:ilvl w:val="2"/>
      </w:numPr>
      <w:outlineLvl w:val="2"/>
    </w:pPr>
    <w:rPr>
      <w:sz w:val="24"/>
    </w:rPr>
  </w:style>
  <w:style w:type="paragraph" w:styleId="Nadpis4">
    <w:name w:val="heading 4"/>
    <w:basedOn w:val="Normln"/>
    <w:next w:val="Normln"/>
    <w:link w:val="Nadpis4Char"/>
    <w:uiPriority w:val="9"/>
    <w:semiHidden/>
    <w:unhideWhenUsed/>
    <w:qFormat/>
    <w:rsid w:val="00A0123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cíl se seznamem,Odstavec se seznamem1,Nad,Odstavec se seznamem5,List Paragraph1"/>
    <w:basedOn w:val="Normln"/>
    <w:link w:val="OdstavecseseznamemChar"/>
    <w:uiPriority w:val="34"/>
    <w:qFormat/>
    <w:rsid w:val="001F103A"/>
    <w:pPr>
      <w:numPr>
        <w:numId w:val="18"/>
      </w:numPr>
      <w:ind w:left="714" w:hanging="357"/>
      <w:contextualSpacing/>
    </w:pPr>
    <w:rPr>
      <w:rFonts w:cs="Arial"/>
      <w:szCs w:val="20"/>
    </w:rPr>
  </w:style>
  <w:style w:type="character" w:customStyle="1" w:styleId="Nadpis1Char">
    <w:name w:val="Nadpis 1 Char"/>
    <w:basedOn w:val="Standardnpsmoodstavce"/>
    <w:link w:val="Nadpis1"/>
    <w:uiPriority w:val="9"/>
    <w:rsid w:val="0015590D"/>
    <w:rPr>
      <w:rFonts w:ascii="Georgia" w:eastAsiaTheme="majorEastAsia" w:hAnsi="Georgia" w:cstheme="majorBidi"/>
      <w:b/>
      <w:bCs/>
      <w:sz w:val="32"/>
      <w:szCs w:val="28"/>
    </w:rPr>
  </w:style>
  <w:style w:type="character" w:styleId="Odkaznakoment">
    <w:name w:val="annotation reference"/>
    <w:basedOn w:val="Standardnpsmoodstavce"/>
    <w:uiPriority w:val="99"/>
    <w:semiHidden/>
    <w:unhideWhenUsed/>
    <w:rsid w:val="003E3A15"/>
    <w:rPr>
      <w:sz w:val="16"/>
      <w:szCs w:val="16"/>
    </w:rPr>
  </w:style>
  <w:style w:type="paragraph" w:styleId="Textkomente">
    <w:name w:val="annotation text"/>
    <w:basedOn w:val="Normln"/>
    <w:link w:val="TextkomenteChar"/>
    <w:unhideWhenUsed/>
    <w:rsid w:val="003E3A15"/>
    <w:pPr>
      <w:spacing w:line="240" w:lineRule="auto"/>
    </w:pPr>
    <w:rPr>
      <w:sz w:val="20"/>
      <w:szCs w:val="20"/>
    </w:rPr>
  </w:style>
  <w:style w:type="character" w:customStyle="1" w:styleId="TextkomenteChar">
    <w:name w:val="Text komentáře Char"/>
    <w:basedOn w:val="Standardnpsmoodstavce"/>
    <w:link w:val="Textkomente"/>
    <w:rsid w:val="003E3A15"/>
    <w:rPr>
      <w:sz w:val="20"/>
      <w:szCs w:val="20"/>
    </w:rPr>
  </w:style>
  <w:style w:type="paragraph" w:styleId="Pedmtkomente">
    <w:name w:val="annotation subject"/>
    <w:basedOn w:val="Textkomente"/>
    <w:next w:val="Textkomente"/>
    <w:link w:val="PedmtkomenteChar"/>
    <w:uiPriority w:val="99"/>
    <w:semiHidden/>
    <w:unhideWhenUsed/>
    <w:rsid w:val="003E3A15"/>
    <w:rPr>
      <w:b/>
      <w:bCs/>
    </w:rPr>
  </w:style>
  <w:style w:type="character" w:customStyle="1" w:styleId="PedmtkomenteChar">
    <w:name w:val="Předmět komentáře Char"/>
    <w:basedOn w:val="TextkomenteChar"/>
    <w:link w:val="Pedmtkomente"/>
    <w:uiPriority w:val="99"/>
    <w:semiHidden/>
    <w:rsid w:val="003E3A15"/>
    <w:rPr>
      <w:b/>
      <w:bCs/>
      <w:sz w:val="20"/>
      <w:szCs w:val="20"/>
    </w:rPr>
  </w:style>
  <w:style w:type="paragraph" w:styleId="Textbubliny">
    <w:name w:val="Balloon Text"/>
    <w:basedOn w:val="Normln"/>
    <w:link w:val="TextbublinyChar"/>
    <w:uiPriority w:val="99"/>
    <w:semiHidden/>
    <w:unhideWhenUsed/>
    <w:rsid w:val="003E3A1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E3A15"/>
    <w:rPr>
      <w:rFonts w:ascii="Tahoma" w:hAnsi="Tahoma" w:cs="Tahoma"/>
      <w:sz w:val="16"/>
      <w:szCs w:val="16"/>
    </w:rPr>
  </w:style>
  <w:style w:type="character" w:customStyle="1" w:styleId="normlnChar">
    <w:name w:val="normální Char"/>
    <w:rsid w:val="005E0705"/>
    <w:rPr>
      <w:rFonts w:ascii="Arial" w:hAnsi="Arial"/>
      <w:bCs/>
      <w:sz w:val="24"/>
      <w:lang w:val="cs-CZ" w:eastAsia="cs-CZ" w:bidi="ar-SA"/>
    </w:rPr>
  </w:style>
  <w:style w:type="paragraph" w:styleId="Revize">
    <w:name w:val="Revision"/>
    <w:hidden/>
    <w:uiPriority w:val="99"/>
    <w:semiHidden/>
    <w:rsid w:val="00F63427"/>
    <w:pPr>
      <w:spacing w:after="0" w:line="240" w:lineRule="auto"/>
    </w:pPr>
  </w:style>
  <w:style w:type="paragraph" w:styleId="Zhlav">
    <w:name w:val="header"/>
    <w:basedOn w:val="Normln"/>
    <w:link w:val="ZhlavChar"/>
    <w:uiPriority w:val="99"/>
    <w:unhideWhenUsed/>
    <w:rsid w:val="00C3222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3222C"/>
  </w:style>
  <w:style w:type="paragraph" w:styleId="Zpat">
    <w:name w:val="footer"/>
    <w:basedOn w:val="Normln"/>
    <w:link w:val="ZpatChar"/>
    <w:uiPriority w:val="99"/>
    <w:unhideWhenUsed/>
    <w:rsid w:val="00C3222C"/>
    <w:pPr>
      <w:tabs>
        <w:tab w:val="center" w:pos="4536"/>
        <w:tab w:val="right" w:pos="9072"/>
      </w:tabs>
      <w:spacing w:after="0" w:line="240" w:lineRule="auto"/>
    </w:pPr>
  </w:style>
  <w:style w:type="character" w:customStyle="1" w:styleId="ZpatChar">
    <w:name w:val="Zápatí Char"/>
    <w:basedOn w:val="Standardnpsmoodstavce"/>
    <w:link w:val="Zpat"/>
    <w:uiPriority w:val="99"/>
    <w:rsid w:val="00C3222C"/>
  </w:style>
  <w:style w:type="table" w:customStyle="1" w:styleId="Tabulkasmkou41">
    <w:name w:val="Tabulka s mřížkou 41"/>
    <w:basedOn w:val="Normlntabulka"/>
    <w:uiPriority w:val="49"/>
    <w:rsid w:val="00F13B3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dstavecseseznamemChar">
    <w:name w:val="Odstavec se seznamem Char"/>
    <w:aliases w:val="Odstavec cíl se seznamem Char,Odstavec se seznamem1 Char,Nad Char,Odstavec se seznamem5 Char,List Paragraph1 Char"/>
    <w:link w:val="Odstavecseseznamem"/>
    <w:uiPriority w:val="34"/>
    <w:locked/>
    <w:rsid w:val="00F13B39"/>
    <w:rPr>
      <w:rFonts w:ascii="Arial" w:hAnsi="Arial" w:cs="Arial"/>
      <w:szCs w:val="20"/>
    </w:rPr>
  </w:style>
  <w:style w:type="table" w:styleId="Mkatabulky">
    <w:name w:val="Table Grid"/>
    <w:basedOn w:val="Normlntabulka"/>
    <w:uiPriority w:val="59"/>
    <w:rsid w:val="00F13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mavtabulkasmkou51">
    <w:name w:val="Tmavá tabulka s mřížkou 51"/>
    <w:basedOn w:val="Normlntabulka"/>
    <w:uiPriority w:val="50"/>
    <w:rsid w:val="00F13B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1">
    <w:name w:val="Styl1"/>
    <w:basedOn w:val="Normlntabulka"/>
    <w:uiPriority w:val="99"/>
    <w:rsid w:val="007C226C"/>
    <w:pPr>
      <w:spacing w:after="120" w:line="360" w:lineRule="auto"/>
    </w:pPr>
    <w:rPr>
      <w:rFonts w:ascii="Arial" w:hAnsi="Arial"/>
    </w:rPr>
    <w:tblPr>
      <w:tblBorders>
        <w:top w:val="single" w:sz="4" w:space="0" w:color="467A26"/>
        <w:left w:val="single" w:sz="4" w:space="0" w:color="467A26"/>
        <w:bottom w:val="single" w:sz="4" w:space="0" w:color="467A26"/>
        <w:right w:val="single" w:sz="4" w:space="0" w:color="467A26"/>
        <w:insideH w:val="single" w:sz="4" w:space="0" w:color="467A26"/>
        <w:insideV w:val="single" w:sz="4" w:space="0" w:color="467A26"/>
      </w:tblBorders>
    </w:tblPr>
    <w:tblStylePr w:type="firstRow">
      <w:pPr>
        <w:wordWrap/>
        <w:jc w:val="center"/>
      </w:pPr>
      <w:rPr>
        <w:rFonts w:ascii="Arial" w:hAnsi="Arial"/>
        <w:b/>
        <w:color w:val="FFFFFF" w:themeColor="background1"/>
        <w:sz w:val="22"/>
      </w:rPr>
      <w:tblPr/>
      <w:tcPr>
        <w:tcBorders>
          <w:top w:val="single" w:sz="4" w:space="0" w:color="467A26"/>
          <w:left w:val="single" w:sz="4" w:space="0" w:color="467A26"/>
          <w:bottom w:val="single" w:sz="4" w:space="0" w:color="467A26"/>
          <w:right w:val="single" w:sz="4" w:space="0" w:color="467A26"/>
          <w:insideH w:val="single" w:sz="4" w:space="0" w:color="467A26"/>
          <w:insideV w:val="single" w:sz="4" w:space="0" w:color="467A26"/>
        </w:tcBorders>
        <w:shd w:val="clear" w:color="auto" w:fill="467A26"/>
      </w:tcPr>
    </w:tblStylePr>
    <w:tblStylePr w:type="firstCol">
      <w:rPr>
        <w:rFonts w:ascii="Arial" w:hAnsi="Arial"/>
        <w:b/>
        <w:color w:val="FFFFFF" w:themeColor="background1"/>
        <w:sz w:val="22"/>
      </w:rPr>
      <w:tblPr/>
      <w:tcPr>
        <w:shd w:val="clear" w:color="auto" w:fill="7BC143"/>
      </w:tcPr>
    </w:tblStylePr>
  </w:style>
  <w:style w:type="paragraph" w:styleId="Titulek">
    <w:name w:val="caption"/>
    <w:basedOn w:val="Normln"/>
    <w:next w:val="Normln"/>
    <w:link w:val="TitulekChar"/>
    <w:unhideWhenUsed/>
    <w:qFormat/>
    <w:rsid w:val="007C226C"/>
    <w:pPr>
      <w:keepNext/>
      <w:spacing w:after="200" w:line="240" w:lineRule="auto"/>
    </w:pPr>
    <w:rPr>
      <w:b/>
      <w:iCs/>
      <w:szCs w:val="18"/>
    </w:rPr>
  </w:style>
  <w:style w:type="table" w:customStyle="1" w:styleId="Styl2">
    <w:name w:val="Styl2"/>
    <w:basedOn w:val="Normlntabulka"/>
    <w:uiPriority w:val="99"/>
    <w:rsid w:val="00E2092B"/>
    <w:pPr>
      <w:spacing w:after="0" w:line="360" w:lineRule="auto"/>
    </w:pPr>
    <w:rPr>
      <w:rFonts w:ascii="Arial" w:hAnsi="Arial"/>
      <w:sz w:val="20"/>
    </w:rPr>
    <w:tblPr>
      <w:tblStyleRowBandSize w:val="1"/>
      <w:tblBorders>
        <w:top w:val="single" w:sz="4" w:space="0" w:color="467A26"/>
        <w:left w:val="single" w:sz="4" w:space="0" w:color="467A26"/>
        <w:bottom w:val="single" w:sz="4" w:space="0" w:color="467A26"/>
        <w:right w:val="single" w:sz="4" w:space="0" w:color="467A26"/>
        <w:insideH w:val="single" w:sz="4" w:space="0" w:color="467A26"/>
        <w:insideV w:val="single" w:sz="4" w:space="0" w:color="467A26"/>
      </w:tblBorders>
    </w:tblPr>
    <w:tblStylePr w:type="firstRow">
      <w:rPr>
        <w:rFonts w:ascii="Arial" w:hAnsi="Arial"/>
        <w:b/>
        <w:color w:val="FFFFFF" w:themeColor="background1"/>
        <w:sz w:val="22"/>
      </w:rPr>
      <w:tblPr/>
      <w:tcPr>
        <w:tcBorders>
          <w:top w:val="single" w:sz="4" w:space="0" w:color="467A26"/>
          <w:left w:val="single" w:sz="4" w:space="0" w:color="467A26"/>
          <w:bottom w:val="single" w:sz="4" w:space="0" w:color="467A26"/>
          <w:right w:val="single" w:sz="4" w:space="0" w:color="467A26"/>
          <w:insideH w:val="single" w:sz="4" w:space="0" w:color="467A26"/>
          <w:insideV w:val="single" w:sz="4" w:space="0" w:color="467A26"/>
        </w:tcBorders>
        <w:shd w:val="clear" w:color="auto" w:fill="467A26"/>
      </w:tcPr>
    </w:tblStylePr>
    <w:tblStylePr w:type="firstCol">
      <w:tblPr/>
      <w:tcPr>
        <w:tcBorders>
          <w:top w:val="single" w:sz="4" w:space="0" w:color="467A26"/>
          <w:left w:val="single" w:sz="4" w:space="0" w:color="467A26"/>
          <w:bottom w:val="single" w:sz="4" w:space="0" w:color="467A26"/>
          <w:right w:val="single" w:sz="4" w:space="0" w:color="467A26"/>
          <w:insideH w:val="single" w:sz="4" w:space="0" w:color="467A26"/>
          <w:insideV w:val="single" w:sz="4" w:space="0" w:color="467A26"/>
        </w:tcBorders>
      </w:tcPr>
    </w:tblStylePr>
    <w:tblStylePr w:type="band1Horz">
      <w:tblPr/>
      <w:tcPr>
        <w:shd w:val="clear" w:color="auto" w:fill="CEE5B8"/>
      </w:tcPr>
    </w:tblStylePr>
    <w:tblStylePr w:type="band2Horz">
      <w:pPr>
        <w:jc w:val="left"/>
      </w:pPr>
      <w:rPr>
        <w:rFonts w:ascii="Arial" w:hAnsi="Arial"/>
        <w:b w:val="0"/>
        <w:i w:val="0"/>
        <w:sz w:val="20"/>
      </w:rPr>
      <w:tblPr/>
      <w:tcPr>
        <w:vAlign w:val="center"/>
      </w:tcPr>
    </w:tblStylePr>
  </w:style>
  <w:style w:type="table" w:customStyle="1" w:styleId="Svtlmkatabulky1">
    <w:name w:val="Světlá mřížka tabulky1"/>
    <w:basedOn w:val="Normlntabulka"/>
    <w:uiPriority w:val="40"/>
    <w:rsid w:val="00847D5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idebarBulletText2">
    <w:name w:val="Sidebar Bullet Text 2"/>
    <w:basedOn w:val="Normln"/>
    <w:qFormat/>
    <w:rsid w:val="007D6EDE"/>
    <w:pPr>
      <w:numPr>
        <w:numId w:val="30"/>
      </w:numPr>
      <w:spacing w:after="0" w:line="250" w:lineRule="atLeast"/>
      <w:ind w:left="340" w:hanging="170"/>
      <w:jc w:val="left"/>
    </w:pPr>
    <w:rPr>
      <w:rFonts w:asciiTheme="minorHAnsi" w:hAnsiTheme="minorHAnsi"/>
      <w:color w:val="FFFFFF" w:themeColor="background1"/>
      <w:sz w:val="18"/>
      <w:lang w:val="en-GB"/>
    </w:rPr>
  </w:style>
  <w:style w:type="character" w:customStyle="1" w:styleId="Nadpis2Char">
    <w:name w:val="Nadpis 2 Char"/>
    <w:basedOn w:val="Standardnpsmoodstavce"/>
    <w:link w:val="Nadpis2"/>
    <w:uiPriority w:val="9"/>
    <w:rsid w:val="0015590D"/>
    <w:rPr>
      <w:rFonts w:ascii="Georgia" w:eastAsiaTheme="majorEastAsia" w:hAnsi="Georgia" w:cstheme="majorBidi"/>
      <w:b/>
      <w:bCs/>
      <w:sz w:val="28"/>
      <w:szCs w:val="28"/>
    </w:rPr>
  </w:style>
  <w:style w:type="character" w:customStyle="1" w:styleId="Nadpis3Char">
    <w:name w:val="Nadpis 3 Char"/>
    <w:basedOn w:val="Standardnpsmoodstavce"/>
    <w:link w:val="Nadpis3"/>
    <w:uiPriority w:val="9"/>
    <w:rsid w:val="0015590D"/>
    <w:rPr>
      <w:rFonts w:ascii="Georgia" w:eastAsiaTheme="majorEastAsia" w:hAnsi="Georgia" w:cstheme="majorBidi"/>
      <w:b/>
      <w:bCs/>
      <w:sz w:val="24"/>
      <w:szCs w:val="28"/>
    </w:rPr>
  </w:style>
  <w:style w:type="character" w:customStyle="1" w:styleId="Nadpis4Char">
    <w:name w:val="Nadpis 4 Char"/>
    <w:basedOn w:val="Standardnpsmoodstavce"/>
    <w:link w:val="Nadpis4"/>
    <w:uiPriority w:val="9"/>
    <w:semiHidden/>
    <w:rsid w:val="00A0123D"/>
    <w:rPr>
      <w:rFonts w:asciiTheme="majorHAnsi" w:eastAsiaTheme="majorEastAsia" w:hAnsiTheme="majorHAnsi" w:cstheme="majorBidi"/>
      <w:i/>
      <w:iCs/>
      <w:color w:val="365F91" w:themeColor="accent1" w:themeShade="BF"/>
    </w:rPr>
  </w:style>
  <w:style w:type="character" w:styleId="Znakapoznpodarou">
    <w:name w:val="footnote reference"/>
    <w:aliases w:val="Überschrift 4 Zchn1,Título 4 Car Zchn,Heading 4 Char1 Car Zchn,no vale 2 Zchn,no vale 2 Car Zchn,PGI Fußnote Ziffer,BVI fnr,Footnote symbol,Footnote Reference Superscript,Appel note de bas de p,Appel note de bas de page,Légende"/>
    <w:basedOn w:val="Standardnpsmoodstavce"/>
    <w:uiPriority w:val="99"/>
    <w:rsid w:val="00A0123D"/>
    <w:rPr>
      <w:rFonts w:ascii="Arial" w:hAnsi="Arial"/>
      <w:sz w:val="16"/>
      <w:vertAlign w:val="superscript"/>
    </w:rPr>
  </w:style>
  <w:style w:type="paragraph" w:styleId="Textpoznpodarou">
    <w:name w:val="footnote text"/>
    <w:aliases w:val="Char1,Schriftart: 9 pt,Schriftart: 10 pt,Schriftart: 8 pt,Text poznámky pod čiarou 007,Footnote,Fußnotentextf,Geneva 9,Font: Geneva 9,Boston 10,f,pozn. pod čarou,Text pozn. pod čarou1,Char Char Char1,Footnote Text Char1,o, Char1,fn"/>
    <w:basedOn w:val="Normln"/>
    <w:link w:val="TextpoznpodarouChar"/>
    <w:uiPriority w:val="99"/>
    <w:qFormat/>
    <w:rsid w:val="00262FE6"/>
    <w:rPr>
      <w:rFonts w:eastAsia="Times New Roman" w:cs="Times New Roman"/>
      <w:sz w:val="20"/>
      <w:szCs w:val="20"/>
    </w:rPr>
  </w:style>
  <w:style w:type="character" w:customStyle="1" w:styleId="TextpoznpodarouChar">
    <w:name w:val="Text pozn. pod čarou Char"/>
    <w:aliases w:val="Char1 Char,Schriftart: 9 pt Char,Schriftart: 10 pt Char,Schriftart: 8 pt Char,Text poznámky pod čiarou 007 Char,Footnote Char,Fußnotentextf Char,Geneva 9 Char,Font: Geneva 9 Char,Boston 10 Char,f Char,pozn. pod čarou Char"/>
    <w:basedOn w:val="Standardnpsmoodstavce"/>
    <w:link w:val="Textpoznpodarou"/>
    <w:uiPriority w:val="99"/>
    <w:rsid w:val="00262FE6"/>
    <w:rPr>
      <w:rFonts w:ascii="Arial" w:eastAsia="Times New Roman" w:hAnsi="Arial" w:cs="Times New Roman"/>
      <w:sz w:val="20"/>
      <w:szCs w:val="20"/>
    </w:rPr>
  </w:style>
  <w:style w:type="character" w:customStyle="1" w:styleId="TitulekChar">
    <w:name w:val="Titulek Char"/>
    <w:basedOn w:val="Standardnpsmoodstavce"/>
    <w:link w:val="Titulek"/>
    <w:rsid w:val="0040588C"/>
    <w:rPr>
      <w:rFonts w:ascii="Arial" w:hAnsi="Arial"/>
      <w:b/>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563388">
      <w:bodyDiv w:val="1"/>
      <w:marLeft w:val="0"/>
      <w:marRight w:val="0"/>
      <w:marTop w:val="0"/>
      <w:marBottom w:val="0"/>
      <w:divBdr>
        <w:top w:val="none" w:sz="0" w:space="0" w:color="auto"/>
        <w:left w:val="none" w:sz="0" w:space="0" w:color="auto"/>
        <w:bottom w:val="none" w:sz="0" w:space="0" w:color="auto"/>
        <w:right w:val="none" w:sz="0" w:space="0" w:color="auto"/>
      </w:divBdr>
    </w:div>
    <w:div w:id="966009484">
      <w:bodyDiv w:val="1"/>
      <w:marLeft w:val="0"/>
      <w:marRight w:val="0"/>
      <w:marTop w:val="0"/>
      <w:marBottom w:val="0"/>
      <w:divBdr>
        <w:top w:val="none" w:sz="0" w:space="0" w:color="auto"/>
        <w:left w:val="none" w:sz="0" w:space="0" w:color="auto"/>
        <w:bottom w:val="none" w:sz="0" w:space="0" w:color="auto"/>
        <w:right w:val="none" w:sz="0" w:space="0" w:color="auto"/>
      </w:divBdr>
    </w:div>
    <w:div w:id="100886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3A968-0644-47CC-80F2-51286A2BE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4717</Words>
  <Characters>27831</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32484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Navratil Lukas</dc:creator>
  <cp:lastModifiedBy>Jan Hlaváček</cp:lastModifiedBy>
  <cp:revision>5</cp:revision>
  <cp:lastPrinted>2017-09-08T12:09:00Z</cp:lastPrinted>
  <dcterms:created xsi:type="dcterms:W3CDTF">2017-08-24T12:12:00Z</dcterms:created>
  <dcterms:modified xsi:type="dcterms:W3CDTF">2017-09-13T13:01:00Z</dcterms:modified>
</cp:coreProperties>
</file>