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  <w:tab/>
        <w:t>POH/08586/2026</w:t>
      </w:r>
    </w:p>
    <w:p>
      <w:pPr>
        <w:widowControl w:val="0"/>
        <w:spacing w:line="360" w:lineRule="exact"/>
      </w:pPr>
      <w:r>
        <w:drawing>
          <wp:anchor distT="0" distB="461645" distL="0" distR="2934335" simplePos="0" relativeHeight="62914690" behindDoc="1" locked="0" layoutInCell="1" allowOverlap="1">
            <wp:simplePos x="0" y="0"/>
            <wp:positionH relativeFrom="page">
              <wp:posOffset>501015</wp:posOffset>
            </wp:positionH>
            <wp:positionV relativeFrom="margin">
              <wp:posOffset>0</wp:posOffset>
            </wp:positionV>
            <wp:extent cx="1649730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9" w:right="570" w:bottom="1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24.02.2026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12700</wp:posOffset>
                </wp:positionV>
                <wp:extent cx="1026795" cy="64706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6795" cy="647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101064/182/2026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72 500,00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600018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2.5pt;margin-top:1.pt;width:80.850000000000009pt;height:5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101064/182/2026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72 500,00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600018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pokácení 19 ks stromů a odstranění 5 ks vývratů na pozemcích ppč. 1866/18, kú. Mnichov u M. Lázní a ppč. 1517/1, kú. Louka u M. Lázní Pramenského potoka, ř. km 2,385 - 2,750 dle nabídky ze dne 20.2.2026. Cena je vč. dopravy a likvidace těžebních zbytků, které nebudou na místě páleny. Odkup využitelné dřevní hmoty 7,9 plm za 5 135 Kč bez DPH bude vzájemným zápočtem.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1105" w:right="853" w:bottom="1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+420 474 636111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Chomutov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6212205" cy="67754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789" w:right="570" w:bottom="1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