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18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63553660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Dětský domov Karlovy Vary a Ostrov, příspěvková organizace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Dukelských hrdinů 610/0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 01  Ostrov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05029457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A7 camps, z.s.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Partyzánská 3024/13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  Prostějov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Objednávka LDT - 6.RS Dalovice</w:t>
              <w:br/>
              <w:br/>
              <w:t>Objednávám letní dětský tábor Bezdružice</w:t>
              <w:br/>
              <w:t>Termín:  1.7. - 10.7. 2026 (počet dětí 5)</w:t>
              <w:br/>
              <w:t xml:space="preserve">        10.7. - 19.7. 2026 (počet dětí 5)</w:t>
              <w:br/>
              <w:br/>
              <w:br/>
              <w:br/>
              <w:t>Částka celkem: 57 900,- Kč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02.03.2026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Pospíchalová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+420731138251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ved.ekonom@ddkvo.cz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LibreOffice/7.3.6.2$Windows_X86_64 LibreOffice_project/c28ca90fd6e1a19e189fc16c05f8f8924961e12e</Application>
  <AppVersion>15.0000</AppVersion>
  <Pages>1</Pages>
  <Words>120</Words>
  <Characters>613</Characters>
  <CharactersWithSpaces>717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2026-03-02T09:48:43Z</dcterms:modified>
  <cp:revision>1</cp:revision>
  <dc:subject/>
  <dc:title/>
</cp:coreProperties>
</file>