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5519" w14:textId="77777777" w:rsidR="00937681" w:rsidRDefault="005D0B2C">
      <w:pPr>
        <w:pStyle w:val="Nadpis1"/>
        <w:jc w:val="center"/>
        <w:rPr>
          <w:sz w:val="22"/>
          <w:szCs w:val="22"/>
        </w:rPr>
      </w:pPr>
      <w:bookmarkStart w:id="0" w:name="_66goxbytc09d"/>
      <w:bookmarkEnd w:id="0"/>
      <w:r>
        <w:br/>
        <w:t xml:space="preserve">Smlouva o poskytování </w:t>
      </w:r>
      <w:r>
        <w:br/>
        <w:t>cloudových služeb</w:t>
      </w:r>
      <w:r>
        <w:br/>
      </w:r>
      <w:r>
        <w:rPr>
          <w:sz w:val="22"/>
          <w:szCs w:val="22"/>
        </w:rPr>
        <w:t xml:space="preserve">(dále jen „Smlouva“) uzavřená 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1746, odst. 2 zákona č. 89/2012 Sb., občanského zákoníku, ve znění pozdějších předpisů</w:t>
      </w:r>
    </w:p>
    <w:p w14:paraId="7EB45833" w14:textId="77777777" w:rsidR="00937681" w:rsidRDefault="00937681">
      <w:pPr>
        <w:pStyle w:val="LO-normal"/>
        <w:rPr>
          <w:b/>
          <w:shd w:val="clear" w:color="auto" w:fill="00FF00"/>
        </w:rPr>
      </w:pPr>
    </w:p>
    <w:p w14:paraId="67A89E9A" w14:textId="77777777" w:rsidR="00937681" w:rsidRDefault="00937681">
      <w:pPr>
        <w:pStyle w:val="LO-normal"/>
      </w:pPr>
    </w:p>
    <w:p w14:paraId="4AD9605F" w14:textId="77777777" w:rsidR="00937681" w:rsidRDefault="005D0B2C">
      <w:pPr>
        <w:pStyle w:val="LO-normal"/>
        <w:jc w:val="center"/>
        <w:rPr>
          <w:b/>
        </w:rPr>
      </w:pPr>
      <w:r>
        <w:rPr>
          <w:b/>
        </w:rPr>
        <w:t>mezi</w:t>
      </w:r>
    </w:p>
    <w:p w14:paraId="105301F8" w14:textId="77777777" w:rsidR="00937681" w:rsidRDefault="00937681">
      <w:pPr>
        <w:pStyle w:val="LO-normal"/>
        <w:jc w:val="center"/>
        <w:rPr>
          <w:b/>
        </w:rPr>
      </w:pPr>
    </w:p>
    <w:p w14:paraId="5B7F3852" w14:textId="77777777" w:rsidR="00937681" w:rsidRDefault="005D0B2C">
      <w:pPr>
        <w:pStyle w:val="LO-normal"/>
      </w:pPr>
      <w:r>
        <w:rPr>
          <w:b/>
        </w:rPr>
        <w:t>MEDORO s.r.o.</w:t>
      </w:r>
      <w:r>
        <w:rPr>
          <w:b/>
        </w:rPr>
        <w:br/>
      </w:r>
      <w:r>
        <w:t>se sídlem Štrossova 567, Bílé Předměstí, 530 03 Pardubice</w:t>
      </w:r>
    </w:p>
    <w:p w14:paraId="3AA08897" w14:textId="77777777" w:rsidR="00937681" w:rsidRDefault="005D0B2C">
      <w:pPr>
        <w:pStyle w:val="LO-normal"/>
      </w:pPr>
      <w:r>
        <w:t>IČ: 26002612, DIČ: CZ26002612</w:t>
      </w:r>
    </w:p>
    <w:p w14:paraId="3BA4EACA" w14:textId="77777777" w:rsidR="00937681" w:rsidRDefault="005D0B2C">
      <w:pPr>
        <w:pStyle w:val="LO-normal"/>
      </w:pPr>
      <w:r>
        <w:t>zapsaná v obchodním rejstříku vedeném u Krajského soudu v Hradci Králové, oddíl C, vložka 19430</w:t>
      </w:r>
    </w:p>
    <w:p w14:paraId="082AA0D4" w14:textId="67648D87" w:rsidR="00937681" w:rsidRDefault="005D0B2C" w:rsidP="00622F75">
      <w:pPr>
        <w:pStyle w:val="LO-normal"/>
      </w:pPr>
      <w:r>
        <w:t xml:space="preserve">zastoupená Ondřejem </w:t>
      </w:r>
      <w:proofErr w:type="spellStart"/>
      <w:r>
        <w:t>Koloničným</w:t>
      </w:r>
      <w:proofErr w:type="spellEnd"/>
      <w:r>
        <w:t xml:space="preserve">, jednatelem </w:t>
      </w:r>
    </w:p>
    <w:p w14:paraId="5A7C55FE" w14:textId="270AD397" w:rsidR="00622F75" w:rsidRDefault="00622F75" w:rsidP="00622F75">
      <w:pPr>
        <w:pStyle w:val="LO-normal"/>
      </w:pPr>
      <w:r>
        <w:t xml:space="preserve">bankovní spojení: </w:t>
      </w:r>
    </w:p>
    <w:p w14:paraId="66688EF9" w14:textId="6564157B" w:rsidR="00937681" w:rsidRDefault="005D0B2C">
      <w:pPr>
        <w:pStyle w:val="LO-normal"/>
      </w:pPr>
      <w:r>
        <w:t xml:space="preserve">č. účtu: </w:t>
      </w:r>
    </w:p>
    <w:p w14:paraId="5441DBDE" w14:textId="77777777" w:rsidR="00937681" w:rsidRDefault="005D0B2C">
      <w:pPr>
        <w:pStyle w:val="LO-normal"/>
      </w:pPr>
      <w:r>
        <w:t xml:space="preserve">(dále též </w:t>
      </w:r>
      <w:r>
        <w:rPr>
          <w:b/>
        </w:rPr>
        <w:t>„Poskytovatel“</w:t>
      </w:r>
      <w:r>
        <w:t xml:space="preserve"> na straně druhé)</w:t>
      </w:r>
    </w:p>
    <w:p w14:paraId="7D9CC5B0" w14:textId="77777777" w:rsidR="00937681" w:rsidRDefault="00937681">
      <w:pPr>
        <w:pStyle w:val="LO-normal"/>
      </w:pPr>
    </w:p>
    <w:p w14:paraId="0258DC50" w14:textId="77777777" w:rsidR="00937681" w:rsidRDefault="005D0B2C">
      <w:pPr>
        <w:pStyle w:val="LO-normal"/>
      </w:pPr>
      <w:r>
        <w:t>a</w:t>
      </w:r>
    </w:p>
    <w:p w14:paraId="2608A7C8" w14:textId="77777777" w:rsidR="00937681" w:rsidRDefault="00937681">
      <w:pPr>
        <w:pStyle w:val="LO-normal"/>
      </w:pPr>
    </w:p>
    <w:p w14:paraId="696D7CE9" w14:textId="77777777" w:rsidR="00C0393F" w:rsidRDefault="00C0393F">
      <w:pPr>
        <w:pStyle w:val="LO-normal"/>
      </w:pPr>
      <w:r w:rsidRPr="00622F75">
        <w:t>Městská nemocnice v Odrách, příspěvková organizace</w:t>
      </w:r>
    </w:p>
    <w:p w14:paraId="286179D4" w14:textId="645D3D2A" w:rsidR="00937681" w:rsidRDefault="00C0393F">
      <w:pPr>
        <w:pStyle w:val="LO-normal"/>
      </w:pPr>
      <w:r>
        <w:t>se sí</w:t>
      </w:r>
      <w:r w:rsidR="005D0B2C">
        <w:t xml:space="preserve">dlem </w:t>
      </w:r>
      <w:r>
        <w:t>Nadační 375/1, 742 35 Odry</w:t>
      </w:r>
    </w:p>
    <w:p w14:paraId="3E8B9102" w14:textId="00A2180F" w:rsidR="00937681" w:rsidRDefault="005D0B2C">
      <w:pPr>
        <w:pStyle w:val="LO-normal"/>
      </w:pPr>
      <w:r>
        <w:t xml:space="preserve">IČ: </w:t>
      </w:r>
      <w:r w:rsidR="00C0393F">
        <w:t>66183596</w:t>
      </w:r>
      <w:r>
        <w:t xml:space="preserve">, DIČ: </w:t>
      </w:r>
      <w:r w:rsidR="00C0393F">
        <w:t>CZ66183596</w:t>
      </w:r>
    </w:p>
    <w:p w14:paraId="0B46CF26" w14:textId="4DEAABFA" w:rsidR="00937681" w:rsidRDefault="00C0393F">
      <w:pPr>
        <w:pStyle w:val="LO-normal"/>
      </w:pPr>
      <w:r>
        <w:t>z</w:t>
      </w:r>
      <w:r w:rsidR="005D0B2C">
        <w:t>apsaná</w:t>
      </w:r>
      <w:r>
        <w:t>: nezapisuje se</w:t>
      </w:r>
    </w:p>
    <w:p w14:paraId="36859AFB" w14:textId="15C74940" w:rsidR="00937681" w:rsidRDefault="00C0393F">
      <w:pPr>
        <w:pStyle w:val="LO-normal"/>
      </w:pPr>
      <w:r>
        <w:t>z</w:t>
      </w:r>
      <w:r w:rsidR="005D0B2C">
        <w:t xml:space="preserve">astoupená </w:t>
      </w:r>
      <w:r>
        <w:t xml:space="preserve">Ing. Martinem </w:t>
      </w:r>
      <w:proofErr w:type="spellStart"/>
      <w:r>
        <w:t>Šmausem</w:t>
      </w:r>
      <w:proofErr w:type="spellEnd"/>
      <w:r>
        <w:t>, ředitelem</w:t>
      </w:r>
    </w:p>
    <w:p w14:paraId="3C8AB580" w14:textId="454BFF74" w:rsidR="006E7080" w:rsidRDefault="006E7080">
      <w:pPr>
        <w:pStyle w:val="LO-normal"/>
      </w:pPr>
      <w:r>
        <w:t>bankovní spojení:</w:t>
      </w:r>
      <w:r w:rsidR="00C0393F">
        <w:t xml:space="preserve"> </w:t>
      </w:r>
    </w:p>
    <w:p w14:paraId="5DE527F4" w14:textId="4B98F06A" w:rsidR="006E7080" w:rsidRDefault="006E7080">
      <w:pPr>
        <w:pStyle w:val="LO-normal"/>
      </w:pPr>
      <w:r>
        <w:t>č. účtu:</w:t>
      </w:r>
      <w:r w:rsidR="00C0393F">
        <w:t xml:space="preserve"> </w:t>
      </w:r>
    </w:p>
    <w:p w14:paraId="3E974F2C" w14:textId="77777777" w:rsidR="00937681" w:rsidRDefault="005D0B2C">
      <w:pPr>
        <w:pStyle w:val="LO-normal"/>
      </w:pPr>
      <w:r>
        <w:t xml:space="preserve">(dále též </w:t>
      </w:r>
      <w:r>
        <w:rPr>
          <w:b/>
        </w:rPr>
        <w:t>„Uživatel“</w:t>
      </w:r>
      <w:r>
        <w:t xml:space="preserve"> na straně jedné)</w:t>
      </w:r>
    </w:p>
    <w:p w14:paraId="4DC52978" w14:textId="77777777" w:rsidR="00937681" w:rsidRDefault="00937681">
      <w:pPr>
        <w:pStyle w:val="LO-normal"/>
      </w:pPr>
    </w:p>
    <w:p w14:paraId="1FD4BC4F" w14:textId="77777777" w:rsidR="00937681" w:rsidRDefault="005D0B2C">
      <w:pPr>
        <w:pStyle w:val="LO-normal"/>
      </w:pPr>
      <w:r>
        <w:t xml:space="preserve">(Poskytovatel a Uživatel dále společně též jako </w:t>
      </w:r>
      <w:r>
        <w:rPr>
          <w:b/>
        </w:rPr>
        <w:t>„Smluvní strany“</w:t>
      </w:r>
      <w:r>
        <w:t>)</w:t>
      </w:r>
    </w:p>
    <w:p w14:paraId="3F48E2C3" w14:textId="77777777" w:rsidR="00937681" w:rsidRDefault="00937681">
      <w:pPr>
        <w:pStyle w:val="LO-normal"/>
      </w:pPr>
    </w:p>
    <w:p w14:paraId="6A30384A" w14:textId="77777777" w:rsidR="00937681" w:rsidRDefault="005D0B2C">
      <w:pPr>
        <w:pStyle w:val="LO-normal"/>
      </w:pPr>
      <w:r>
        <w:t>Níže uvedeného dne, měsíce a roku uzavřely smluvní strany tuto smlouvu o poskytování cloudových služeb.</w:t>
      </w:r>
    </w:p>
    <w:p w14:paraId="56EC6CD6" w14:textId="77777777" w:rsidR="00937681" w:rsidRDefault="00937681">
      <w:pPr>
        <w:pStyle w:val="LO-normal"/>
      </w:pPr>
    </w:p>
    <w:p w14:paraId="4718348B" w14:textId="77777777" w:rsidR="00937681" w:rsidRDefault="00937681">
      <w:pPr>
        <w:pStyle w:val="LO-normal"/>
      </w:pPr>
    </w:p>
    <w:p w14:paraId="06A49A6E" w14:textId="77777777" w:rsidR="00937681" w:rsidRDefault="005D0B2C">
      <w:pPr>
        <w:pStyle w:val="LO-normal"/>
        <w:spacing w:line="360" w:lineRule="auto"/>
        <w:jc w:val="center"/>
        <w:rPr>
          <w:b/>
        </w:rPr>
      </w:pPr>
      <w:r>
        <w:rPr>
          <w:b/>
        </w:rPr>
        <w:t>Článek 1.</w:t>
      </w:r>
      <w:r>
        <w:rPr>
          <w:b/>
        </w:rPr>
        <w:br/>
        <w:t>Preambule</w:t>
      </w:r>
    </w:p>
    <w:p w14:paraId="73C530F2" w14:textId="77777777" w:rsidR="00937681" w:rsidRDefault="005D0B2C">
      <w:pPr>
        <w:pStyle w:val="LO-normal"/>
        <w:numPr>
          <w:ilvl w:val="1"/>
          <w:numId w:val="7"/>
        </w:numPr>
        <w:spacing w:after="200"/>
        <w:ind w:left="0" w:hanging="285"/>
        <w:jc w:val="both"/>
      </w:pPr>
      <w:r>
        <w:t xml:space="preserve">Poskytovatel tímto výslovně prohlašuje, že je výlučným vlastníkem poskytované služby </w:t>
      </w:r>
      <w:proofErr w:type="spellStart"/>
      <w:r>
        <w:rPr>
          <w:b/>
        </w:rPr>
        <w:t>Dicompass</w:t>
      </w:r>
      <w:proofErr w:type="spellEnd"/>
      <w:r>
        <w:rPr>
          <w:b/>
        </w:rPr>
        <w:t xml:space="preserve"> Cloud</w:t>
      </w:r>
      <w:r>
        <w:t>.</w:t>
      </w:r>
    </w:p>
    <w:p w14:paraId="6EF39C96" w14:textId="77777777" w:rsidR="00937681" w:rsidRDefault="005D0B2C">
      <w:pPr>
        <w:pStyle w:val="LO-normal"/>
        <w:numPr>
          <w:ilvl w:val="1"/>
          <w:numId w:val="7"/>
        </w:numPr>
        <w:ind w:left="0" w:hanging="285"/>
        <w:jc w:val="both"/>
      </w:pPr>
      <w:r>
        <w:t xml:space="preserve">Uživatel tímto výslovně prohlašuje, že je seznámen se službou </w:t>
      </w:r>
      <w:proofErr w:type="spellStart"/>
      <w:r>
        <w:rPr>
          <w:b/>
        </w:rPr>
        <w:t>Dicompass</w:t>
      </w:r>
      <w:proofErr w:type="spellEnd"/>
      <w:r>
        <w:rPr>
          <w:b/>
        </w:rPr>
        <w:t xml:space="preserve"> Cloud</w:t>
      </w:r>
      <w:r>
        <w:t xml:space="preserve"> a současně prohlašuje, že tato služba svou funkcionalitou vyhovuje jeho potřebám.</w:t>
      </w:r>
    </w:p>
    <w:p w14:paraId="37794DDF" w14:textId="77777777" w:rsidR="005B3E67" w:rsidRDefault="005B3E67">
      <w:pPr>
        <w:pStyle w:val="LO-normal"/>
        <w:jc w:val="center"/>
        <w:rPr>
          <w:b/>
        </w:rPr>
      </w:pPr>
    </w:p>
    <w:p w14:paraId="152E1CB5" w14:textId="0F93E307" w:rsidR="00937681" w:rsidRDefault="005D0B2C">
      <w:pPr>
        <w:pStyle w:val="LO-normal"/>
        <w:jc w:val="center"/>
        <w:rPr>
          <w:b/>
        </w:rPr>
      </w:pPr>
      <w:r>
        <w:rPr>
          <w:b/>
        </w:rPr>
        <w:lastRenderedPageBreak/>
        <w:t>Článek 2.</w:t>
      </w:r>
    </w:p>
    <w:p w14:paraId="25101A48" w14:textId="77777777" w:rsidR="00937681" w:rsidRDefault="005D0B2C">
      <w:pPr>
        <w:pStyle w:val="LO-normal"/>
        <w:spacing w:line="360" w:lineRule="auto"/>
        <w:jc w:val="center"/>
        <w:rPr>
          <w:b/>
        </w:rPr>
      </w:pPr>
      <w:r>
        <w:rPr>
          <w:b/>
        </w:rPr>
        <w:t>Předmět smlouvy</w:t>
      </w:r>
    </w:p>
    <w:p w14:paraId="75CCFD6A" w14:textId="77777777" w:rsidR="00937681" w:rsidRDefault="005D0B2C">
      <w:pPr>
        <w:pStyle w:val="LO-normal"/>
        <w:numPr>
          <w:ilvl w:val="1"/>
          <w:numId w:val="1"/>
        </w:numPr>
        <w:spacing w:after="200"/>
        <w:jc w:val="both"/>
      </w:pPr>
      <w:r>
        <w:t xml:space="preserve">Poskytovatel se tímto zavazuje Uživateli poskytnout v cloudu k užívání aplikace </w:t>
      </w:r>
      <w:proofErr w:type="spellStart"/>
      <w:r>
        <w:t>Dicompass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v rozsahu dle odst. 1 tohoto článku, a to způsobem stanoveným dále v této smlouvě, a Uživatel se zavazuje Poskytovateli za jejich užívání zaplatit smluvenou cenu.</w:t>
      </w:r>
    </w:p>
    <w:p w14:paraId="5422D3BA" w14:textId="77777777" w:rsidR="00937681" w:rsidRDefault="005D0B2C">
      <w:pPr>
        <w:pStyle w:val="LO-normal"/>
        <w:numPr>
          <w:ilvl w:val="1"/>
          <w:numId w:val="1"/>
        </w:numPr>
        <w:spacing w:after="200"/>
        <w:jc w:val="both"/>
      </w:pPr>
      <w:r>
        <w:t xml:space="preserve">Uživatel má oprávnění využívat v rámci služeb cloudu aplikaci </w:t>
      </w:r>
      <w:proofErr w:type="spellStart"/>
      <w:r>
        <w:t>Dicompass</w:t>
      </w:r>
      <w:proofErr w:type="spellEnd"/>
      <w:r>
        <w:t xml:space="preserve"> </w:t>
      </w:r>
      <w:proofErr w:type="spellStart"/>
      <w:r>
        <w:t>Gateway</w:t>
      </w:r>
      <w:proofErr w:type="spellEnd"/>
      <w:r>
        <w:t>.</w:t>
      </w:r>
    </w:p>
    <w:p w14:paraId="5721691A" w14:textId="77777777" w:rsidR="00937681" w:rsidRDefault="005D0B2C">
      <w:pPr>
        <w:pStyle w:val="LO-normal"/>
        <w:numPr>
          <w:ilvl w:val="1"/>
          <w:numId w:val="1"/>
        </w:numPr>
        <w:spacing w:after="200"/>
        <w:jc w:val="both"/>
      </w:pPr>
      <w:r>
        <w:t>Poskytovatel po podpisu této smlouvy připravil pro Uživatele provozní prostředí cloudu na serverové straně, následně informoval Uživatele o této skutečnosti a zpřístupnil Uživateli zákaznický přístup k aplikaci.</w:t>
      </w:r>
    </w:p>
    <w:p w14:paraId="37C9DED1" w14:textId="43AD450B" w:rsidR="00937681" w:rsidRDefault="005D0B2C">
      <w:pPr>
        <w:pStyle w:val="LO-normal"/>
        <w:numPr>
          <w:ilvl w:val="1"/>
          <w:numId w:val="1"/>
        </w:numPr>
        <w:spacing w:after="200"/>
        <w:jc w:val="both"/>
      </w:pPr>
      <w:r>
        <w:t xml:space="preserve">Uživateli je zpřístupněna výměnná síť </w:t>
      </w:r>
      <w:proofErr w:type="spellStart"/>
      <w:r>
        <w:t>mDEX</w:t>
      </w:r>
      <w:proofErr w:type="spellEnd"/>
      <w:r>
        <w:t xml:space="preserve">, která slouží k výměně dat mezi zdravotnickými zařízeními. Podmínky použití jsou uveřejněny adrese na www.mdex.cz. Služba je pro všechny zákazníky </w:t>
      </w:r>
      <w:proofErr w:type="spellStart"/>
      <w:r>
        <w:t>Dicompass</w:t>
      </w:r>
      <w:proofErr w:type="spellEnd"/>
      <w:r>
        <w:t xml:space="preserve"> Cloud zdarma. Pokud si uživatel nepřeje být součástí této sítě a nesouhlasí se zveřejněním v adresáři uživatelů tak je povinen to oznámit na email a bude ze sítě neprodleně odpojen. </w:t>
      </w:r>
    </w:p>
    <w:p w14:paraId="5675BFA2" w14:textId="77777777" w:rsidR="00937681" w:rsidRDefault="005D0B2C">
      <w:pPr>
        <w:pStyle w:val="LO-normal"/>
        <w:numPr>
          <w:ilvl w:val="1"/>
          <w:numId w:val="1"/>
        </w:numPr>
        <w:spacing w:after="200"/>
      </w:pPr>
      <w:r>
        <w:rPr>
          <w:b/>
          <w:bCs/>
        </w:rPr>
        <w:t xml:space="preserve">Individuální specifikace služby </w:t>
      </w:r>
      <w:proofErr w:type="spellStart"/>
      <w:r>
        <w:rPr>
          <w:b/>
          <w:bCs/>
        </w:rPr>
        <w:t>Dicompass</w:t>
      </w:r>
      <w:proofErr w:type="spellEnd"/>
      <w:r>
        <w:rPr>
          <w:b/>
          <w:bCs/>
        </w:rPr>
        <w:t xml:space="preserve"> Cloud:</w:t>
      </w:r>
    </w:p>
    <w:p w14:paraId="7E457D2B" w14:textId="77777777" w:rsidR="00937681" w:rsidRDefault="005D0B2C">
      <w:pPr>
        <w:pStyle w:val="LO-normal"/>
        <w:numPr>
          <w:ilvl w:val="0"/>
          <w:numId w:val="11"/>
        </w:numPr>
      </w:pPr>
      <w:r>
        <w:t>Kapacita úložiště – 500 GB</w:t>
      </w:r>
    </w:p>
    <w:p w14:paraId="4ADFDA39" w14:textId="1FC3EF0A" w:rsidR="00937681" w:rsidRDefault="005D0B2C">
      <w:pPr>
        <w:pStyle w:val="LO-normal"/>
        <w:numPr>
          <w:ilvl w:val="0"/>
          <w:numId w:val="11"/>
        </w:numPr>
      </w:pPr>
      <w:r>
        <w:t>Počet uživatelů – 3 aktivní</w:t>
      </w:r>
    </w:p>
    <w:p w14:paraId="08C3A370" w14:textId="5FC33A56" w:rsidR="00937681" w:rsidRDefault="005D0B2C">
      <w:pPr>
        <w:pStyle w:val="LO-normal"/>
        <w:numPr>
          <w:ilvl w:val="0"/>
          <w:numId w:val="11"/>
        </w:numPr>
      </w:pPr>
      <w:r>
        <w:t xml:space="preserve">Možnost připojit </w:t>
      </w:r>
      <w:proofErr w:type="gramStart"/>
      <w:r>
        <w:t>modalitu - Cloud</w:t>
      </w:r>
      <w:proofErr w:type="gramEnd"/>
      <w:r>
        <w:t xml:space="preserve"> </w:t>
      </w:r>
      <w:proofErr w:type="spellStart"/>
      <w:r>
        <w:t>connector</w:t>
      </w:r>
      <w:proofErr w:type="spellEnd"/>
      <w:r>
        <w:t xml:space="preserve"> BOX</w:t>
      </w:r>
    </w:p>
    <w:p w14:paraId="60526A9D" w14:textId="6F74807B" w:rsidR="00987A42" w:rsidRDefault="00987A42" w:rsidP="00987A42">
      <w:pPr>
        <w:pStyle w:val="LO-normal"/>
        <w:numPr>
          <w:ilvl w:val="1"/>
          <w:numId w:val="11"/>
        </w:numPr>
      </w:pPr>
      <w:r>
        <w:t xml:space="preserve">Instalace Cloud </w:t>
      </w:r>
      <w:proofErr w:type="spellStart"/>
      <w:r>
        <w:t>connector</w:t>
      </w:r>
      <w:proofErr w:type="spellEnd"/>
      <w:r>
        <w:t xml:space="preserve"> BOX to virtualizace nemocnice</w:t>
      </w:r>
    </w:p>
    <w:p w14:paraId="257C14DA" w14:textId="4DF3E309" w:rsidR="00CB437A" w:rsidRDefault="00CB437A">
      <w:pPr>
        <w:pStyle w:val="LO-normal"/>
        <w:numPr>
          <w:ilvl w:val="0"/>
          <w:numId w:val="11"/>
        </w:numPr>
      </w:pPr>
      <w:r>
        <w:t>Připojení modality rentgen 1 ks</w:t>
      </w:r>
    </w:p>
    <w:p w14:paraId="5461B449" w14:textId="77777777" w:rsidR="00937681" w:rsidRDefault="005D0B2C">
      <w:pPr>
        <w:pStyle w:val="LO-normal"/>
        <w:numPr>
          <w:ilvl w:val="0"/>
          <w:numId w:val="11"/>
        </w:numPr>
      </w:pPr>
      <w:r>
        <w:t>Webový prohlížeč (diagnostický)</w:t>
      </w:r>
    </w:p>
    <w:p w14:paraId="434E41FD" w14:textId="01FD270C" w:rsidR="00937681" w:rsidRDefault="005D0B2C">
      <w:pPr>
        <w:pStyle w:val="LO-normal"/>
        <w:numPr>
          <w:ilvl w:val="0"/>
          <w:numId w:val="11"/>
        </w:numPr>
        <w:rPr>
          <w:rStyle w:val="InternetLink2"/>
          <w:color w:val="auto"/>
          <w:u w:val="none"/>
        </w:rPr>
      </w:pPr>
      <w:r>
        <w:t>Podpora v pracovních dne</w:t>
      </w:r>
      <w:r w:rsidR="00CB437A">
        <w:t>ch</w:t>
      </w:r>
      <w:r>
        <w:t xml:space="preserve"> 8-1</w:t>
      </w:r>
      <w:r w:rsidR="005E1C59">
        <w:t>6</w:t>
      </w:r>
      <w:r>
        <w:t xml:space="preserve"> hodin, reakční doba následující pracovní den, podpora přes helpdesk </w:t>
      </w:r>
    </w:p>
    <w:p w14:paraId="2C466F36" w14:textId="6F8950F2" w:rsidR="00937681" w:rsidRDefault="005D0B2C">
      <w:pPr>
        <w:pStyle w:val="LO-normal"/>
        <w:numPr>
          <w:ilvl w:val="0"/>
          <w:numId w:val="11"/>
        </w:numPr>
      </w:pPr>
      <w:r>
        <w:rPr>
          <w:rStyle w:val="InternetLink2"/>
          <w:color w:val="auto"/>
          <w:u w:val="none"/>
        </w:rPr>
        <w:t xml:space="preserve">Napojení na službu </w:t>
      </w:r>
      <w:proofErr w:type="spellStart"/>
      <w:r>
        <w:rPr>
          <w:rStyle w:val="InternetLink2"/>
          <w:color w:val="auto"/>
          <w:u w:val="none"/>
        </w:rPr>
        <w:t>mDEX</w:t>
      </w:r>
      <w:proofErr w:type="spellEnd"/>
      <w:r>
        <w:rPr>
          <w:rStyle w:val="InternetLink2"/>
          <w:color w:val="auto"/>
          <w:u w:val="none"/>
        </w:rPr>
        <w:t xml:space="preserve"> pro sdílení obrazové dokumentace, p</w:t>
      </w:r>
      <w:r>
        <w:rPr>
          <w:rStyle w:val="InternetLink"/>
          <w:color w:val="auto"/>
          <w:u w:val="none"/>
        </w:rPr>
        <w:t xml:space="preserve">latnost a podpora služby dle obchodních podmínek na stránkách </w:t>
      </w:r>
      <w:r w:rsidR="005B3E67">
        <w:rPr>
          <w:rStyle w:val="InternetLink"/>
          <w:color w:val="auto"/>
          <w:u w:val="none"/>
        </w:rPr>
        <w:t>helpdesk.</w:t>
      </w:r>
    </w:p>
    <w:p w14:paraId="25253E77" w14:textId="77777777" w:rsidR="00937681" w:rsidRDefault="005D0B2C">
      <w:pPr>
        <w:pStyle w:val="LO-normal"/>
        <w:jc w:val="center"/>
        <w:rPr>
          <w:b/>
        </w:rPr>
      </w:pPr>
      <w:r>
        <w:rPr>
          <w:b/>
        </w:rPr>
        <w:br/>
        <w:t>Článek 3.</w:t>
      </w:r>
    </w:p>
    <w:p w14:paraId="20DA1886" w14:textId="77777777" w:rsidR="00937681" w:rsidRDefault="005D0B2C">
      <w:pPr>
        <w:pStyle w:val="LO-normal"/>
        <w:spacing w:line="360" w:lineRule="auto"/>
        <w:jc w:val="center"/>
        <w:rPr>
          <w:b/>
        </w:rPr>
      </w:pPr>
      <w:r>
        <w:rPr>
          <w:b/>
        </w:rPr>
        <w:t>Práva a povinnosti smluvních stran</w:t>
      </w:r>
    </w:p>
    <w:p w14:paraId="69EB967B" w14:textId="77777777" w:rsidR="00937681" w:rsidRDefault="005D0B2C">
      <w:pPr>
        <w:pStyle w:val="LO-normal"/>
        <w:numPr>
          <w:ilvl w:val="1"/>
          <w:numId w:val="4"/>
        </w:numPr>
        <w:spacing w:after="200"/>
        <w:jc w:val="both"/>
      </w:pPr>
      <w:r>
        <w:t xml:space="preserve">Uživatel je současně s užíváním služby </w:t>
      </w:r>
      <w:proofErr w:type="spellStart"/>
      <w:r>
        <w:rPr>
          <w:b/>
        </w:rPr>
        <w:t>Dicompass</w:t>
      </w:r>
      <w:proofErr w:type="spellEnd"/>
      <w:r>
        <w:rPr>
          <w:b/>
        </w:rPr>
        <w:t xml:space="preserve"> Cloud</w:t>
      </w:r>
      <w:r>
        <w:t xml:space="preserve"> oprávněn umisťovat v cloudu svá data vzniklá zpracováním aplikace.</w:t>
      </w:r>
    </w:p>
    <w:p w14:paraId="0DF8E9AB" w14:textId="77777777" w:rsidR="00937681" w:rsidRDefault="005D0B2C">
      <w:pPr>
        <w:pStyle w:val="LO-normal"/>
        <w:numPr>
          <w:ilvl w:val="1"/>
          <w:numId w:val="4"/>
        </w:numPr>
        <w:spacing w:after="200"/>
        <w:jc w:val="both"/>
      </w:pPr>
      <w:r>
        <w:t>Poskytovatel je povinen vyvíjet úsilí, aby veškerá data Uživatele umístěná v cloudu byla chráněna před ztrátou, zničením či jejich případným zneužitím.</w:t>
      </w:r>
    </w:p>
    <w:p w14:paraId="2128F7B3" w14:textId="77777777" w:rsidR="00937681" w:rsidRDefault="005D0B2C">
      <w:pPr>
        <w:pStyle w:val="LO-normal"/>
        <w:numPr>
          <w:ilvl w:val="1"/>
          <w:numId w:val="4"/>
        </w:numPr>
        <w:spacing w:after="200"/>
        <w:jc w:val="both"/>
      </w:pPr>
      <w:r>
        <w:t>Poskytovatel je povinen vytvořit podmínky pro bezpečnou komunikaci Uživatele s cloudem Poskytovatele se zajištěním dostatečné průkaznosti identity Uživatele.</w:t>
      </w:r>
    </w:p>
    <w:p w14:paraId="3BB358CE" w14:textId="77777777" w:rsidR="00937681" w:rsidRDefault="005D0B2C">
      <w:pPr>
        <w:pStyle w:val="LO-normal"/>
        <w:numPr>
          <w:ilvl w:val="1"/>
          <w:numId w:val="4"/>
        </w:numPr>
        <w:spacing w:after="200"/>
        <w:jc w:val="both"/>
      </w:pPr>
      <w:r>
        <w:t>Poskytovatel je oprávněn na základě výzvy Uživatele učinit takové protokolované zásahy do dat Uživatele umístěných na serverech Poskytovatele, které povedou k odstranění problémových stavů, či nahlédnout do těchto dat tak, aby mohla být ze strany Poskytovatele poskytnuta Uživateli efektivní konzultace.</w:t>
      </w:r>
    </w:p>
    <w:p w14:paraId="6A62BB50" w14:textId="77777777" w:rsidR="00937681" w:rsidRDefault="005D0B2C">
      <w:pPr>
        <w:pStyle w:val="LO-normal"/>
        <w:numPr>
          <w:ilvl w:val="1"/>
          <w:numId w:val="4"/>
        </w:numPr>
        <w:spacing w:after="200"/>
        <w:jc w:val="both"/>
      </w:pPr>
      <w:r>
        <w:t>Umožní-li to situace, je Poskytovatel povinen Uživatele upozornit v předstihu na výpadek služby.</w:t>
      </w:r>
    </w:p>
    <w:p w14:paraId="68B8DC27" w14:textId="77777777" w:rsidR="00937681" w:rsidRDefault="005D0B2C">
      <w:pPr>
        <w:pStyle w:val="LO-normal"/>
        <w:numPr>
          <w:ilvl w:val="1"/>
          <w:numId w:val="4"/>
        </w:numPr>
        <w:jc w:val="both"/>
      </w:pPr>
      <w:r>
        <w:lastRenderedPageBreak/>
        <w:t>Uživatel je povinen chránit své přístupové údaje před jejich ztrátou a zneužitím třetími osobami.</w:t>
      </w:r>
    </w:p>
    <w:p w14:paraId="16E2BA2F" w14:textId="77777777" w:rsidR="00937681" w:rsidRDefault="005D0B2C">
      <w:pPr>
        <w:pStyle w:val="LO-normal"/>
        <w:numPr>
          <w:ilvl w:val="1"/>
          <w:numId w:val="4"/>
        </w:numPr>
        <w:spacing w:before="200" w:after="200" w:line="240" w:lineRule="auto"/>
        <w:jc w:val="both"/>
      </w:pPr>
      <w:r>
        <w:t>Uživatel není oprávněn Poskytovat přístup ke cloudu, jež užívá na základě této smlouvy, dál třetím osobám.</w:t>
      </w:r>
    </w:p>
    <w:p w14:paraId="130D53C6" w14:textId="77777777" w:rsidR="00937681" w:rsidRDefault="005D0B2C">
      <w:pPr>
        <w:pStyle w:val="LO-normal"/>
        <w:numPr>
          <w:ilvl w:val="1"/>
          <w:numId w:val="4"/>
        </w:numPr>
        <w:jc w:val="both"/>
      </w:pPr>
      <w:r>
        <w:t>Uživatel touto smlouvou nezískává od Poskytovatele licence shora uvedené aplikace, ale pouze právo využívat její funkční vlastnosti v cloudu.</w:t>
      </w:r>
    </w:p>
    <w:p w14:paraId="01539D56" w14:textId="536A9698" w:rsidR="00937681" w:rsidRDefault="005D0B2C">
      <w:pPr>
        <w:pStyle w:val="LO-normal"/>
        <w:numPr>
          <w:ilvl w:val="1"/>
          <w:numId w:val="4"/>
        </w:numPr>
        <w:spacing w:before="200" w:line="240" w:lineRule="auto"/>
        <w:jc w:val="both"/>
      </w:pPr>
      <w:r>
        <w:t xml:space="preserve">Uživatel je povinen uchovávat v tajnosti své přístupové údaje a v případě, že užívá Cloud </w:t>
      </w:r>
      <w:proofErr w:type="spellStart"/>
      <w:r>
        <w:t>Connector</w:t>
      </w:r>
      <w:proofErr w:type="spellEnd"/>
      <w:r>
        <w:t xml:space="preserve"> na svém PC tak i heslo ke klíči a v případě jakéhokoliv podezření, že došlo ke kompromitaci hesla či klíče neprodleně kontaktovat poskytovatele.</w:t>
      </w:r>
    </w:p>
    <w:p w14:paraId="7FC7ADE0" w14:textId="77777777" w:rsidR="00937681" w:rsidRDefault="005D0B2C">
      <w:pPr>
        <w:pStyle w:val="LO-normal"/>
        <w:spacing w:line="360" w:lineRule="auto"/>
        <w:jc w:val="center"/>
        <w:rPr>
          <w:b/>
        </w:rPr>
      </w:pPr>
      <w:r>
        <w:rPr>
          <w:b/>
        </w:rPr>
        <w:br/>
        <w:t>Článek 4.</w:t>
      </w:r>
    </w:p>
    <w:p w14:paraId="2A666F13" w14:textId="77777777" w:rsidR="00937681" w:rsidRDefault="005D0B2C">
      <w:pPr>
        <w:pStyle w:val="LO-normal"/>
        <w:spacing w:line="360" w:lineRule="auto"/>
        <w:jc w:val="center"/>
        <w:rPr>
          <w:b/>
        </w:rPr>
      </w:pPr>
      <w:r>
        <w:rPr>
          <w:b/>
        </w:rPr>
        <w:t>Cena a platební podmínky</w:t>
      </w:r>
    </w:p>
    <w:p w14:paraId="1E503B2D" w14:textId="72539D8A" w:rsidR="007C1ED3" w:rsidRDefault="007C1ED3">
      <w:pPr>
        <w:pStyle w:val="LO-normal"/>
        <w:numPr>
          <w:ilvl w:val="1"/>
          <w:numId w:val="9"/>
        </w:numPr>
        <w:spacing w:after="200"/>
        <w:jc w:val="both"/>
      </w:pPr>
      <w:r>
        <w:t xml:space="preserve">Cena za instalaci a za užívání aplikace </w:t>
      </w:r>
      <w:proofErr w:type="spellStart"/>
      <w:r>
        <w:t>Dicompass</w:t>
      </w:r>
      <w:proofErr w:type="spellEnd"/>
      <w:r>
        <w:t xml:space="preserve"> Cloud v rozsahu dle článku 2 na prvních 24 měsíců se platí jednorázově </w:t>
      </w:r>
      <w:r w:rsidR="005D0B2C">
        <w:t>a je dána takto</w:t>
      </w:r>
      <w:r>
        <w:t>:</w:t>
      </w:r>
    </w:p>
    <w:tbl>
      <w:tblPr>
        <w:tblW w:w="90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5286"/>
        <w:gridCol w:w="624"/>
        <w:gridCol w:w="1130"/>
        <w:gridCol w:w="20"/>
        <w:gridCol w:w="1951"/>
        <w:gridCol w:w="29"/>
      </w:tblGrid>
      <w:tr w:rsidR="007C1ED3" w14:paraId="000BC9FA" w14:textId="77777777" w:rsidTr="00977EBB">
        <w:trPr>
          <w:jc w:val="center"/>
        </w:trPr>
        <w:tc>
          <w:tcPr>
            <w:tcW w:w="25" w:type="dxa"/>
          </w:tcPr>
          <w:p w14:paraId="67584EB1" w14:textId="77777777" w:rsidR="007C1ED3" w:rsidRDefault="007C1ED3" w:rsidP="00977EBB">
            <w:pPr>
              <w:pStyle w:val="Obsahtabulky"/>
              <w:spacing w:before="57" w:after="57"/>
              <w:jc w:val="center"/>
              <w:rPr>
                <w:b/>
                <w:bCs/>
                <w:color w:val="FFFFFF" w:themeColor="background1"/>
                <w:shd w:val="clear" w:color="auto" w:fill="C9211E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211E"/>
            <w:vAlign w:val="center"/>
          </w:tcPr>
          <w:p w14:paraId="41CFBB3C" w14:textId="66272244" w:rsidR="007C1ED3" w:rsidRDefault="007C1ED3" w:rsidP="00977EBB">
            <w:pPr>
              <w:pStyle w:val="Obsahtabulky"/>
              <w:spacing w:before="57" w:after="57"/>
              <w:jc w:val="center"/>
              <w:rPr>
                <w:b/>
                <w:bCs/>
                <w:color w:val="FFFFFF" w:themeColor="background1"/>
                <w:shd w:val="clear" w:color="auto" w:fill="C9211E"/>
              </w:rPr>
            </w:pPr>
            <w:r>
              <w:rPr>
                <w:b/>
                <w:bCs/>
                <w:color w:val="FFFFFF" w:themeColor="background1"/>
                <w:shd w:val="clear" w:color="auto" w:fill="C9211E"/>
              </w:rPr>
              <w:t>Instalace – jednorázové poplatky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211E"/>
            <w:vAlign w:val="center"/>
          </w:tcPr>
          <w:p w14:paraId="594ECBF4" w14:textId="77777777" w:rsidR="007C1ED3" w:rsidRDefault="007C1ED3" w:rsidP="00977EBB">
            <w:pPr>
              <w:pStyle w:val="Obsahtabulky"/>
              <w:spacing w:before="57" w:after="57"/>
              <w:jc w:val="center"/>
              <w:rPr>
                <w:b/>
                <w:bCs/>
                <w:color w:val="FFFFFF" w:themeColor="background1"/>
                <w:shd w:val="clear" w:color="auto" w:fill="C9211E"/>
              </w:rPr>
            </w:pPr>
            <w:r>
              <w:rPr>
                <w:b/>
                <w:bCs/>
                <w:color w:val="FFFFFF" w:themeColor="background1"/>
                <w:shd w:val="clear" w:color="auto" w:fill="C9211E"/>
              </w:rPr>
              <w:t>Ks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211E"/>
            <w:vAlign w:val="center"/>
          </w:tcPr>
          <w:p w14:paraId="3EF343B4" w14:textId="77777777" w:rsidR="007C1ED3" w:rsidRDefault="007C1ED3" w:rsidP="00977EBB">
            <w:pPr>
              <w:pStyle w:val="Obsahtabulky"/>
              <w:spacing w:before="57" w:after="57"/>
              <w:jc w:val="center"/>
              <w:rPr>
                <w:b/>
                <w:bCs/>
                <w:color w:val="FFFFFF" w:themeColor="background1"/>
                <w:shd w:val="clear" w:color="auto" w:fill="C9211E"/>
              </w:rPr>
            </w:pPr>
            <w:r>
              <w:rPr>
                <w:b/>
                <w:bCs/>
                <w:color w:val="FFFFFF" w:themeColor="background1"/>
                <w:shd w:val="clear" w:color="auto" w:fill="C9211E"/>
              </w:rPr>
              <w:t>Cena / Ks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211E"/>
            <w:vAlign w:val="center"/>
          </w:tcPr>
          <w:p w14:paraId="15793818" w14:textId="77777777" w:rsidR="007C1ED3" w:rsidRDefault="007C1ED3" w:rsidP="00977EBB">
            <w:pPr>
              <w:pStyle w:val="Obsahtabulky"/>
              <w:spacing w:before="57" w:after="57"/>
              <w:jc w:val="center"/>
              <w:rPr>
                <w:b/>
                <w:bCs/>
                <w:color w:val="FFFFFF" w:themeColor="background1"/>
                <w:shd w:val="clear" w:color="auto" w:fill="C9211E"/>
              </w:rPr>
            </w:pPr>
            <w:r>
              <w:rPr>
                <w:b/>
                <w:bCs/>
                <w:color w:val="FFFFFF" w:themeColor="background1"/>
                <w:shd w:val="clear" w:color="auto" w:fill="C9211E"/>
              </w:rPr>
              <w:t>Celková cena</w:t>
            </w:r>
          </w:p>
        </w:tc>
        <w:tc>
          <w:tcPr>
            <w:tcW w:w="29" w:type="dxa"/>
          </w:tcPr>
          <w:p w14:paraId="6669B32E" w14:textId="77777777" w:rsidR="007C1ED3" w:rsidRDefault="007C1ED3" w:rsidP="00977EBB"/>
        </w:tc>
      </w:tr>
      <w:tr w:rsidR="00987A42" w14:paraId="5B53DC97" w14:textId="77777777" w:rsidTr="00977EBB">
        <w:trPr>
          <w:trHeight w:val="340"/>
          <w:jc w:val="center"/>
        </w:trPr>
        <w:tc>
          <w:tcPr>
            <w:tcW w:w="25" w:type="dxa"/>
          </w:tcPr>
          <w:p w14:paraId="5F501C43" w14:textId="77777777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lang w:eastAsia="cs-CZ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2922" w14:textId="57D03697" w:rsidR="00987A42" w:rsidRPr="00987A42" w:rsidRDefault="00987A42" w:rsidP="00987A42">
            <w:pPr>
              <w:widowControl w:val="0"/>
              <w:jc w:val="right"/>
              <w:rPr>
                <w:rFonts w:eastAsia="Times New Roman" w:cs="Liberation Serif"/>
                <w:sz w:val="20"/>
                <w:szCs w:val="20"/>
                <w:lang w:eastAsia="cs-CZ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 xml:space="preserve">Instalace a konfigurace </w:t>
            </w:r>
            <w:proofErr w:type="spellStart"/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Dicompass</w:t>
            </w:r>
            <w:proofErr w:type="spellEnd"/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 xml:space="preserve"> Cloud: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C8F4" w14:textId="33171A97" w:rsidR="00987A42" w:rsidRPr="00987A42" w:rsidRDefault="00987A42" w:rsidP="00987A42">
            <w:pPr>
              <w:pStyle w:val="Obsahtabulky"/>
              <w:jc w:val="center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1D0C" w14:textId="4A995010" w:rsidR="00987A42" w:rsidRPr="00987A42" w:rsidRDefault="00987A42" w:rsidP="00987A42">
            <w:pPr>
              <w:pStyle w:val="Obsahtabulky"/>
              <w:jc w:val="right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15 000 Kč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181F" w14:textId="25AD4904" w:rsidR="00987A42" w:rsidRPr="00987A42" w:rsidRDefault="00987A42" w:rsidP="00987A42">
            <w:pPr>
              <w:pStyle w:val="Obsahtabulky"/>
              <w:jc w:val="right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15 000 Kč</w:t>
            </w:r>
          </w:p>
        </w:tc>
        <w:tc>
          <w:tcPr>
            <w:tcW w:w="29" w:type="dxa"/>
          </w:tcPr>
          <w:p w14:paraId="71C63107" w14:textId="77777777" w:rsidR="00987A42" w:rsidRDefault="00987A42" w:rsidP="00987A42"/>
        </w:tc>
      </w:tr>
      <w:tr w:rsidR="00987A42" w14:paraId="2449F957" w14:textId="77777777" w:rsidTr="00977EBB">
        <w:trPr>
          <w:trHeight w:val="340"/>
          <w:jc w:val="center"/>
        </w:trPr>
        <w:tc>
          <w:tcPr>
            <w:tcW w:w="25" w:type="dxa"/>
          </w:tcPr>
          <w:p w14:paraId="3B428138" w14:textId="77777777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lang w:eastAsia="cs-CZ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1E8F" w14:textId="6390E583" w:rsidR="00987A42" w:rsidRPr="00987A42" w:rsidRDefault="00987A42" w:rsidP="00987A42">
            <w:pPr>
              <w:widowControl w:val="0"/>
              <w:jc w:val="right"/>
              <w:rPr>
                <w:rFonts w:eastAsia="Times New Roman" w:cs="Liberation Serif"/>
                <w:sz w:val="20"/>
                <w:szCs w:val="20"/>
                <w:lang w:eastAsia="cs-CZ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 xml:space="preserve">*Napojení na NIS </w:t>
            </w:r>
            <w:proofErr w:type="spellStart"/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Medicalc</w:t>
            </w:r>
            <w:proofErr w:type="spellEnd"/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 xml:space="preserve"> – provolání: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05EC" w14:textId="48E40AED" w:rsidR="00987A42" w:rsidRPr="00987A42" w:rsidRDefault="00987A42" w:rsidP="00987A42">
            <w:pPr>
              <w:pStyle w:val="Obsahtabulky"/>
              <w:jc w:val="center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34DB" w14:textId="365A67B9" w:rsidR="00987A42" w:rsidRPr="00987A42" w:rsidRDefault="00987A42" w:rsidP="00987A42">
            <w:pPr>
              <w:pStyle w:val="Obsahtabulky"/>
              <w:jc w:val="right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25 000 Kč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A02F" w14:textId="40148185" w:rsidR="00987A42" w:rsidRPr="00987A42" w:rsidRDefault="00987A42" w:rsidP="00987A42">
            <w:pPr>
              <w:pStyle w:val="Obsahtabulky"/>
              <w:jc w:val="right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25 000 Kč</w:t>
            </w:r>
          </w:p>
        </w:tc>
        <w:tc>
          <w:tcPr>
            <w:tcW w:w="29" w:type="dxa"/>
          </w:tcPr>
          <w:p w14:paraId="1B5EF0D6" w14:textId="77777777" w:rsidR="00987A42" w:rsidRDefault="00987A42" w:rsidP="00987A42"/>
        </w:tc>
      </w:tr>
      <w:tr w:rsidR="00987A42" w14:paraId="5B0E99A4" w14:textId="77777777" w:rsidTr="00977EBB">
        <w:trPr>
          <w:trHeight w:val="340"/>
          <w:jc w:val="center"/>
        </w:trPr>
        <w:tc>
          <w:tcPr>
            <w:tcW w:w="25" w:type="dxa"/>
          </w:tcPr>
          <w:p w14:paraId="44EF4FE7" w14:textId="77777777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lang w:eastAsia="cs-CZ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2DD5" w14:textId="0305239C" w:rsidR="00987A42" w:rsidRPr="00987A42" w:rsidRDefault="00987A42" w:rsidP="00987A42">
            <w:pPr>
              <w:widowControl w:val="0"/>
              <w:jc w:val="right"/>
              <w:rPr>
                <w:rFonts w:eastAsia="Times New Roman" w:cs="Liberation Serif"/>
                <w:sz w:val="20"/>
                <w:szCs w:val="20"/>
                <w:lang w:eastAsia="cs-CZ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Školení uživatelů v místě/vzdáleně (celý den):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00D9" w14:textId="16815F73" w:rsidR="00987A42" w:rsidRPr="00987A42" w:rsidRDefault="00987A42" w:rsidP="00987A42">
            <w:pPr>
              <w:pStyle w:val="Obsahtabulky"/>
              <w:jc w:val="center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4EB5" w14:textId="79E70E16" w:rsidR="00987A42" w:rsidRPr="00987A42" w:rsidRDefault="00987A42" w:rsidP="00987A42">
            <w:pPr>
              <w:pStyle w:val="Obsahtabulky"/>
              <w:jc w:val="right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10 000 Kč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79B4" w14:textId="19A8E2AC" w:rsidR="00987A42" w:rsidRPr="00987A42" w:rsidRDefault="00987A42" w:rsidP="00987A42">
            <w:pPr>
              <w:pStyle w:val="Obsahtabulky"/>
              <w:jc w:val="right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10 000 Kč</w:t>
            </w:r>
          </w:p>
        </w:tc>
        <w:tc>
          <w:tcPr>
            <w:tcW w:w="29" w:type="dxa"/>
          </w:tcPr>
          <w:p w14:paraId="45D6C349" w14:textId="77777777" w:rsidR="00987A42" w:rsidRDefault="00987A42" w:rsidP="00987A42"/>
        </w:tc>
      </w:tr>
      <w:tr w:rsidR="005D0B2C" w14:paraId="55B068DE" w14:textId="77777777" w:rsidTr="00133701">
        <w:trPr>
          <w:trHeight w:val="255"/>
          <w:jc w:val="center"/>
        </w:trPr>
        <w:tc>
          <w:tcPr>
            <w:tcW w:w="9065" w:type="dxa"/>
            <w:gridSpan w:val="7"/>
            <w:vAlign w:val="bottom"/>
          </w:tcPr>
          <w:p w14:paraId="03866050" w14:textId="61E8DE4F" w:rsidR="005D0B2C" w:rsidRPr="005D0B2C" w:rsidRDefault="005D0B2C" w:rsidP="005D0B2C">
            <w:pPr>
              <w:widowControl w:val="0"/>
              <w:rPr>
                <w:rFonts w:eastAsia="Times New Roman" w:cs="Liberation Serif"/>
                <w:i/>
                <w:iCs/>
                <w:sz w:val="18"/>
                <w:szCs w:val="18"/>
                <w:lang w:eastAsia="cs-CZ"/>
              </w:rPr>
            </w:pPr>
            <w:r w:rsidRPr="005D0B2C">
              <w:rPr>
                <w:rFonts w:eastAsia="Times New Roman" w:cs="Liberation Serif"/>
                <w:i/>
                <w:iCs/>
                <w:sz w:val="18"/>
                <w:szCs w:val="18"/>
                <w:lang w:eastAsia="cs-CZ"/>
              </w:rPr>
              <w:t xml:space="preserve">*tento poplatek je pouze </w:t>
            </w:r>
            <w:r>
              <w:rPr>
                <w:rFonts w:eastAsia="Times New Roman" w:cs="Liberation Serif"/>
                <w:i/>
                <w:iCs/>
                <w:sz w:val="18"/>
                <w:szCs w:val="18"/>
                <w:lang w:eastAsia="cs-CZ"/>
              </w:rPr>
              <w:t>ze strany MEDORO</w:t>
            </w:r>
            <w:r w:rsidRPr="005D0B2C">
              <w:rPr>
                <w:rFonts w:eastAsia="Times New Roman" w:cs="Liberation Serif"/>
                <w:i/>
                <w:iCs/>
                <w:sz w:val="18"/>
                <w:szCs w:val="18"/>
                <w:lang w:eastAsia="cs-CZ"/>
              </w:rPr>
              <w:t xml:space="preserve"> a je možné, že bude další poplatek ze strany dodavatele NIS</w:t>
            </w:r>
          </w:p>
          <w:p w14:paraId="3E3A17D0" w14:textId="77777777" w:rsidR="005D0B2C" w:rsidRPr="005D0B2C" w:rsidRDefault="005D0B2C" w:rsidP="00977EBB">
            <w:pPr>
              <w:widowControl w:val="0"/>
              <w:jc w:val="right"/>
              <w:rPr>
                <w:rFonts w:eastAsia="Times New Roman" w:cs="Liberation Serif"/>
                <w:sz w:val="18"/>
                <w:szCs w:val="18"/>
                <w:lang w:eastAsia="cs-CZ"/>
              </w:rPr>
            </w:pPr>
          </w:p>
        </w:tc>
      </w:tr>
      <w:tr w:rsidR="007C1ED3" w14:paraId="28FB67E1" w14:textId="77777777" w:rsidTr="00977EBB">
        <w:trPr>
          <w:trHeight w:val="255"/>
          <w:jc w:val="center"/>
        </w:trPr>
        <w:tc>
          <w:tcPr>
            <w:tcW w:w="7085" w:type="dxa"/>
            <w:gridSpan w:val="5"/>
            <w:vAlign w:val="bottom"/>
          </w:tcPr>
          <w:p w14:paraId="72C18F5E" w14:textId="77777777" w:rsidR="007C1ED3" w:rsidRDefault="007C1ED3" w:rsidP="00977EBB">
            <w:pPr>
              <w:widowControl w:val="0"/>
              <w:jc w:val="right"/>
              <w:rPr>
                <w:rFonts w:eastAsia="Times New Roman" w:cs="Liberation Serif"/>
                <w:lang w:eastAsia="cs-CZ"/>
              </w:rPr>
            </w:pPr>
            <w:r>
              <w:rPr>
                <w:rFonts w:eastAsia="Times New Roman" w:cs="Liberation Serif"/>
                <w:lang w:eastAsia="cs-CZ"/>
              </w:rPr>
              <w:t>Součet cen:</w:t>
            </w:r>
          </w:p>
        </w:tc>
        <w:tc>
          <w:tcPr>
            <w:tcW w:w="1980" w:type="dxa"/>
            <w:gridSpan w:val="2"/>
            <w:vAlign w:val="bottom"/>
          </w:tcPr>
          <w:p w14:paraId="06A5FD84" w14:textId="351B7EFE" w:rsidR="007C1ED3" w:rsidRDefault="00987A42" w:rsidP="00977EBB">
            <w:pPr>
              <w:widowControl w:val="0"/>
              <w:jc w:val="right"/>
              <w:rPr>
                <w:rFonts w:eastAsia="Times New Roman" w:cs="Liberation Serif"/>
                <w:lang w:eastAsia="cs-CZ"/>
              </w:rPr>
            </w:pPr>
            <w:r>
              <w:rPr>
                <w:rFonts w:eastAsia="Times New Roman" w:cs="Liberation Serif"/>
                <w:lang w:eastAsia="cs-CZ"/>
              </w:rPr>
              <w:t>50</w:t>
            </w:r>
            <w:r w:rsidR="007C1ED3">
              <w:rPr>
                <w:rFonts w:eastAsia="Times New Roman" w:cs="Liberation Serif"/>
                <w:lang w:eastAsia="cs-CZ"/>
              </w:rPr>
              <w:t xml:space="preserve"> </w:t>
            </w:r>
            <w:r>
              <w:rPr>
                <w:rFonts w:eastAsia="Times New Roman" w:cs="Liberation Serif"/>
                <w:lang w:eastAsia="cs-CZ"/>
              </w:rPr>
              <w:t>0</w:t>
            </w:r>
            <w:r w:rsidR="007C1ED3">
              <w:rPr>
                <w:rFonts w:eastAsia="Times New Roman" w:cs="Liberation Serif"/>
                <w:lang w:eastAsia="cs-CZ"/>
              </w:rPr>
              <w:t>00 Kč</w:t>
            </w:r>
          </w:p>
        </w:tc>
      </w:tr>
      <w:tr w:rsidR="007C1ED3" w14:paraId="0FEC8B14" w14:textId="77777777" w:rsidTr="00977EBB">
        <w:trPr>
          <w:trHeight w:val="255"/>
          <w:jc w:val="center"/>
        </w:trPr>
        <w:tc>
          <w:tcPr>
            <w:tcW w:w="7085" w:type="dxa"/>
            <w:gridSpan w:val="5"/>
            <w:vAlign w:val="center"/>
          </w:tcPr>
          <w:p w14:paraId="4FCCDBAF" w14:textId="0C9D1650" w:rsidR="007C1ED3" w:rsidRDefault="007C1ED3" w:rsidP="00977EBB">
            <w:pPr>
              <w:widowControl w:val="0"/>
              <w:jc w:val="right"/>
              <w:rPr>
                <w:rFonts w:eastAsia="Times New Roman" w:cs="Liberation Serif"/>
                <w:lang w:eastAsia="cs-CZ"/>
              </w:rPr>
            </w:pPr>
            <w:r>
              <w:rPr>
                <w:rFonts w:eastAsia="Times New Roman" w:cs="Liberation Serif"/>
                <w:lang w:eastAsia="cs-CZ"/>
              </w:rPr>
              <w:t>Sleva na jednorázové poplatky:</w:t>
            </w:r>
          </w:p>
        </w:tc>
        <w:tc>
          <w:tcPr>
            <w:tcW w:w="1980" w:type="dxa"/>
            <w:gridSpan w:val="2"/>
            <w:shd w:val="clear" w:color="auto" w:fill="F2DBDB" w:themeFill="accent2" w:themeFillTint="33"/>
            <w:vAlign w:val="center"/>
          </w:tcPr>
          <w:p w14:paraId="0114A437" w14:textId="77777777" w:rsidR="007C1ED3" w:rsidRDefault="007C1ED3" w:rsidP="00977EBB">
            <w:pPr>
              <w:widowControl w:val="0"/>
              <w:jc w:val="right"/>
              <w:rPr>
                <w:rFonts w:eastAsia="Times New Roman" w:cs="Liberation Serif"/>
                <w:lang w:val="en-US" w:eastAsia="cs-CZ"/>
              </w:rPr>
            </w:pPr>
            <w:r>
              <w:rPr>
                <w:rFonts w:eastAsia="Times New Roman" w:cs="Liberation Serif"/>
                <w:lang w:eastAsia="cs-CZ"/>
              </w:rPr>
              <w:t xml:space="preserve">10 </w:t>
            </w:r>
            <w:r>
              <w:rPr>
                <w:rFonts w:eastAsia="Times New Roman" w:cs="Liberation Serif"/>
                <w:lang w:val="en-US" w:eastAsia="cs-CZ"/>
              </w:rPr>
              <w:t>%</w:t>
            </w:r>
          </w:p>
        </w:tc>
      </w:tr>
      <w:tr w:rsidR="007C1ED3" w14:paraId="1FE20D9E" w14:textId="77777777" w:rsidTr="00977EBB">
        <w:trPr>
          <w:trHeight w:val="255"/>
          <w:jc w:val="center"/>
        </w:trPr>
        <w:tc>
          <w:tcPr>
            <w:tcW w:w="7085" w:type="dxa"/>
            <w:gridSpan w:val="5"/>
            <w:vAlign w:val="center"/>
          </w:tcPr>
          <w:p w14:paraId="3B96F89C" w14:textId="1C95B18D" w:rsidR="007C1ED3" w:rsidRDefault="007C1ED3" w:rsidP="00977EBB">
            <w:pPr>
              <w:widowControl w:val="0"/>
              <w:jc w:val="right"/>
              <w:rPr>
                <w:rFonts w:eastAsia="Times New Roman" w:cs="Liberation Serif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Liberation Serif"/>
                <w:b/>
                <w:bCs/>
                <w:sz w:val="28"/>
                <w:szCs w:val="28"/>
                <w:lang w:eastAsia="cs-CZ"/>
              </w:rPr>
              <w:t>Celková cena jednorázových poplatků:</w:t>
            </w:r>
          </w:p>
        </w:tc>
        <w:tc>
          <w:tcPr>
            <w:tcW w:w="1980" w:type="dxa"/>
            <w:gridSpan w:val="2"/>
            <w:vAlign w:val="center"/>
          </w:tcPr>
          <w:p w14:paraId="29CC5B94" w14:textId="01E82719" w:rsidR="007C1ED3" w:rsidRDefault="007C1ED3" w:rsidP="00977EBB">
            <w:pPr>
              <w:widowControl w:val="0"/>
              <w:jc w:val="right"/>
              <w:rPr>
                <w:rFonts w:eastAsia="Times New Roman" w:cs="Liberation Serif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="Liberation Serif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="00987A42">
              <w:rPr>
                <w:rFonts w:eastAsia="Times New Roman" w:cs="Liberation Serif"/>
                <w:b/>
                <w:bCs/>
                <w:sz w:val="28"/>
                <w:szCs w:val="28"/>
                <w:lang w:eastAsia="cs-CZ"/>
              </w:rPr>
              <w:t>45 000</w:t>
            </w:r>
            <w:r>
              <w:rPr>
                <w:rFonts w:eastAsia="Times New Roman" w:cs="Liberation Serif"/>
                <w:b/>
                <w:bCs/>
                <w:sz w:val="28"/>
                <w:szCs w:val="28"/>
                <w:lang w:eastAsia="cs-CZ"/>
              </w:rPr>
              <w:t xml:space="preserve"> Kč</w:t>
            </w:r>
          </w:p>
        </w:tc>
      </w:tr>
    </w:tbl>
    <w:p w14:paraId="76228F7E" w14:textId="77777777" w:rsidR="007C1ED3" w:rsidRDefault="007C1ED3" w:rsidP="007C1ED3">
      <w:pPr>
        <w:pStyle w:val="LO-normal"/>
        <w:spacing w:after="200"/>
        <w:jc w:val="both"/>
      </w:pPr>
    </w:p>
    <w:p w14:paraId="36C0054B" w14:textId="51812DF1" w:rsidR="00937681" w:rsidRDefault="005D0B2C">
      <w:pPr>
        <w:pStyle w:val="LO-normal"/>
        <w:numPr>
          <w:ilvl w:val="1"/>
          <w:numId w:val="9"/>
        </w:numPr>
        <w:spacing w:after="200"/>
        <w:jc w:val="both"/>
      </w:pPr>
      <w:r>
        <w:t xml:space="preserve">Cena za užívání aplikace </w:t>
      </w:r>
      <w:proofErr w:type="spellStart"/>
      <w:r>
        <w:t>Dicompass</w:t>
      </w:r>
      <w:proofErr w:type="spellEnd"/>
      <w:r>
        <w:t xml:space="preserve"> Cloud v rozsahu dle článku 2, za údržbu a správu datových prostředí Uživatele v</w:t>
      </w:r>
      <w:r w:rsidR="007C1ED3">
        <w:t> </w:t>
      </w:r>
      <w:r>
        <w:t>cloudu</w:t>
      </w:r>
      <w:r w:rsidR="007C1ED3">
        <w:t xml:space="preserve"> po uplynutí 24 měsíců</w:t>
      </w:r>
      <w:r>
        <w:t xml:space="preserve"> od instalace je dána takto:</w:t>
      </w:r>
    </w:p>
    <w:tbl>
      <w:tblPr>
        <w:tblW w:w="90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5286"/>
        <w:gridCol w:w="624"/>
        <w:gridCol w:w="1130"/>
        <w:gridCol w:w="20"/>
        <w:gridCol w:w="1951"/>
        <w:gridCol w:w="29"/>
      </w:tblGrid>
      <w:tr w:rsidR="00937681" w14:paraId="1C4BCC11" w14:textId="77777777" w:rsidTr="00CB437A">
        <w:trPr>
          <w:jc w:val="center"/>
        </w:trPr>
        <w:tc>
          <w:tcPr>
            <w:tcW w:w="25" w:type="dxa"/>
          </w:tcPr>
          <w:p w14:paraId="7F97DC78" w14:textId="77777777" w:rsidR="00937681" w:rsidRDefault="00937681">
            <w:pPr>
              <w:pStyle w:val="Obsahtabulky"/>
              <w:spacing w:before="57" w:after="57"/>
              <w:jc w:val="center"/>
              <w:rPr>
                <w:b/>
                <w:bCs/>
                <w:color w:val="FFFFFF" w:themeColor="background1"/>
                <w:shd w:val="clear" w:color="auto" w:fill="C9211E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211E"/>
            <w:vAlign w:val="center"/>
          </w:tcPr>
          <w:p w14:paraId="7FF1D9B5" w14:textId="77777777" w:rsidR="00937681" w:rsidRDefault="005D0B2C">
            <w:pPr>
              <w:pStyle w:val="Obsahtabulky"/>
              <w:spacing w:before="57" w:after="57"/>
              <w:jc w:val="center"/>
              <w:rPr>
                <w:b/>
                <w:bCs/>
                <w:color w:val="FFFFFF" w:themeColor="background1"/>
                <w:shd w:val="clear" w:color="auto" w:fill="C9211E"/>
              </w:rPr>
            </w:pPr>
            <w:r>
              <w:rPr>
                <w:b/>
                <w:bCs/>
                <w:color w:val="FFFFFF" w:themeColor="background1"/>
                <w:shd w:val="clear" w:color="auto" w:fill="C9211E"/>
              </w:rPr>
              <w:t>Tarif a jiné položky – měsíční poplatky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211E"/>
            <w:vAlign w:val="center"/>
          </w:tcPr>
          <w:p w14:paraId="7C39E72B" w14:textId="77777777" w:rsidR="00937681" w:rsidRDefault="005D0B2C">
            <w:pPr>
              <w:pStyle w:val="Obsahtabulky"/>
              <w:spacing w:before="57" w:after="57"/>
              <w:jc w:val="center"/>
              <w:rPr>
                <w:b/>
                <w:bCs/>
                <w:color w:val="FFFFFF" w:themeColor="background1"/>
                <w:shd w:val="clear" w:color="auto" w:fill="C9211E"/>
              </w:rPr>
            </w:pPr>
            <w:r>
              <w:rPr>
                <w:b/>
                <w:bCs/>
                <w:color w:val="FFFFFF" w:themeColor="background1"/>
                <w:shd w:val="clear" w:color="auto" w:fill="C9211E"/>
              </w:rPr>
              <w:t>Ks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211E"/>
            <w:vAlign w:val="center"/>
          </w:tcPr>
          <w:p w14:paraId="5466448C" w14:textId="77777777" w:rsidR="00937681" w:rsidRDefault="005D0B2C">
            <w:pPr>
              <w:pStyle w:val="Obsahtabulky"/>
              <w:spacing w:before="57" w:after="57"/>
              <w:jc w:val="center"/>
              <w:rPr>
                <w:b/>
                <w:bCs/>
                <w:color w:val="FFFFFF" w:themeColor="background1"/>
                <w:shd w:val="clear" w:color="auto" w:fill="C9211E"/>
              </w:rPr>
            </w:pPr>
            <w:r>
              <w:rPr>
                <w:b/>
                <w:bCs/>
                <w:color w:val="FFFFFF" w:themeColor="background1"/>
                <w:shd w:val="clear" w:color="auto" w:fill="C9211E"/>
              </w:rPr>
              <w:t>Cena / Ks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211E"/>
            <w:vAlign w:val="center"/>
          </w:tcPr>
          <w:p w14:paraId="7260864C" w14:textId="77777777" w:rsidR="00937681" w:rsidRDefault="005D0B2C">
            <w:pPr>
              <w:pStyle w:val="Obsahtabulky"/>
              <w:spacing w:before="57" w:after="57"/>
              <w:jc w:val="center"/>
              <w:rPr>
                <w:b/>
                <w:bCs/>
                <w:color w:val="FFFFFF" w:themeColor="background1"/>
                <w:shd w:val="clear" w:color="auto" w:fill="C9211E"/>
              </w:rPr>
            </w:pPr>
            <w:r>
              <w:rPr>
                <w:b/>
                <w:bCs/>
                <w:color w:val="FFFFFF" w:themeColor="background1"/>
                <w:shd w:val="clear" w:color="auto" w:fill="C9211E"/>
              </w:rPr>
              <w:t>Celková cena</w:t>
            </w:r>
          </w:p>
        </w:tc>
        <w:tc>
          <w:tcPr>
            <w:tcW w:w="29" w:type="dxa"/>
          </w:tcPr>
          <w:p w14:paraId="7C0D10D6" w14:textId="77777777" w:rsidR="00937681" w:rsidRDefault="00937681"/>
        </w:tc>
      </w:tr>
      <w:tr w:rsidR="00987A42" w14:paraId="2F16E6DE" w14:textId="77777777" w:rsidTr="00987A42">
        <w:trPr>
          <w:trHeight w:val="340"/>
          <w:jc w:val="center"/>
        </w:trPr>
        <w:tc>
          <w:tcPr>
            <w:tcW w:w="25" w:type="dxa"/>
          </w:tcPr>
          <w:p w14:paraId="22E0786D" w14:textId="77777777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lang w:eastAsia="cs-CZ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B5AE" w14:textId="04BECAB4" w:rsidR="00987A42" w:rsidRPr="00987A42" w:rsidRDefault="00987A42" w:rsidP="00987A42">
            <w:pPr>
              <w:widowControl w:val="0"/>
              <w:jc w:val="right"/>
              <w:rPr>
                <w:rFonts w:eastAsia="Times New Roman" w:cs="Liberation Serif"/>
                <w:sz w:val="20"/>
                <w:szCs w:val="20"/>
                <w:lang w:eastAsia="cs-CZ"/>
              </w:rPr>
            </w:pPr>
            <w:proofErr w:type="gramStart"/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 xml:space="preserve">Tarif - </w:t>
            </w:r>
            <w:proofErr w:type="spellStart"/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Dicompass</w:t>
            </w:r>
            <w:proofErr w:type="spellEnd"/>
            <w:proofErr w:type="gramEnd"/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 xml:space="preserve"> Cloud Maximus: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A402" w14:textId="29783084" w:rsidR="00987A42" w:rsidRPr="00987A42" w:rsidRDefault="00987A42" w:rsidP="00987A42">
            <w:pPr>
              <w:pStyle w:val="Obsahtabulky"/>
              <w:jc w:val="center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CBBA" w14:textId="681B5187" w:rsidR="00987A42" w:rsidRPr="00987A42" w:rsidRDefault="00987A42" w:rsidP="00987A42">
            <w:pPr>
              <w:pStyle w:val="Obsahtabulky"/>
              <w:jc w:val="right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2 900 Kč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60BB" w14:textId="3B92086B" w:rsidR="00987A42" w:rsidRPr="00987A42" w:rsidRDefault="00987A42" w:rsidP="00987A42">
            <w:pPr>
              <w:pStyle w:val="Obsahtabulky"/>
              <w:jc w:val="right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2 900 Kč</w:t>
            </w:r>
          </w:p>
        </w:tc>
        <w:tc>
          <w:tcPr>
            <w:tcW w:w="29" w:type="dxa"/>
          </w:tcPr>
          <w:p w14:paraId="3645CEAF" w14:textId="77777777" w:rsidR="00987A42" w:rsidRDefault="00987A42" w:rsidP="00987A42"/>
        </w:tc>
      </w:tr>
      <w:tr w:rsidR="00987A42" w14:paraId="3B7DBDEA" w14:textId="77777777" w:rsidTr="00987A42">
        <w:trPr>
          <w:trHeight w:val="340"/>
          <w:jc w:val="center"/>
        </w:trPr>
        <w:tc>
          <w:tcPr>
            <w:tcW w:w="25" w:type="dxa"/>
          </w:tcPr>
          <w:p w14:paraId="1FE87AF7" w14:textId="77777777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lang w:eastAsia="cs-CZ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1558" w14:textId="48921E84" w:rsidR="00987A42" w:rsidRPr="00987A42" w:rsidRDefault="00987A42" w:rsidP="00987A42">
            <w:pPr>
              <w:widowControl w:val="0"/>
              <w:jc w:val="right"/>
              <w:rPr>
                <w:rFonts w:eastAsia="Times New Roman" w:cs="Liberation Serif"/>
                <w:sz w:val="20"/>
                <w:szCs w:val="20"/>
                <w:lang w:eastAsia="cs-CZ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 xml:space="preserve">Cloud </w:t>
            </w:r>
            <w:proofErr w:type="spellStart"/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connector</w:t>
            </w:r>
            <w:proofErr w:type="spellEnd"/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 xml:space="preserve"> BOX: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B2FA" w14:textId="0DAB2750" w:rsidR="00987A42" w:rsidRPr="00987A42" w:rsidRDefault="00987A42" w:rsidP="00987A42">
            <w:pPr>
              <w:pStyle w:val="Obsahtabulky"/>
              <w:jc w:val="center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EAC7" w14:textId="5034AE79" w:rsidR="00987A42" w:rsidRPr="00987A42" w:rsidRDefault="00987A42" w:rsidP="00987A42">
            <w:pPr>
              <w:pStyle w:val="Obsahtabulky"/>
              <w:jc w:val="right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1 500 Kč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927C" w14:textId="3F44A7FD" w:rsidR="00987A42" w:rsidRPr="00987A42" w:rsidRDefault="00987A42" w:rsidP="00987A42">
            <w:pPr>
              <w:pStyle w:val="Obsahtabulky"/>
              <w:jc w:val="right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1 500 Kč</w:t>
            </w:r>
          </w:p>
        </w:tc>
        <w:tc>
          <w:tcPr>
            <w:tcW w:w="29" w:type="dxa"/>
          </w:tcPr>
          <w:p w14:paraId="2F5A6FBF" w14:textId="77777777" w:rsidR="00987A42" w:rsidRDefault="00987A42" w:rsidP="00987A42"/>
        </w:tc>
      </w:tr>
      <w:tr w:rsidR="00987A42" w14:paraId="2E3CEA76" w14:textId="77777777" w:rsidTr="00987A42">
        <w:trPr>
          <w:trHeight w:val="340"/>
          <w:jc w:val="center"/>
        </w:trPr>
        <w:tc>
          <w:tcPr>
            <w:tcW w:w="25" w:type="dxa"/>
          </w:tcPr>
          <w:p w14:paraId="42D0CADD" w14:textId="77777777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lang w:eastAsia="cs-CZ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5627" w14:textId="78ECE25F" w:rsidR="00987A42" w:rsidRPr="00987A42" w:rsidRDefault="00987A42" w:rsidP="00987A42">
            <w:pPr>
              <w:widowControl w:val="0"/>
              <w:jc w:val="right"/>
              <w:rPr>
                <w:rFonts w:eastAsia="Times New Roman" w:cs="Liberation Serif"/>
                <w:sz w:val="20"/>
                <w:szCs w:val="20"/>
                <w:lang w:eastAsia="cs-CZ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 xml:space="preserve">Připojení modality (RDG, MR, </w:t>
            </w:r>
            <w:proofErr w:type="gramStart"/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CT, ..</w:t>
            </w:r>
            <w:proofErr w:type="gramEnd"/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):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F627" w14:textId="6E4BA493" w:rsidR="00987A42" w:rsidRPr="00987A42" w:rsidRDefault="00987A42" w:rsidP="00987A42">
            <w:pPr>
              <w:pStyle w:val="Obsahtabulky"/>
              <w:jc w:val="center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03CA" w14:textId="75908FF3" w:rsidR="00987A42" w:rsidRPr="00987A42" w:rsidRDefault="00987A42" w:rsidP="00987A42">
            <w:pPr>
              <w:pStyle w:val="Obsahtabulky"/>
              <w:jc w:val="right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1 000 Kč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637A" w14:textId="08D9C0EB" w:rsidR="00987A42" w:rsidRPr="00987A42" w:rsidRDefault="00987A42" w:rsidP="00987A42">
            <w:pPr>
              <w:pStyle w:val="Obsahtabulky"/>
              <w:jc w:val="right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1 000 Kč</w:t>
            </w:r>
          </w:p>
        </w:tc>
        <w:tc>
          <w:tcPr>
            <w:tcW w:w="29" w:type="dxa"/>
          </w:tcPr>
          <w:p w14:paraId="00072C58" w14:textId="77777777" w:rsidR="00987A42" w:rsidRDefault="00987A42" w:rsidP="00987A42"/>
        </w:tc>
      </w:tr>
      <w:tr w:rsidR="00987A42" w14:paraId="7D4EADAC" w14:textId="77777777" w:rsidTr="00987A42">
        <w:trPr>
          <w:trHeight w:val="340"/>
          <w:jc w:val="center"/>
        </w:trPr>
        <w:tc>
          <w:tcPr>
            <w:tcW w:w="25" w:type="dxa"/>
          </w:tcPr>
          <w:p w14:paraId="036879CB" w14:textId="77777777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lang w:eastAsia="cs-CZ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1904" w14:textId="5260C081" w:rsidR="00987A42" w:rsidRPr="00987A42" w:rsidRDefault="00987A42" w:rsidP="00987A42">
            <w:pPr>
              <w:widowControl w:val="0"/>
              <w:jc w:val="right"/>
              <w:rPr>
                <w:rFonts w:eastAsia="Times New Roman" w:cs="Liberation Serif"/>
                <w:sz w:val="20"/>
                <w:szCs w:val="20"/>
                <w:lang w:eastAsia="cs-CZ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 xml:space="preserve">Napojení na výměnou službu </w:t>
            </w:r>
            <w:proofErr w:type="spellStart"/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mDEX</w:t>
            </w:r>
            <w:proofErr w:type="spellEnd"/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9819" w14:textId="0CDB4616" w:rsidR="00987A42" w:rsidRPr="00987A42" w:rsidRDefault="00987A42" w:rsidP="00987A42">
            <w:pPr>
              <w:pStyle w:val="Obsahtabulky"/>
              <w:jc w:val="center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FBA1" w14:textId="531C77BB" w:rsidR="00987A42" w:rsidRPr="00987A42" w:rsidRDefault="00987A42" w:rsidP="00987A42">
            <w:pPr>
              <w:pStyle w:val="Obsahtabulky"/>
              <w:jc w:val="right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Zdarma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35C4" w14:textId="062A348D" w:rsidR="00987A42" w:rsidRPr="00987A42" w:rsidRDefault="00987A42" w:rsidP="00987A42">
            <w:pPr>
              <w:pStyle w:val="Obsahtabulky"/>
              <w:jc w:val="right"/>
              <w:rPr>
                <w:sz w:val="20"/>
                <w:szCs w:val="20"/>
              </w:rPr>
            </w:pPr>
            <w:r w:rsidRPr="00987A42">
              <w:rPr>
                <w:rFonts w:eastAsia="Times New Roman" w:cs="Liberation Serif"/>
                <w:sz w:val="20"/>
                <w:szCs w:val="20"/>
                <w:lang w:eastAsia="cs-CZ"/>
              </w:rPr>
              <w:t>Zdarma</w:t>
            </w:r>
          </w:p>
        </w:tc>
        <w:tc>
          <w:tcPr>
            <w:tcW w:w="29" w:type="dxa"/>
          </w:tcPr>
          <w:p w14:paraId="4A8577B8" w14:textId="77777777" w:rsidR="00987A42" w:rsidRDefault="00987A42" w:rsidP="00987A42"/>
        </w:tc>
      </w:tr>
      <w:tr w:rsidR="00987A42" w14:paraId="20E5B463" w14:textId="77777777" w:rsidTr="00B807CB">
        <w:trPr>
          <w:trHeight w:val="255"/>
          <w:jc w:val="center"/>
        </w:trPr>
        <w:tc>
          <w:tcPr>
            <w:tcW w:w="7085" w:type="dxa"/>
            <w:gridSpan w:val="5"/>
            <w:vAlign w:val="center"/>
          </w:tcPr>
          <w:p w14:paraId="3B3A5E2F" w14:textId="77777777" w:rsidR="00987A42" w:rsidRPr="00AB4F64" w:rsidRDefault="00987A42" w:rsidP="00987A42">
            <w:pPr>
              <w:widowControl w:val="0"/>
              <w:jc w:val="right"/>
              <w:rPr>
                <w:rFonts w:eastAsia="Times New Roman" w:cs="Liberation Serif"/>
                <w:lang w:eastAsia="cs-CZ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93C145B" w14:textId="77777777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lang w:eastAsia="cs-CZ"/>
              </w:rPr>
            </w:pPr>
          </w:p>
        </w:tc>
      </w:tr>
      <w:tr w:rsidR="00987A42" w14:paraId="7172B092" w14:textId="77777777" w:rsidTr="00B807CB">
        <w:trPr>
          <w:trHeight w:val="255"/>
          <w:jc w:val="center"/>
        </w:trPr>
        <w:tc>
          <w:tcPr>
            <w:tcW w:w="7085" w:type="dxa"/>
            <w:gridSpan w:val="5"/>
            <w:vAlign w:val="center"/>
          </w:tcPr>
          <w:p w14:paraId="261DB74C" w14:textId="5FA38734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lang w:eastAsia="cs-CZ"/>
              </w:rPr>
            </w:pPr>
            <w:r w:rsidRPr="00AB4F64">
              <w:rPr>
                <w:rFonts w:eastAsia="Times New Roman" w:cs="Liberation Serif"/>
                <w:lang w:eastAsia="cs-CZ"/>
              </w:rPr>
              <w:t>Součet cen:</w:t>
            </w:r>
          </w:p>
        </w:tc>
        <w:tc>
          <w:tcPr>
            <w:tcW w:w="1980" w:type="dxa"/>
            <w:gridSpan w:val="2"/>
            <w:vAlign w:val="center"/>
          </w:tcPr>
          <w:p w14:paraId="5D0DB201" w14:textId="0E7D7A2F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lang w:eastAsia="cs-CZ"/>
              </w:rPr>
            </w:pPr>
            <w:r>
              <w:rPr>
                <w:rFonts w:eastAsia="Times New Roman" w:cs="Liberation Serif"/>
                <w:lang w:eastAsia="cs-CZ"/>
              </w:rPr>
              <w:t>5</w:t>
            </w:r>
            <w:r w:rsidRPr="00AB4F64">
              <w:rPr>
                <w:rFonts w:eastAsia="Times New Roman" w:cs="Liberation Serif"/>
                <w:lang w:eastAsia="cs-CZ"/>
              </w:rPr>
              <w:t xml:space="preserve"> </w:t>
            </w:r>
            <w:r>
              <w:rPr>
                <w:rFonts w:eastAsia="Times New Roman" w:cs="Liberation Serif"/>
                <w:lang w:eastAsia="cs-CZ"/>
              </w:rPr>
              <w:t>4</w:t>
            </w:r>
            <w:r w:rsidRPr="00AB4F64">
              <w:rPr>
                <w:rFonts w:eastAsia="Times New Roman" w:cs="Liberation Serif"/>
                <w:lang w:eastAsia="cs-CZ"/>
              </w:rPr>
              <w:t>00 Kč</w:t>
            </w:r>
          </w:p>
        </w:tc>
      </w:tr>
      <w:tr w:rsidR="00987A42" w14:paraId="7398AFB8" w14:textId="77777777" w:rsidTr="00CB437A">
        <w:trPr>
          <w:trHeight w:val="255"/>
          <w:jc w:val="center"/>
        </w:trPr>
        <w:tc>
          <w:tcPr>
            <w:tcW w:w="7085" w:type="dxa"/>
            <w:gridSpan w:val="5"/>
            <w:vAlign w:val="center"/>
          </w:tcPr>
          <w:p w14:paraId="57ECB392" w14:textId="6B158C00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lang w:eastAsia="cs-CZ"/>
              </w:rPr>
            </w:pPr>
            <w:r>
              <w:rPr>
                <w:rFonts w:eastAsia="Times New Roman" w:cs="Liberation Serif"/>
                <w:lang w:eastAsia="cs-CZ"/>
              </w:rPr>
              <w:t xml:space="preserve">Sleva instalace Cloud </w:t>
            </w:r>
            <w:proofErr w:type="spellStart"/>
            <w:r>
              <w:rPr>
                <w:rFonts w:eastAsia="Times New Roman" w:cs="Liberation Serif"/>
                <w:lang w:eastAsia="cs-CZ"/>
              </w:rPr>
              <w:t>connector</w:t>
            </w:r>
            <w:proofErr w:type="spellEnd"/>
            <w:r>
              <w:rPr>
                <w:rFonts w:eastAsia="Times New Roman" w:cs="Liberation Serif"/>
                <w:lang w:eastAsia="cs-CZ"/>
              </w:rPr>
              <w:t xml:space="preserve"> BOX do vlastní virtualizace:</w:t>
            </w:r>
          </w:p>
        </w:tc>
        <w:tc>
          <w:tcPr>
            <w:tcW w:w="1980" w:type="dxa"/>
            <w:gridSpan w:val="2"/>
            <w:shd w:val="clear" w:color="auto" w:fill="F2DBDB" w:themeFill="accent2" w:themeFillTint="33"/>
            <w:vAlign w:val="center"/>
          </w:tcPr>
          <w:p w14:paraId="2EB1BC7C" w14:textId="4CF20A30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lang w:val="en-US" w:eastAsia="cs-CZ"/>
              </w:rPr>
            </w:pPr>
            <w:r>
              <w:rPr>
                <w:rFonts w:eastAsia="Times New Roman" w:cs="Liberation Serif"/>
                <w:lang w:eastAsia="cs-CZ"/>
              </w:rPr>
              <w:t>- 500 Kč</w:t>
            </w:r>
          </w:p>
        </w:tc>
      </w:tr>
      <w:tr w:rsidR="00987A42" w14:paraId="6D11B8C4" w14:textId="77777777" w:rsidTr="00CB437A">
        <w:trPr>
          <w:trHeight w:val="255"/>
          <w:jc w:val="center"/>
        </w:trPr>
        <w:tc>
          <w:tcPr>
            <w:tcW w:w="7085" w:type="dxa"/>
            <w:gridSpan w:val="5"/>
            <w:vAlign w:val="center"/>
          </w:tcPr>
          <w:p w14:paraId="1BBF46EF" w14:textId="7F10D012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b/>
                <w:bCs/>
                <w:sz w:val="28"/>
                <w:szCs w:val="28"/>
                <w:lang w:eastAsia="cs-CZ"/>
              </w:rPr>
            </w:pPr>
            <w:r w:rsidRPr="00AB4F64">
              <w:rPr>
                <w:rFonts w:eastAsia="Times New Roman" w:cs="Liberation Serif"/>
                <w:lang w:eastAsia="cs-CZ"/>
              </w:rPr>
              <w:t>Sleva na celkové řešení při platbě na celý rok:</w:t>
            </w:r>
          </w:p>
        </w:tc>
        <w:tc>
          <w:tcPr>
            <w:tcW w:w="1980" w:type="dxa"/>
            <w:gridSpan w:val="2"/>
            <w:vAlign w:val="center"/>
          </w:tcPr>
          <w:p w14:paraId="14110C4E" w14:textId="20969596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b/>
                <w:bCs/>
                <w:sz w:val="28"/>
                <w:szCs w:val="28"/>
                <w:lang w:eastAsia="cs-CZ"/>
              </w:rPr>
            </w:pPr>
            <w:r w:rsidRPr="00AB4F64">
              <w:rPr>
                <w:rFonts w:eastAsia="Times New Roman" w:cs="Liberation Serif"/>
                <w:lang w:eastAsia="cs-CZ"/>
              </w:rPr>
              <w:t xml:space="preserve">10 </w:t>
            </w:r>
            <w:r w:rsidRPr="00AB4F64">
              <w:rPr>
                <w:rFonts w:eastAsia="Times New Roman" w:cs="Liberation Serif"/>
                <w:lang w:val="en-US" w:eastAsia="cs-CZ"/>
              </w:rPr>
              <w:t>%</w:t>
            </w:r>
          </w:p>
        </w:tc>
      </w:tr>
      <w:tr w:rsidR="00987A42" w14:paraId="77CB0799" w14:textId="77777777" w:rsidTr="00CB437A">
        <w:trPr>
          <w:trHeight w:val="255"/>
          <w:jc w:val="center"/>
        </w:trPr>
        <w:tc>
          <w:tcPr>
            <w:tcW w:w="7085" w:type="dxa"/>
            <w:gridSpan w:val="5"/>
            <w:vAlign w:val="center"/>
          </w:tcPr>
          <w:p w14:paraId="5BEA2C64" w14:textId="4BF55423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1B5D577" w14:textId="1DA9A8D8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987A42" w14:paraId="724BE9AE" w14:textId="77777777" w:rsidTr="00CB437A">
        <w:trPr>
          <w:trHeight w:val="255"/>
          <w:jc w:val="center"/>
        </w:trPr>
        <w:tc>
          <w:tcPr>
            <w:tcW w:w="7085" w:type="dxa"/>
            <w:gridSpan w:val="5"/>
            <w:vAlign w:val="center"/>
          </w:tcPr>
          <w:p w14:paraId="0BFF445A" w14:textId="10BF300D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b/>
                <w:bCs/>
                <w:sz w:val="28"/>
                <w:szCs w:val="28"/>
                <w:lang w:eastAsia="cs-CZ"/>
              </w:rPr>
            </w:pPr>
            <w:r w:rsidRPr="00AB4F64">
              <w:rPr>
                <w:rFonts w:eastAsia="Times New Roman" w:cs="Liberation Serif"/>
                <w:b/>
                <w:bCs/>
                <w:sz w:val="28"/>
                <w:szCs w:val="28"/>
                <w:lang w:eastAsia="cs-CZ"/>
              </w:rPr>
              <w:t>Měsíční cena s podporou NBD 8x5:</w:t>
            </w:r>
          </w:p>
        </w:tc>
        <w:tc>
          <w:tcPr>
            <w:tcW w:w="1980" w:type="dxa"/>
            <w:gridSpan w:val="2"/>
            <w:vAlign w:val="center"/>
          </w:tcPr>
          <w:p w14:paraId="5AEDDD34" w14:textId="11A32470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b/>
                <w:bCs/>
                <w:sz w:val="28"/>
                <w:szCs w:val="28"/>
                <w:lang w:eastAsia="cs-CZ"/>
              </w:rPr>
            </w:pPr>
            <w:r w:rsidRPr="00AB4F64">
              <w:rPr>
                <w:rFonts w:eastAsia="Times New Roman" w:cs="Liberation Serif"/>
                <w:b/>
                <w:bCs/>
                <w:sz w:val="28"/>
                <w:szCs w:val="28"/>
                <w:lang w:eastAsia="cs-CZ"/>
              </w:rPr>
              <w:t>4 900 Kč</w:t>
            </w:r>
          </w:p>
        </w:tc>
      </w:tr>
      <w:tr w:rsidR="00987A42" w14:paraId="141A98CD" w14:textId="77777777" w:rsidTr="00CB437A">
        <w:trPr>
          <w:trHeight w:val="255"/>
          <w:jc w:val="center"/>
        </w:trPr>
        <w:tc>
          <w:tcPr>
            <w:tcW w:w="7085" w:type="dxa"/>
            <w:gridSpan w:val="5"/>
            <w:vAlign w:val="center"/>
          </w:tcPr>
          <w:p w14:paraId="02D7C49C" w14:textId="3AB99BA1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b/>
                <w:bCs/>
                <w:sz w:val="28"/>
                <w:szCs w:val="28"/>
                <w:lang w:eastAsia="cs-CZ"/>
              </w:rPr>
            </w:pPr>
            <w:r w:rsidRPr="00AB4F64">
              <w:rPr>
                <w:rFonts w:eastAsia="Times New Roman" w:cs="Liberation Serif"/>
                <w:b/>
                <w:bCs/>
                <w:sz w:val="28"/>
                <w:szCs w:val="28"/>
                <w:lang w:eastAsia="cs-CZ"/>
              </w:rPr>
              <w:t>Roční cena po slevě s podporou NBD 8x5:</w:t>
            </w:r>
          </w:p>
        </w:tc>
        <w:tc>
          <w:tcPr>
            <w:tcW w:w="1980" w:type="dxa"/>
            <w:gridSpan w:val="2"/>
            <w:vAlign w:val="center"/>
          </w:tcPr>
          <w:p w14:paraId="2A9E406E" w14:textId="7D943924" w:rsidR="00987A42" w:rsidRDefault="00987A42" w:rsidP="00987A42">
            <w:pPr>
              <w:widowControl w:val="0"/>
              <w:jc w:val="right"/>
              <w:rPr>
                <w:rFonts w:eastAsia="Times New Roman" w:cs="Liberation Serif"/>
                <w:b/>
                <w:bCs/>
                <w:sz w:val="28"/>
                <w:szCs w:val="28"/>
                <w:lang w:eastAsia="cs-CZ"/>
              </w:rPr>
            </w:pPr>
            <w:r w:rsidRPr="00AB4F64">
              <w:rPr>
                <w:rFonts w:eastAsia="Times New Roman" w:cs="Liberation Serif"/>
                <w:b/>
                <w:bCs/>
                <w:sz w:val="28"/>
                <w:szCs w:val="28"/>
                <w:lang w:eastAsia="cs-CZ"/>
              </w:rPr>
              <w:t>52 920 Kč</w:t>
            </w:r>
          </w:p>
        </w:tc>
      </w:tr>
    </w:tbl>
    <w:p w14:paraId="42EF82D3" w14:textId="77777777" w:rsidR="00937681" w:rsidRDefault="00937681">
      <w:pPr>
        <w:spacing w:after="200"/>
        <w:ind w:hanging="283"/>
        <w:jc w:val="both"/>
      </w:pPr>
    </w:p>
    <w:p w14:paraId="797AB76F" w14:textId="35B49E73" w:rsidR="00937681" w:rsidRDefault="005D0B2C">
      <w:pPr>
        <w:pStyle w:val="LO-normal"/>
        <w:numPr>
          <w:ilvl w:val="1"/>
          <w:numId w:val="9"/>
        </w:numPr>
        <w:spacing w:after="200"/>
        <w:jc w:val="both"/>
      </w:pPr>
      <w:r>
        <w:lastRenderedPageBreak/>
        <w:t>Ve výše uvedených cenách služeb cloudu jsou zahrnuty činnosti Poskytovatele při správě a provozování aplikací a správě dat Uživatele v cloudu. V uvedených cenách poskytovaných služeb nejsou zahrnuty žádné zde výslovně neuvedené služby, ani jiná plnění.</w:t>
      </w:r>
    </w:p>
    <w:p w14:paraId="0804B30B" w14:textId="77777777" w:rsidR="00622F75" w:rsidRPr="00F91DCB" w:rsidRDefault="00622F75" w:rsidP="00622F75">
      <w:pPr>
        <w:pStyle w:val="LO-normal"/>
        <w:numPr>
          <w:ilvl w:val="1"/>
          <w:numId w:val="9"/>
        </w:numPr>
        <w:spacing w:after="200"/>
        <w:jc w:val="both"/>
      </w:pPr>
      <w:r w:rsidRPr="00F91DCB">
        <w:t>Všechny zde uvedené ceny jsou vždy bez DPH.</w:t>
      </w:r>
    </w:p>
    <w:p w14:paraId="73DC14E8" w14:textId="091704C3" w:rsidR="00937681" w:rsidRPr="00F91DCB" w:rsidRDefault="005D0B2C">
      <w:pPr>
        <w:pStyle w:val="LO-normal"/>
        <w:numPr>
          <w:ilvl w:val="1"/>
          <w:numId w:val="9"/>
        </w:numPr>
        <w:spacing w:after="200"/>
        <w:jc w:val="both"/>
      </w:pPr>
      <w:r w:rsidRPr="00F91DCB">
        <w:t>Cena za služby dle odst. 4.1. a dle odst. 4.2. bude Poskytovatelem vyúčtována Uživateli na základě Poskytovatelem vystavené faktury se splatností 30 dní od vystavení. Faktura musí mít náležitosti daňového dokladu dle zákona.</w:t>
      </w:r>
      <w:r w:rsidR="00F77F0D" w:rsidRPr="00F91DCB">
        <w:t xml:space="preserve"> Faktura bude zasílána elektronicky na e-mail Uživatele</w:t>
      </w:r>
      <w:r w:rsidR="005B3E67">
        <w:t>.</w:t>
      </w:r>
      <w:r w:rsidR="00F77F0D" w:rsidRPr="00F91DCB">
        <w:t xml:space="preserve"> </w:t>
      </w:r>
    </w:p>
    <w:p w14:paraId="3C043ED9" w14:textId="4C459589" w:rsidR="006E7080" w:rsidRDefault="006E7080" w:rsidP="006E7080">
      <w:pPr>
        <w:pStyle w:val="LO-normal"/>
        <w:numPr>
          <w:ilvl w:val="1"/>
          <w:numId w:val="9"/>
        </w:numPr>
        <w:spacing w:after="200"/>
        <w:jc w:val="both"/>
      </w:pPr>
      <w:r>
        <w:t xml:space="preserve">Veškeré platby pak budou Uživatelem poukázány na účet Poskytovatele uvedený na faktuře. </w:t>
      </w:r>
    </w:p>
    <w:p w14:paraId="501B8EEA" w14:textId="77777777" w:rsidR="00987A42" w:rsidRDefault="00987A42">
      <w:pPr>
        <w:pStyle w:val="LO-normal"/>
        <w:spacing w:line="360" w:lineRule="auto"/>
        <w:jc w:val="center"/>
        <w:rPr>
          <w:b/>
        </w:rPr>
      </w:pPr>
    </w:p>
    <w:p w14:paraId="574F6585" w14:textId="3405730D" w:rsidR="00937681" w:rsidRDefault="005D0B2C">
      <w:pPr>
        <w:pStyle w:val="LO-normal"/>
        <w:spacing w:line="360" w:lineRule="auto"/>
        <w:jc w:val="center"/>
        <w:rPr>
          <w:b/>
        </w:rPr>
      </w:pPr>
      <w:r>
        <w:rPr>
          <w:b/>
        </w:rPr>
        <w:t>Článek 5.</w:t>
      </w:r>
    </w:p>
    <w:p w14:paraId="1BF670B1" w14:textId="77777777" w:rsidR="00937681" w:rsidRDefault="005D0B2C">
      <w:pPr>
        <w:pStyle w:val="LO-normal"/>
        <w:spacing w:line="360" w:lineRule="auto"/>
        <w:jc w:val="center"/>
        <w:rPr>
          <w:b/>
        </w:rPr>
      </w:pPr>
      <w:r>
        <w:rPr>
          <w:b/>
        </w:rPr>
        <w:t>Sankce</w:t>
      </w:r>
    </w:p>
    <w:p w14:paraId="584DF3D1" w14:textId="1EAE4599" w:rsidR="00937681" w:rsidRDefault="005D0B2C">
      <w:pPr>
        <w:pStyle w:val="LO-normal"/>
        <w:numPr>
          <w:ilvl w:val="1"/>
          <w:numId w:val="5"/>
        </w:numPr>
        <w:spacing w:after="200"/>
        <w:jc w:val="both"/>
      </w:pPr>
      <w:r>
        <w:t xml:space="preserve">V případě prodlení Uživatele s úhradou některé z cen uvedených v článku 4 je Uživatel povinen uhradit Poskytovateli úrok z prodlení ve výši 0,05 % z dlužné částky za každý den prodlení. Poskytovatel je také oprávněn omezit Uživateli přístup </w:t>
      </w:r>
      <w:r w:rsidR="006E7080">
        <w:t xml:space="preserve">ke službě </w:t>
      </w:r>
      <w:proofErr w:type="spellStart"/>
      <w:r w:rsidR="006E7080">
        <w:t>Dicompass</w:t>
      </w:r>
      <w:proofErr w:type="spellEnd"/>
      <w:r w:rsidR="006E7080">
        <w:t xml:space="preserve"> Cloud</w:t>
      </w:r>
      <w:r>
        <w:t xml:space="preserve"> až do doby úhrady dlužné částky.</w:t>
      </w:r>
    </w:p>
    <w:p w14:paraId="4ACF13B7" w14:textId="77777777" w:rsidR="00987A42" w:rsidRDefault="00987A42">
      <w:pPr>
        <w:pStyle w:val="LO-normal"/>
        <w:spacing w:line="360" w:lineRule="auto"/>
        <w:jc w:val="center"/>
        <w:rPr>
          <w:b/>
        </w:rPr>
      </w:pPr>
    </w:p>
    <w:p w14:paraId="418F77A3" w14:textId="4C469501" w:rsidR="00937681" w:rsidRDefault="005D0B2C">
      <w:pPr>
        <w:pStyle w:val="LO-normal"/>
        <w:spacing w:line="360" w:lineRule="auto"/>
        <w:jc w:val="center"/>
        <w:rPr>
          <w:b/>
        </w:rPr>
      </w:pPr>
      <w:r>
        <w:rPr>
          <w:b/>
        </w:rPr>
        <w:t>Článek 6.</w:t>
      </w:r>
    </w:p>
    <w:p w14:paraId="37ED7278" w14:textId="77777777" w:rsidR="00937681" w:rsidRDefault="005D0B2C">
      <w:pPr>
        <w:pStyle w:val="LO-normal"/>
        <w:spacing w:line="360" w:lineRule="auto"/>
        <w:jc w:val="center"/>
        <w:rPr>
          <w:b/>
        </w:rPr>
      </w:pPr>
      <w:r>
        <w:rPr>
          <w:b/>
        </w:rPr>
        <w:t>Doba trvání smlouvy</w:t>
      </w:r>
    </w:p>
    <w:p w14:paraId="2B4D3FA9" w14:textId="77777777" w:rsidR="00937681" w:rsidRDefault="005D0B2C">
      <w:pPr>
        <w:pStyle w:val="LO-normal"/>
        <w:numPr>
          <w:ilvl w:val="1"/>
          <w:numId w:val="2"/>
        </w:numPr>
        <w:spacing w:after="200"/>
        <w:jc w:val="both"/>
      </w:pPr>
      <w:r>
        <w:t>Tato smlouva se uzavírá na dobu neurčitou, přičemž zaniká výpovědí.</w:t>
      </w:r>
    </w:p>
    <w:p w14:paraId="4D8FF69C" w14:textId="77777777" w:rsidR="00937681" w:rsidRDefault="005D0B2C">
      <w:pPr>
        <w:pStyle w:val="LO-normal"/>
        <w:numPr>
          <w:ilvl w:val="1"/>
          <w:numId w:val="2"/>
        </w:numPr>
        <w:spacing w:after="200"/>
        <w:jc w:val="both"/>
      </w:pPr>
      <w:r>
        <w:t>Výpovědní lhůta činí 3 měsíce a začíná běžet prvním dnem měsíce následujícího po měsíci, ve kterém byla druhé smluvní straně doručena písemná výpověď.</w:t>
      </w:r>
    </w:p>
    <w:p w14:paraId="26F48BB3" w14:textId="2E9D737C" w:rsidR="00937681" w:rsidRDefault="005D0B2C">
      <w:pPr>
        <w:pStyle w:val="LO-normal"/>
        <w:numPr>
          <w:ilvl w:val="1"/>
          <w:numId w:val="2"/>
        </w:numPr>
        <w:spacing w:after="200"/>
        <w:jc w:val="both"/>
      </w:pPr>
      <w:r>
        <w:t>Poskytovatel je rovněž oprávněn od této smlouvy písemně odstoupit s účinnost</w:t>
      </w:r>
      <w:r w:rsidR="00F91DCB">
        <w:t>í</w:t>
      </w:r>
      <w:r>
        <w:t xml:space="preserve"> ke dni doručení tohoto odstoupení Uživateli, jestliže Uživatel hrubým způsobem porušuje tuto smlouvu, zejména pak jestliže je v prodlení se zaplacením ceny delším jak 30 dnů.</w:t>
      </w:r>
    </w:p>
    <w:p w14:paraId="0EA02161" w14:textId="41B0F6F3" w:rsidR="00937681" w:rsidRDefault="005D0B2C">
      <w:pPr>
        <w:pStyle w:val="LO-normal"/>
        <w:numPr>
          <w:ilvl w:val="1"/>
          <w:numId w:val="2"/>
        </w:numPr>
        <w:jc w:val="both"/>
      </w:pPr>
      <w:r>
        <w:t>Uživatel je také oprávněn od této smlouvy písemně odstoupit s účinnost</w:t>
      </w:r>
      <w:r w:rsidR="00F91DCB">
        <w:t>í</w:t>
      </w:r>
      <w:r>
        <w:t xml:space="preserve"> ke dni doručení tohoto odstoupení Poskytovateli, jestliže Poskytovatel hrubým způsobem porušuje tuto smlouvu, zejména pak jestliže dojde ze strany Poskytovatele k dlouhodobému a opakovanému porušení dostupnosti aplikačních služeb.</w:t>
      </w:r>
    </w:p>
    <w:p w14:paraId="302D476D" w14:textId="77777777" w:rsidR="00937681" w:rsidRDefault="005D0B2C">
      <w:pPr>
        <w:pStyle w:val="LO-normal"/>
        <w:numPr>
          <w:ilvl w:val="1"/>
          <w:numId w:val="2"/>
        </w:numPr>
        <w:spacing w:before="200"/>
        <w:jc w:val="both"/>
      </w:pPr>
      <w:r>
        <w:t>Výpověď či odstoupení od této smlouvy se považují za doručené na adresu druhé smluvní strany uvedenou v této smlouvě převzetím doporučené zásilky příslušným adresátem.</w:t>
      </w:r>
    </w:p>
    <w:p w14:paraId="5419FB7C" w14:textId="77777777" w:rsidR="00937681" w:rsidRDefault="00937681">
      <w:pPr>
        <w:pStyle w:val="LO-normal"/>
        <w:jc w:val="both"/>
        <w:rPr>
          <w:b/>
        </w:rPr>
      </w:pPr>
    </w:p>
    <w:p w14:paraId="3E428E62" w14:textId="77777777" w:rsidR="00987A42" w:rsidRDefault="00987A42">
      <w:pPr>
        <w:pStyle w:val="LO-normal"/>
        <w:spacing w:line="360" w:lineRule="auto"/>
        <w:jc w:val="center"/>
        <w:rPr>
          <w:b/>
        </w:rPr>
      </w:pPr>
    </w:p>
    <w:p w14:paraId="1D88A948" w14:textId="053430D8" w:rsidR="00937681" w:rsidRDefault="005D0B2C">
      <w:pPr>
        <w:pStyle w:val="LO-normal"/>
        <w:spacing w:line="360" w:lineRule="auto"/>
        <w:jc w:val="center"/>
        <w:rPr>
          <w:b/>
        </w:rPr>
      </w:pPr>
      <w:r>
        <w:rPr>
          <w:b/>
        </w:rPr>
        <w:t>Článek 7.</w:t>
      </w:r>
    </w:p>
    <w:p w14:paraId="7792C75D" w14:textId="77777777" w:rsidR="006E7080" w:rsidRDefault="006E7080" w:rsidP="006E7080">
      <w:pPr>
        <w:pStyle w:val="LO-normal"/>
        <w:spacing w:line="360" w:lineRule="auto"/>
        <w:ind w:left="720"/>
        <w:jc w:val="center"/>
        <w:rPr>
          <w:b/>
        </w:rPr>
      </w:pPr>
      <w:r>
        <w:rPr>
          <w:b/>
        </w:rPr>
        <w:t>Ochrana osobních údajů a informací zpřístupněných Uživatelem</w:t>
      </w:r>
    </w:p>
    <w:p w14:paraId="630CF5BE" w14:textId="77777777" w:rsidR="006E7080" w:rsidRDefault="006E7080" w:rsidP="006E7080">
      <w:pPr>
        <w:pStyle w:val="LO-normal"/>
        <w:numPr>
          <w:ilvl w:val="1"/>
          <w:numId w:val="14"/>
        </w:numPr>
        <w:spacing w:after="200"/>
        <w:jc w:val="both"/>
      </w:pPr>
      <w:r>
        <w:t xml:space="preserve">Poskytovatel se zavazuje Uživateli k tomu, že bude dbát na to, aby při poskytování služeb cloudu podle této smlouvy nedošlo k neoprávněnému nebo nahodilému přístupu třetích osob k osobním údajům Uživatele, jež používají ochranu podle </w:t>
      </w:r>
      <w:r>
        <w:rPr>
          <w:rFonts w:cstheme="minorHAnsi"/>
        </w:rPr>
        <w:t xml:space="preserve">Nařízení Evropského parlamentu a Rady (EU) 2016/679 ze dne 27. dubna 2016 o ochraně fyzických osob v souvislosti se </w:t>
      </w:r>
      <w:r>
        <w:rPr>
          <w:rFonts w:cstheme="minorHAnsi"/>
        </w:rPr>
        <w:lastRenderedPageBreak/>
        <w:t>zpracováním osobních údajů a o volném pohybu těchto údajů a o zrušení směrnice 95/46/ES (obecné nařízení o ochraně osobních údajů), dále jen „Nařízení“, a související vnitrostátní legislativy, zejména zák. č. 110/2019 Sb., o zpracování osobních údajů.</w:t>
      </w:r>
      <w:r>
        <w:t xml:space="preserve"> </w:t>
      </w:r>
    </w:p>
    <w:p w14:paraId="033C73A3" w14:textId="77777777" w:rsidR="006E7080" w:rsidRDefault="006E7080" w:rsidP="006E7080">
      <w:pPr>
        <w:pStyle w:val="LO-normal"/>
        <w:numPr>
          <w:ilvl w:val="1"/>
          <w:numId w:val="14"/>
        </w:numPr>
        <w:spacing w:after="20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V souladu s čl. 28 Nařízení je Poskytovatel vůči Uživateli v roli zpracovatele zpřístupněných osobních údajů Uživatele.</w:t>
      </w:r>
    </w:p>
    <w:p w14:paraId="412CE020" w14:textId="77777777" w:rsidR="006E7080" w:rsidRDefault="006E7080" w:rsidP="006E7080">
      <w:pPr>
        <w:pStyle w:val="LO-normal"/>
        <w:numPr>
          <w:ilvl w:val="1"/>
          <w:numId w:val="14"/>
        </w:numPr>
        <w:spacing w:after="200"/>
        <w:jc w:val="both"/>
      </w:pPr>
      <w:r>
        <w:t>Uživatel, jakožto správce osobních údajů ve smyslu čl. 28 Nařízení a Poskytovatel, jakožto zpracovatel osobních údajů, uzavírají současně s touto smlouvou dále uvedená smluvní ujednání za účelem zajištění náležité ochrany zpřístupňovaných osobních údajů, která zůstanou v účinnosti po dobu účinnosti této smlouvy, takto:</w:t>
      </w:r>
    </w:p>
    <w:p w14:paraId="719EF009" w14:textId="77777777" w:rsidR="006E7080" w:rsidRDefault="006E7080" w:rsidP="006E7080">
      <w:pPr>
        <w:pStyle w:val="LO-normal"/>
        <w:numPr>
          <w:ilvl w:val="2"/>
          <w:numId w:val="14"/>
        </w:numPr>
        <w:spacing w:after="200"/>
        <w:ind w:left="992" w:hanging="283"/>
        <w:jc w:val="both"/>
      </w:pPr>
      <w:r>
        <w:t>Poskytovatel se zavazuje zpracovávat osobní údaje uživatele dle odst. 5.3 v podobě uchovávání osobních údajů v cloudu. Poskytovatel bude pro Uživatele zpracovávat osobní údaje umístěné Uživatelem v cloudu v souladu s účelem a za podmínek stanovenými touto smlouvou, zejména čl. 4.</w:t>
      </w:r>
    </w:p>
    <w:p w14:paraId="796B73E4" w14:textId="77777777" w:rsidR="006E7080" w:rsidRDefault="006E7080" w:rsidP="006E7080">
      <w:pPr>
        <w:pStyle w:val="LO-normal"/>
        <w:numPr>
          <w:ilvl w:val="2"/>
          <w:numId w:val="14"/>
        </w:numPr>
        <w:spacing w:after="200"/>
        <w:ind w:left="992" w:hanging="283"/>
        <w:jc w:val="both"/>
      </w:pPr>
      <w:r>
        <w:t>Případné užití osobních údajů ze strany Poskytovatele je možné pro nezbytný servisní úkon v cloudu a přístup je možný v nezbytně nutném rozsahu.</w:t>
      </w:r>
    </w:p>
    <w:p w14:paraId="2A49DDF4" w14:textId="77777777" w:rsidR="006E7080" w:rsidRDefault="006E7080" w:rsidP="006E7080">
      <w:pPr>
        <w:pStyle w:val="LO-normal"/>
        <w:numPr>
          <w:ilvl w:val="2"/>
          <w:numId w:val="14"/>
        </w:numPr>
        <w:spacing w:after="200"/>
        <w:ind w:left="992" w:hanging="283"/>
        <w:jc w:val="both"/>
      </w:pPr>
      <w:r>
        <w:t>Poskytovatel odpovídá za dodržování náležité ochrany zpřístupněných osobních údajů dle platné legislativy a této smlouvy ze strany svých zaměstnanců podílejících se na plnění závazků dle této smlouvy.</w:t>
      </w:r>
    </w:p>
    <w:p w14:paraId="6ED4914F" w14:textId="77777777" w:rsidR="006E7080" w:rsidRDefault="006E7080" w:rsidP="006E7080">
      <w:pPr>
        <w:pStyle w:val="LO-normal"/>
        <w:numPr>
          <w:ilvl w:val="2"/>
          <w:numId w:val="14"/>
        </w:numPr>
        <w:spacing w:after="200"/>
        <w:ind w:left="992" w:hanging="283"/>
        <w:jc w:val="both"/>
      </w:pPr>
      <w:r>
        <w:t>Poskytovatel je povinen po ukončení této smlouvy předat Uživateli veškerá jeho data umístěná v cloudu, a to za podmínek uvedených v čl. 9 této smlouvy a tato data není nadále oprávněn uchovávat ani jinak s nimi disponovat.</w:t>
      </w:r>
    </w:p>
    <w:p w14:paraId="6BD78253" w14:textId="77777777" w:rsidR="006E7080" w:rsidRDefault="006E7080" w:rsidP="006E7080">
      <w:pPr>
        <w:pStyle w:val="LO-normal"/>
        <w:numPr>
          <w:ilvl w:val="1"/>
          <w:numId w:val="14"/>
        </w:numPr>
        <w:jc w:val="both"/>
      </w:pPr>
      <w:r>
        <w:t xml:space="preserve">Poskytovatel se dále zavazuje Uživateli zachovávat mlčenlivost o všech skutečnostech, o kterých se dozví v souvislosti se správou dat Uživatele, které jsou i obchodním tajemstvím Uživatele ve smyslu </w:t>
      </w:r>
      <w:proofErr w:type="spellStart"/>
      <w:r>
        <w:t>ust</w:t>
      </w:r>
      <w:proofErr w:type="spellEnd"/>
      <w:r>
        <w:t>. § 504 občanského zákoníku, a náleží jim tedy patřičná právní ochrana.</w:t>
      </w:r>
    </w:p>
    <w:p w14:paraId="45AFA975" w14:textId="77777777" w:rsidR="006E7080" w:rsidRDefault="006E7080" w:rsidP="006E7080">
      <w:pPr>
        <w:pStyle w:val="LO-normal"/>
        <w:numPr>
          <w:ilvl w:val="1"/>
          <w:numId w:val="14"/>
        </w:numPr>
        <w:jc w:val="both"/>
      </w:pPr>
      <w:r>
        <w:t xml:space="preserve">Poskytovatel si je plně vědom své odpovědnosti za případné porušení obchodního tajemství podle </w:t>
      </w:r>
      <w:proofErr w:type="spellStart"/>
      <w:r>
        <w:t>ust</w:t>
      </w:r>
      <w:proofErr w:type="spellEnd"/>
      <w:r>
        <w:t>. § 2988 a násl. občanského zákoníku.</w:t>
      </w:r>
    </w:p>
    <w:p w14:paraId="7F04B85B" w14:textId="77777777" w:rsidR="006E7080" w:rsidRDefault="006E7080" w:rsidP="006E7080">
      <w:pPr>
        <w:pStyle w:val="LO-normal"/>
        <w:numPr>
          <w:ilvl w:val="1"/>
          <w:numId w:val="14"/>
        </w:numPr>
        <w:spacing w:before="200"/>
        <w:jc w:val="both"/>
      </w:pPr>
      <w:r>
        <w:t xml:space="preserve">Uživatel je rovněž oprávněn se v případě jakéhokoliv zneužití dat ze strany Poskytovatele domáhat na Poskytovateli náhrady škody podle </w:t>
      </w:r>
      <w:proofErr w:type="spellStart"/>
      <w:r>
        <w:t>ust</w:t>
      </w:r>
      <w:proofErr w:type="spellEnd"/>
      <w:r>
        <w:t>. § 2894 a násl. občanského zákoníku.</w:t>
      </w:r>
    </w:p>
    <w:p w14:paraId="2C28F40E" w14:textId="73216681" w:rsidR="00937681" w:rsidRDefault="006E7080" w:rsidP="006E7080">
      <w:pPr>
        <w:pStyle w:val="LO-normal"/>
        <w:spacing w:before="200"/>
        <w:jc w:val="both"/>
      </w:pPr>
      <w:r>
        <w:t>Veškeré zpracování dat podléhá podmínkám odsouhlaseným touto smlouvou.</w:t>
      </w:r>
      <w:r w:rsidR="005D0B2C">
        <w:br/>
      </w:r>
    </w:p>
    <w:p w14:paraId="1C4A6CB6" w14:textId="77777777" w:rsidR="006E7080" w:rsidRDefault="006E7080">
      <w:pPr>
        <w:pStyle w:val="LO-normal"/>
        <w:spacing w:line="360" w:lineRule="auto"/>
        <w:jc w:val="center"/>
        <w:rPr>
          <w:b/>
        </w:rPr>
      </w:pPr>
    </w:p>
    <w:p w14:paraId="3A277D86" w14:textId="4EB1F680" w:rsidR="00937681" w:rsidRDefault="005D0B2C">
      <w:pPr>
        <w:pStyle w:val="LO-normal"/>
        <w:spacing w:line="360" w:lineRule="auto"/>
        <w:jc w:val="center"/>
        <w:rPr>
          <w:b/>
        </w:rPr>
      </w:pPr>
      <w:r>
        <w:rPr>
          <w:b/>
        </w:rPr>
        <w:t>Článek 8.</w:t>
      </w:r>
    </w:p>
    <w:p w14:paraId="18075F9D" w14:textId="77777777" w:rsidR="00937681" w:rsidRDefault="005D0B2C">
      <w:pPr>
        <w:pStyle w:val="LO-normal"/>
        <w:spacing w:line="360" w:lineRule="auto"/>
        <w:jc w:val="center"/>
        <w:rPr>
          <w:b/>
        </w:rPr>
      </w:pPr>
      <w:r>
        <w:rPr>
          <w:b/>
        </w:rPr>
        <w:t>Přístupová oprávnění</w:t>
      </w:r>
    </w:p>
    <w:p w14:paraId="6DEBCD05" w14:textId="77777777" w:rsidR="00937681" w:rsidRDefault="005D0B2C">
      <w:pPr>
        <w:pStyle w:val="LO-normal"/>
        <w:numPr>
          <w:ilvl w:val="1"/>
          <w:numId w:val="3"/>
        </w:numPr>
        <w:spacing w:after="200"/>
        <w:jc w:val="both"/>
      </w:pPr>
      <w:r>
        <w:t>Poskytovatel vydá při zřízení služby Uživateli přístupová oprávnění.</w:t>
      </w:r>
    </w:p>
    <w:p w14:paraId="2C51ACF3" w14:textId="0B555934" w:rsidR="006E7080" w:rsidRDefault="006E7080" w:rsidP="006E7080">
      <w:pPr>
        <w:pStyle w:val="LO-normal"/>
        <w:numPr>
          <w:ilvl w:val="1"/>
          <w:numId w:val="3"/>
        </w:numPr>
        <w:spacing w:after="200"/>
      </w:pPr>
      <w:r>
        <w:t>Zjistí-li Uživatel možné zneužití oprávnění, je povinen neprodleně požádat Poskytovatele o změnu přístupového hesla nebo pozastavení přístupů. Tento požadavek může Uživatel provést prostřednictvím požadavku zaslaným na emailovou adresu helpdesk</w:t>
      </w:r>
      <w:r w:rsidR="005B3E67">
        <w:t>.</w:t>
      </w:r>
    </w:p>
    <w:p w14:paraId="29870101" w14:textId="77777777" w:rsidR="00937681" w:rsidRDefault="005D0B2C">
      <w:pPr>
        <w:pStyle w:val="LO-normal"/>
        <w:spacing w:line="360" w:lineRule="auto"/>
        <w:jc w:val="center"/>
        <w:rPr>
          <w:b/>
        </w:rPr>
      </w:pPr>
      <w:r>
        <w:rPr>
          <w:b/>
        </w:rPr>
        <w:lastRenderedPageBreak/>
        <w:t>Článek 9.</w:t>
      </w:r>
      <w:r>
        <w:rPr>
          <w:b/>
        </w:rPr>
        <w:br/>
        <w:t>Předání a převzetí dat</w:t>
      </w:r>
    </w:p>
    <w:p w14:paraId="744060F9" w14:textId="7A0E93F0" w:rsidR="006E7080" w:rsidRDefault="006E7080" w:rsidP="006E7080">
      <w:pPr>
        <w:pStyle w:val="LO-normal"/>
        <w:numPr>
          <w:ilvl w:val="1"/>
          <w:numId w:val="10"/>
        </w:numPr>
        <w:spacing w:after="200"/>
        <w:jc w:val="both"/>
      </w:pPr>
      <w:r>
        <w:t xml:space="preserve">Po ukončení této smlouvy je </w:t>
      </w:r>
      <w:commentRangeStart w:id="1"/>
      <w:commentRangeStart w:id="2"/>
      <w:r>
        <w:t xml:space="preserve">Poskytovatel povinen vyzvat Uživatele k převzetí jeho dat dosud umístěných v cloudu, a to ve lhůtě do 30 dnů od doručení takto učiněné výzvy. </w:t>
      </w:r>
      <w:commentRangeEnd w:id="1"/>
      <w:r>
        <w:rPr>
          <w:rStyle w:val="Odkaznakoment"/>
          <w:sz w:val="22"/>
          <w:szCs w:val="22"/>
        </w:rPr>
        <w:commentReference w:id="1"/>
      </w:r>
      <w:commentRangeEnd w:id="2"/>
      <w:r w:rsidR="00C12246">
        <w:rPr>
          <w:rStyle w:val="Odkaznakoment"/>
          <w:sz w:val="22"/>
          <w:szCs w:val="22"/>
        </w:rPr>
        <w:commentReference w:id="2"/>
      </w:r>
      <w:r>
        <w:t xml:space="preserve">Vydání dat Poskytovatelem a jejich převzetí Uživatelem bude uskutečněno přímo skrze uživatelské rozhraní služby </w:t>
      </w:r>
      <w:proofErr w:type="spellStart"/>
      <w:r>
        <w:t>Dicompass</w:t>
      </w:r>
      <w:proofErr w:type="spellEnd"/>
      <w:r>
        <w:t xml:space="preserve"> Cloud. Případně skrze odkaz ke stažení, který bude po vzájemné dohodě Uživatele s Poskytovatelem zaslán na email Uživatele, nedohodnou-li se smluvní strany prokazatelně jinak.</w:t>
      </w:r>
    </w:p>
    <w:p w14:paraId="64D53501" w14:textId="77777777" w:rsidR="006E7080" w:rsidRDefault="006E7080" w:rsidP="006E7080">
      <w:pPr>
        <w:pStyle w:val="LO-normal"/>
        <w:numPr>
          <w:ilvl w:val="1"/>
          <w:numId w:val="10"/>
        </w:numPr>
        <w:spacing w:after="200"/>
        <w:jc w:val="both"/>
      </w:pPr>
      <w:r>
        <w:t xml:space="preserve">Výzva k převzetí dat se odesílá na emailovou adresu Uživatele uvedenou v této smlouvě. Uživatel má pro stažení svých dat z </w:t>
      </w:r>
      <w:proofErr w:type="spellStart"/>
      <w:r>
        <w:t>Dicompass</w:t>
      </w:r>
      <w:proofErr w:type="spellEnd"/>
      <w:r>
        <w:t xml:space="preserve"> Cloud k dispozici 90 dní, které se počítají od data odeslání výzvy Poskytovatelem Uživateli.</w:t>
      </w:r>
    </w:p>
    <w:p w14:paraId="625F4DA3" w14:textId="77777777" w:rsidR="006E7080" w:rsidRDefault="006E7080" w:rsidP="006E7080">
      <w:pPr>
        <w:pStyle w:val="LO-normal"/>
        <w:numPr>
          <w:ilvl w:val="1"/>
          <w:numId w:val="10"/>
        </w:numPr>
        <w:spacing w:after="200"/>
        <w:jc w:val="both"/>
      </w:pPr>
      <w:r>
        <w:t>Okamžikem prodlení Uživatele s převzetím těchto dat současně zaniká veškerá zákonná či smluvní odpovědnost Poskytovatele k náhradě škody v případě ztráty či zničení těchto dat.</w:t>
      </w:r>
    </w:p>
    <w:p w14:paraId="54553C24" w14:textId="7D326417" w:rsidR="00937681" w:rsidRDefault="006E7080" w:rsidP="006E7080">
      <w:pPr>
        <w:pStyle w:val="LO-normal"/>
        <w:numPr>
          <w:ilvl w:val="1"/>
          <w:numId w:val="10"/>
        </w:numPr>
        <w:spacing w:after="200"/>
        <w:jc w:val="both"/>
      </w:pPr>
      <w:r>
        <w:t>Po uplynutí lhůty k vyzvednutí dat je Poskytovatel oprávněn tato data smazat.</w:t>
      </w:r>
    </w:p>
    <w:p w14:paraId="07D037F9" w14:textId="77777777" w:rsidR="006E7080" w:rsidRDefault="006E7080">
      <w:pPr>
        <w:pStyle w:val="LO-normal"/>
        <w:spacing w:line="360" w:lineRule="auto"/>
        <w:jc w:val="center"/>
        <w:rPr>
          <w:b/>
        </w:rPr>
      </w:pPr>
    </w:p>
    <w:p w14:paraId="2CE13CA3" w14:textId="698754E1" w:rsidR="00937681" w:rsidRDefault="005D0B2C">
      <w:pPr>
        <w:pStyle w:val="LO-normal"/>
        <w:spacing w:line="360" w:lineRule="auto"/>
        <w:jc w:val="center"/>
        <w:rPr>
          <w:b/>
        </w:rPr>
      </w:pPr>
      <w:r>
        <w:rPr>
          <w:b/>
        </w:rPr>
        <w:t>Článek 10.</w:t>
      </w:r>
    </w:p>
    <w:p w14:paraId="57E00D6F" w14:textId="77777777" w:rsidR="00937681" w:rsidRDefault="005D0B2C">
      <w:pPr>
        <w:pStyle w:val="LO-normal"/>
        <w:spacing w:line="360" w:lineRule="auto"/>
        <w:jc w:val="center"/>
        <w:rPr>
          <w:b/>
        </w:rPr>
      </w:pPr>
      <w:r>
        <w:rPr>
          <w:b/>
        </w:rPr>
        <w:t>Závěrečná ustanovení</w:t>
      </w:r>
    </w:p>
    <w:p w14:paraId="47485B22" w14:textId="77777777" w:rsidR="006E7080" w:rsidRDefault="006E7080" w:rsidP="006E7080">
      <w:pPr>
        <w:pStyle w:val="LO-normal"/>
        <w:numPr>
          <w:ilvl w:val="1"/>
          <w:numId w:val="8"/>
        </w:numPr>
        <w:jc w:val="both"/>
      </w:pPr>
      <w:r>
        <w:t>Smlouva může být měněna a doplňována pouze formou písemných vzestupně číslovaných dodatků podepsaných oprávněnými zástupci obou smluvních stran. Za písemnou formu nebude pro účel uvedený v tomto odstavci považována výměna e-mailových či jiných elektronických zpráv. Výjimkami jsou změny pověřených osob nebo jejich kontaktních údajů uvedených v této smlouvě nebo přílohách této smlouvy.</w:t>
      </w:r>
    </w:p>
    <w:p w14:paraId="3DDD145F" w14:textId="77777777" w:rsidR="006E7080" w:rsidRDefault="006E7080" w:rsidP="006E7080">
      <w:pPr>
        <w:pStyle w:val="LO-normal"/>
        <w:numPr>
          <w:ilvl w:val="1"/>
          <w:numId w:val="8"/>
        </w:numPr>
        <w:spacing w:before="200"/>
        <w:jc w:val="both"/>
      </w:pPr>
      <w:r>
        <w:t>Smlouva je vypracována ve dvou vyhotoveních, z nichž každá smluvní strana obdrží po jednom. V případě elektronického podpisu je tato smlouva vypracována v jednom vyhotovení podepsaném elektronicky oběma smluvními stranami.</w:t>
      </w:r>
    </w:p>
    <w:p w14:paraId="6563655D" w14:textId="77777777" w:rsidR="006E7080" w:rsidRDefault="006E7080" w:rsidP="006E7080">
      <w:pPr>
        <w:pStyle w:val="LO-normal"/>
        <w:numPr>
          <w:ilvl w:val="1"/>
          <w:numId w:val="8"/>
        </w:numPr>
        <w:spacing w:before="200"/>
        <w:jc w:val="both"/>
      </w:pPr>
      <w:r>
        <w:t>Smlouva je uzavřena a nabývá platnosti a účinnosti dnem podpisu oběma smluvními stranami, není-li její účinnost podmíněna uveřejněním v registru smluv dle zákona č. 340/2015 Sb., o zvláštních podmínkách účinnosti některých smluv, uveřejňování těchto smluv a o registru smluv, ve znění pozdějších předpisů (dále jen „zákon o registru smluv“).</w:t>
      </w:r>
    </w:p>
    <w:p w14:paraId="019F0BAC" w14:textId="30E91490" w:rsidR="006E7080" w:rsidRDefault="006E7080" w:rsidP="006E7080">
      <w:pPr>
        <w:pStyle w:val="LO-normal"/>
        <w:numPr>
          <w:ilvl w:val="1"/>
          <w:numId w:val="8"/>
        </w:numPr>
        <w:spacing w:before="200"/>
        <w:jc w:val="both"/>
      </w:pPr>
      <w:r>
        <w:t xml:space="preserve">Smluvní strany se dohodly, pro případ, že na tuto smlouvu, její případné dodatky a související dokumenty, dopadá účinnost ustanovení zákona o registru smluv, bude smlouva uveřejněna v registru smluv, a to v celém jejím rozsahu, popřípadě s anonymizováním údajů, na kterých se smluvní strany písemně dohodnou. Uveřejnění informací o smlouvě v registru smluv zajistí bez zbytečného odkladu po jejím uzavření uživatel. </w:t>
      </w:r>
    </w:p>
    <w:p w14:paraId="78C69EE4" w14:textId="77777777" w:rsidR="006E7080" w:rsidRDefault="006E7080">
      <w:pPr>
        <w:spacing w:line="240" w:lineRule="auto"/>
      </w:pPr>
      <w:r>
        <w:br w:type="page"/>
      </w:r>
    </w:p>
    <w:p w14:paraId="4D8F6687" w14:textId="77777777" w:rsidR="00937681" w:rsidRDefault="005D0B2C">
      <w:pPr>
        <w:pStyle w:val="LO-normal"/>
        <w:numPr>
          <w:ilvl w:val="1"/>
          <w:numId w:val="8"/>
        </w:numPr>
        <w:spacing w:before="200"/>
        <w:jc w:val="both"/>
      </w:pPr>
      <w:r>
        <w:lastRenderedPageBreak/>
        <w:t>Kontaktní údaje pro jednání mezi Uživatelem a s Poskytovatelem jsou:</w:t>
      </w:r>
    </w:p>
    <w:p w14:paraId="4DD44019" w14:textId="77777777" w:rsidR="00937681" w:rsidRDefault="00937681">
      <w:pPr>
        <w:pStyle w:val="LO-normal"/>
        <w:jc w:val="both"/>
      </w:pPr>
    </w:p>
    <w:p w14:paraId="62ABF0BF" w14:textId="77777777" w:rsidR="00937681" w:rsidRDefault="00937681">
      <w:pPr>
        <w:sectPr w:rsidR="0093768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559" w:header="720" w:footer="720" w:gutter="0"/>
          <w:cols w:space="708"/>
          <w:formProt w:val="0"/>
          <w:docGrid w:linePitch="600" w:charSpace="36864"/>
        </w:sectPr>
      </w:pPr>
    </w:p>
    <w:p w14:paraId="793FBE47" w14:textId="77777777" w:rsidR="00937681" w:rsidRDefault="00937681">
      <w:pPr>
        <w:pStyle w:val="LO-normal"/>
        <w:jc w:val="both"/>
      </w:pPr>
    </w:p>
    <w:p w14:paraId="1D73A367" w14:textId="77777777" w:rsidR="00937681" w:rsidRDefault="00937681">
      <w:pPr>
        <w:pStyle w:val="LO-normal"/>
        <w:jc w:val="both"/>
      </w:pPr>
    </w:p>
    <w:p w14:paraId="785078C3" w14:textId="77777777" w:rsidR="00937681" w:rsidRDefault="00937681">
      <w:pPr>
        <w:pStyle w:val="LO-normal"/>
        <w:jc w:val="both"/>
      </w:pPr>
    </w:p>
    <w:p w14:paraId="4235C295" w14:textId="77777777" w:rsidR="00937681" w:rsidRDefault="00937681">
      <w:pPr>
        <w:pStyle w:val="LO-normal"/>
        <w:jc w:val="both"/>
      </w:pPr>
    </w:p>
    <w:p w14:paraId="23769DC8" w14:textId="77777777" w:rsidR="00937681" w:rsidRDefault="00937681">
      <w:pPr>
        <w:pStyle w:val="LO-normal"/>
        <w:jc w:val="both"/>
      </w:pPr>
    </w:p>
    <w:p w14:paraId="188FB85B" w14:textId="77777777" w:rsidR="00937681" w:rsidRDefault="00937681">
      <w:pPr>
        <w:pStyle w:val="LO-normal"/>
        <w:jc w:val="both"/>
      </w:pPr>
    </w:p>
    <w:p w14:paraId="5CA04576" w14:textId="66DBDF34" w:rsidR="00937681" w:rsidRDefault="005D0B2C">
      <w:pPr>
        <w:pStyle w:val="LO-normal"/>
        <w:jc w:val="both"/>
      </w:pPr>
      <w:r>
        <w:t>Dne</w:t>
      </w:r>
      <w:r w:rsidR="00037BC0">
        <w:t xml:space="preserve"> 26.02.2026</w:t>
      </w:r>
    </w:p>
    <w:p w14:paraId="0B95A7DF" w14:textId="77777777" w:rsidR="00937681" w:rsidRDefault="00937681">
      <w:pPr>
        <w:pStyle w:val="LO-normal"/>
        <w:jc w:val="both"/>
      </w:pPr>
    </w:p>
    <w:p w14:paraId="0755CDFD" w14:textId="77777777" w:rsidR="00937681" w:rsidRDefault="00937681">
      <w:pPr>
        <w:pStyle w:val="LO-normal"/>
        <w:jc w:val="both"/>
      </w:pPr>
    </w:p>
    <w:p w14:paraId="01CC0A54" w14:textId="77777777" w:rsidR="00937681" w:rsidRDefault="00937681">
      <w:pPr>
        <w:pStyle w:val="LO-normal"/>
        <w:jc w:val="both"/>
      </w:pPr>
    </w:p>
    <w:p w14:paraId="0BB4DA76" w14:textId="77777777" w:rsidR="00937681" w:rsidRDefault="00937681">
      <w:pPr>
        <w:pStyle w:val="LO-normal"/>
        <w:jc w:val="both"/>
      </w:pPr>
    </w:p>
    <w:p w14:paraId="342D9F36" w14:textId="471F7F31" w:rsidR="00937681" w:rsidRDefault="005D0B2C">
      <w:pPr>
        <w:pStyle w:val="LO-normal"/>
        <w:jc w:val="center"/>
      </w:pPr>
      <w:r>
        <w:t>………………………………………………</w:t>
      </w:r>
      <w:r>
        <w:br/>
        <w:t>razítko a podpis Uživatele</w:t>
      </w:r>
      <w:r>
        <w:br/>
      </w:r>
      <w:r w:rsidR="00F91DCB" w:rsidRPr="00F91DCB">
        <w:t>Ing. Martin Šmaus</w:t>
      </w:r>
    </w:p>
    <w:p w14:paraId="4830E0EB" w14:textId="46C00DFA" w:rsidR="00F91DCB" w:rsidRDefault="00F91DCB">
      <w:pPr>
        <w:pStyle w:val="LO-normal"/>
        <w:jc w:val="center"/>
      </w:pPr>
      <w:r>
        <w:t>ředitel</w:t>
      </w:r>
    </w:p>
    <w:p w14:paraId="7FC8ADB2" w14:textId="77777777" w:rsidR="00F91DCB" w:rsidRDefault="00F91DCB">
      <w:pPr>
        <w:pStyle w:val="LO-normal"/>
        <w:jc w:val="center"/>
        <w:rPr>
          <w:shd w:val="clear" w:color="auto" w:fill="00FF00"/>
        </w:rPr>
      </w:pPr>
    </w:p>
    <w:p w14:paraId="5541A9E2" w14:textId="77777777" w:rsidR="00937681" w:rsidRDefault="00937681">
      <w:pPr>
        <w:pStyle w:val="LO-normal"/>
        <w:jc w:val="both"/>
      </w:pPr>
    </w:p>
    <w:p w14:paraId="531F146F" w14:textId="77777777" w:rsidR="00937681" w:rsidRDefault="005D0B2C">
      <w:pPr>
        <w:pStyle w:val="LO-normal"/>
        <w:jc w:val="both"/>
      </w:pPr>
      <w:r>
        <w:br w:type="column"/>
      </w:r>
    </w:p>
    <w:p w14:paraId="6A5FD9DD" w14:textId="77777777" w:rsidR="00937681" w:rsidRDefault="00937681">
      <w:pPr>
        <w:pStyle w:val="LO-normal"/>
        <w:jc w:val="both"/>
      </w:pPr>
    </w:p>
    <w:p w14:paraId="7A35D091" w14:textId="77777777" w:rsidR="00937681" w:rsidRDefault="00937681">
      <w:pPr>
        <w:pStyle w:val="LO-normal"/>
        <w:jc w:val="both"/>
      </w:pPr>
    </w:p>
    <w:p w14:paraId="7D8F5058" w14:textId="77777777" w:rsidR="00937681" w:rsidRDefault="00937681">
      <w:pPr>
        <w:pStyle w:val="LO-normal"/>
        <w:jc w:val="both"/>
      </w:pPr>
    </w:p>
    <w:p w14:paraId="7E0A41F7" w14:textId="77777777" w:rsidR="00937681" w:rsidRDefault="00937681">
      <w:pPr>
        <w:pStyle w:val="LO-normal"/>
        <w:jc w:val="both"/>
      </w:pPr>
    </w:p>
    <w:p w14:paraId="6A91A6A0" w14:textId="77777777" w:rsidR="00937681" w:rsidRDefault="00937681">
      <w:pPr>
        <w:pStyle w:val="LO-normal"/>
        <w:jc w:val="both"/>
      </w:pPr>
    </w:p>
    <w:p w14:paraId="70B238BD" w14:textId="4686736F" w:rsidR="00937681" w:rsidRDefault="005D0B2C">
      <w:pPr>
        <w:pStyle w:val="LO-normal"/>
        <w:jc w:val="both"/>
      </w:pPr>
      <w:r>
        <w:t>Dne</w:t>
      </w:r>
      <w:r w:rsidR="00037BC0">
        <w:t xml:space="preserve"> 27.02.2026</w:t>
      </w:r>
    </w:p>
    <w:p w14:paraId="0037AB17" w14:textId="77777777" w:rsidR="00937681" w:rsidRDefault="00937681">
      <w:pPr>
        <w:pStyle w:val="LO-normal"/>
        <w:jc w:val="both"/>
      </w:pPr>
    </w:p>
    <w:p w14:paraId="72AB51B7" w14:textId="77777777" w:rsidR="00937681" w:rsidRDefault="00937681">
      <w:pPr>
        <w:pStyle w:val="LO-normal"/>
        <w:jc w:val="both"/>
      </w:pPr>
    </w:p>
    <w:p w14:paraId="316ADACF" w14:textId="77777777" w:rsidR="00937681" w:rsidRDefault="00937681">
      <w:pPr>
        <w:pStyle w:val="LO-normal"/>
        <w:jc w:val="both"/>
      </w:pPr>
    </w:p>
    <w:p w14:paraId="6B590CB1" w14:textId="77777777" w:rsidR="00937681" w:rsidRDefault="00937681">
      <w:pPr>
        <w:pStyle w:val="LO-normal"/>
        <w:jc w:val="both"/>
      </w:pPr>
    </w:p>
    <w:p w14:paraId="5248C5CE" w14:textId="45018FEC" w:rsidR="00937681" w:rsidRDefault="005D0B2C">
      <w:pPr>
        <w:pStyle w:val="LO-normal"/>
        <w:jc w:val="center"/>
        <w:rPr>
          <w:b/>
        </w:rPr>
      </w:pPr>
      <w:r>
        <w:t>………………………………………………</w:t>
      </w:r>
      <w:r>
        <w:br/>
        <w:t>razítko a podpis Poskytovatele</w:t>
      </w:r>
      <w:r>
        <w:br/>
        <w:t xml:space="preserve">Ondřej </w:t>
      </w:r>
      <w:proofErr w:type="spellStart"/>
      <w:r>
        <w:t>Koloničný</w:t>
      </w:r>
      <w:proofErr w:type="spellEnd"/>
      <w:r>
        <w:br/>
        <w:t>jednatel společnosti</w:t>
      </w:r>
    </w:p>
    <w:sectPr w:rsidR="00937681">
      <w:type w:val="continuous"/>
      <w:pgSz w:w="11906" w:h="16838"/>
      <w:pgMar w:top="1440" w:right="1440" w:bottom="1440" w:left="1559" w:header="720" w:footer="720" w:gutter="0"/>
      <w:cols w:num="2" w:space="720"/>
      <w:formProt w:val="0"/>
      <w:docGrid w:linePitch="600" w:charSpace="36864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iří Trnka" w:date="2025-12-15T14:12:00Z" w:initials="JT">
    <w:p w14:paraId="1136CC8E" w14:textId="77777777" w:rsidR="006E7080" w:rsidRDefault="006E7080">
      <w:pPr>
        <w:overflowPunct w:val="0"/>
        <w:spacing w:line="240" w:lineRule="auto"/>
      </w:pPr>
      <w:r>
        <w:annotationRef/>
      </w:r>
      <w:r>
        <w:rPr>
          <w:rFonts w:ascii="Liberation Serif" w:eastAsia="Segoe UI" w:hAnsi="Liberation Serif" w:cs="Tahoma"/>
          <w:sz w:val="24"/>
          <w:szCs w:val="24"/>
          <w:lang w:val="en-US" w:eastAsia="en-US" w:bidi="en-US"/>
        </w:rPr>
        <w:t>Uživatel je povinen si vyžádat export dat z Cloudu od Poskytovatele a to ve lhůtě do 14 dnů po ukončení smlouvy.</w:t>
      </w:r>
    </w:p>
  </w:comment>
  <w:comment w:id="2" w:author="Michal Seiner" w:date="2025-12-16T10:07:00Z" w:initials="MS">
    <w:p w14:paraId="7E522359" w14:textId="77777777" w:rsidR="006E7080" w:rsidRDefault="006E7080">
      <w:pPr>
        <w:overflowPunct w:val="0"/>
        <w:spacing w:line="240" w:lineRule="auto"/>
      </w:pPr>
      <w:r>
        <w:annotationRef/>
      </w:r>
      <w:r>
        <w:rPr>
          <w:rFonts w:ascii="Liberation Serif" w:eastAsia="Segoe UI" w:hAnsi="Liberation Serif" w:cs="Tahoma"/>
          <w:sz w:val="24"/>
          <w:szCs w:val="24"/>
          <w:lang w:val="en-US" w:eastAsia="en-US" w:bidi="en-US"/>
        </w:rPr>
        <w:t>Můžeme změnit. Ulehčí nám to pokud si zákazník nenapíše 😃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36CC8E" w15:done="1"/>
  <w15:commentEx w15:paraId="7E522359" w15:paraIdParent="1136CC8E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36CC8E" w16cid:durableId="0A000000"/>
  <w16cid:commentId w16cid:paraId="7E522359" w16cid:durableId="0B0000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F27B" w14:textId="77777777" w:rsidR="002F52CC" w:rsidRDefault="002F52CC">
      <w:pPr>
        <w:spacing w:line="240" w:lineRule="auto"/>
      </w:pPr>
      <w:r>
        <w:separator/>
      </w:r>
    </w:p>
  </w:endnote>
  <w:endnote w:type="continuationSeparator" w:id="0">
    <w:p w14:paraId="679AA784" w14:textId="77777777" w:rsidR="002F52CC" w:rsidRDefault="002F5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Liberation Serif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CC45" w14:textId="77777777" w:rsidR="00937681" w:rsidRDefault="009376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5E62" w14:textId="77777777" w:rsidR="00937681" w:rsidRDefault="005D0B2C">
    <w:pPr>
      <w:pStyle w:val="LO-normal"/>
      <w:jc w:val="center"/>
    </w:pPr>
    <w:r>
      <w:br/>
    </w: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  <w:r>
      <w:t>/</w:t>
    </w:r>
    <w:fldSimple w:instr=" NUMPAGES ">
      <w:r w:rsidR="00937681"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1215" w14:textId="77777777" w:rsidR="00937681" w:rsidRDefault="005D0B2C">
    <w:pPr>
      <w:pStyle w:val="LO-normal"/>
      <w:jc w:val="center"/>
    </w:pPr>
    <w:r>
      <w:br/>
    </w: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  <w:r>
      <w:t>/</w:t>
    </w:r>
    <w:fldSimple w:instr=" NUMPAGES ">
      <w:r w:rsidR="00937681"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7494" w14:textId="77777777" w:rsidR="002F52CC" w:rsidRDefault="002F52CC">
      <w:pPr>
        <w:spacing w:line="240" w:lineRule="auto"/>
      </w:pPr>
      <w:r>
        <w:separator/>
      </w:r>
    </w:p>
  </w:footnote>
  <w:footnote w:type="continuationSeparator" w:id="0">
    <w:p w14:paraId="56E39218" w14:textId="77777777" w:rsidR="002F52CC" w:rsidRDefault="002F52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1BCC" w14:textId="77777777" w:rsidR="00937681" w:rsidRDefault="009376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99B5" w14:textId="1191F258" w:rsidR="00937681" w:rsidRDefault="00937681">
    <w:pPr>
      <w:pStyle w:val="LO-normal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D44B" w14:textId="77777777" w:rsidR="00937681" w:rsidRDefault="005D0B2C">
    <w:pPr>
      <w:pStyle w:val="LO-normal"/>
      <w:rPr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16"/>
        <w:szCs w:val="16"/>
      </w:rPr>
      <w:t>MEDORO s.r.o.</w:t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1">
      <w:r w:rsidR="00937681">
        <w:rPr>
          <w:color w:val="1155CC"/>
          <w:sz w:val="16"/>
          <w:szCs w:val="16"/>
          <w:u w:val="single"/>
        </w:rPr>
        <w:t>www.medoro.org</w:t>
      </w:r>
    </w:hyperlink>
    <w:r>
      <w:rPr>
        <w:sz w:val="16"/>
        <w:szCs w:val="16"/>
      </w:rPr>
      <w:br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Štrossova 567</w:t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 w:rsidR="00937681">
        <w:rPr>
          <w:color w:val="1155CC"/>
          <w:sz w:val="16"/>
          <w:szCs w:val="16"/>
          <w:u w:val="single"/>
        </w:rPr>
        <w:t>info@medoro.org</w:t>
      </w:r>
      <w:r w:rsidR="00937681">
        <w:rPr>
          <w:noProof/>
        </w:rPr>
        <w:drawing>
          <wp:anchor distT="0" distB="0" distL="0" distR="0" simplePos="0" relativeHeight="251658240" behindDoc="1" locked="0" layoutInCell="1" allowOverlap="1" wp14:anchorId="1C9B6ABC" wp14:editId="115A7149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431290" cy="55245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sz w:val="16"/>
        <w:szCs w:val="16"/>
      </w:rPr>
      <w:br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Pardubice 530 03</w:t>
    </w:r>
    <w:r>
      <w:rPr>
        <w:sz w:val="16"/>
        <w:szCs w:val="16"/>
      </w:rPr>
      <w:br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IČ: 26002612</w:t>
    </w:r>
    <w:r>
      <w:rPr>
        <w:sz w:val="16"/>
        <w:szCs w:val="16"/>
      </w:rPr>
      <w:tab/>
    </w:r>
    <w:r>
      <w:rPr>
        <w:sz w:val="16"/>
        <w:szCs w:val="16"/>
      </w:rPr>
      <w:br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DC4"/>
    <w:multiLevelType w:val="multilevel"/>
    <w:tmpl w:val="5650B4E2"/>
    <w:lvl w:ilvl="0">
      <w:start w:val="10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10ED7548"/>
    <w:multiLevelType w:val="multilevel"/>
    <w:tmpl w:val="2BCA2FF0"/>
    <w:lvl w:ilvl="0">
      <w:start w:val="9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139B6343"/>
    <w:multiLevelType w:val="multilevel"/>
    <w:tmpl w:val="8A44D304"/>
    <w:lvl w:ilvl="0">
      <w:start w:val="4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992" w:hanging="283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1EDB61F3"/>
    <w:multiLevelType w:val="multilevel"/>
    <w:tmpl w:val="FC1EB93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 w15:restartNumberingAfterBreak="0">
    <w:nsid w:val="235356FB"/>
    <w:multiLevelType w:val="multilevel"/>
    <w:tmpl w:val="49049E56"/>
    <w:lvl w:ilvl="0">
      <w:start w:val="4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992" w:hanging="283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23F10F1E"/>
    <w:multiLevelType w:val="multilevel"/>
    <w:tmpl w:val="9370C968"/>
    <w:lvl w:ilvl="0">
      <w:start w:val="2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990" w:hanging="281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 w15:restartNumberingAfterBreak="0">
    <w:nsid w:val="28C42279"/>
    <w:multiLevelType w:val="multilevel"/>
    <w:tmpl w:val="5F862CE4"/>
    <w:lvl w:ilvl="0">
      <w:start w:val="8"/>
      <w:numFmt w:val="decimal"/>
      <w:lvlText w:val="%1."/>
      <w:lvlJc w:val="right"/>
      <w:pPr>
        <w:tabs>
          <w:tab w:val="num" w:pos="0"/>
        </w:tabs>
        <w:ind w:left="0" w:hanging="283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992" w:hanging="283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7" w15:restartNumberingAfterBreak="0">
    <w:nsid w:val="383D3B0A"/>
    <w:multiLevelType w:val="multilevel"/>
    <w:tmpl w:val="3E0A5494"/>
    <w:lvl w:ilvl="0">
      <w:start w:val="7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8" w15:restartNumberingAfterBreak="0">
    <w:nsid w:val="54F74F02"/>
    <w:multiLevelType w:val="multilevel"/>
    <w:tmpl w:val="950C66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5086975"/>
    <w:multiLevelType w:val="multilevel"/>
    <w:tmpl w:val="DFF6A31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6722A6C"/>
    <w:multiLevelType w:val="multilevel"/>
    <w:tmpl w:val="353EEB1A"/>
    <w:lvl w:ilvl="0">
      <w:start w:val="5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1" w15:restartNumberingAfterBreak="0">
    <w:nsid w:val="579E0A9B"/>
    <w:multiLevelType w:val="multilevel"/>
    <w:tmpl w:val="FE441722"/>
    <w:lvl w:ilvl="0">
      <w:start w:val="6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992" w:hanging="283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2" w15:restartNumberingAfterBreak="0">
    <w:nsid w:val="5FDE09FB"/>
    <w:multiLevelType w:val="multilevel"/>
    <w:tmpl w:val="22962F26"/>
    <w:lvl w:ilvl="0">
      <w:start w:val="7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3" w15:restartNumberingAfterBreak="0">
    <w:nsid w:val="68AF3E47"/>
    <w:multiLevelType w:val="multilevel"/>
    <w:tmpl w:val="AFBC59B0"/>
    <w:lvl w:ilvl="0">
      <w:start w:val="8"/>
      <w:numFmt w:val="decimal"/>
      <w:lvlText w:val="%1."/>
      <w:lvlJc w:val="right"/>
      <w:pPr>
        <w:tabs>
          <w:tab w:val="num" w:pos="0"/>
        </w:tabs>
        <w:ind w:left="0" w:hanging="283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992" w:hanging="283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4" w15:restartNumberingAfterBreak="0">
    <w:nsid w:val="78871DCB"/>
    <w:multiLevelType w:val="multilevel"/>
    <w:tmpl w:val="34BEA6F4"/>
    <w:lvl w:ilvl="0">
      <w:start w:val="3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990" w:hanging="285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5" w15:restartNumberingAfterBreak="0">
    <w:nsid w:val="79EE7707"/>
    <w:multiLevelType w:val="multilevel"/>
    <w:tmpl w:val="13448FF8"/>
    <w:lvl w:ilvl="0">
      <w:start w:val="10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6" w15:restartNumberingAfterBreak="0">
    <w:nsid w:val="7B9979A5"/>
    <w:multiLevelType w:val="multilevel"/>
    <w:tmpl w:val="17685B98"/>
    <w:lvl w:ilvl="0">
      <w:start w:val="9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1462310740">
    <w:abstractNumId w:val="5"/>
  </w:num>
  <w:num w:numId="2" w16cid:durableId="739256866">
    <w:abstractNumId w:val="11"/>
  </w:num>
  <w:num w:numId="3" w16cid:durableId="501553786">
    <w:abstractNumId w:val="13"/>
  </w:num>
  <w:num w:numId="4" w16cid:durableId="918564747">
    <w:abstractNumId w:val="14"/>
  </w:num>
  <w:num w:numId="5" w16cid:durableId="1916430949">
    <w:abstractNumId w:val="10"/>
  </w:num>
  <w:num w:numId="6" w16cid:durableId="378936640">
    <w:abstractNumId w:val="12"/>
  </w:num>
  <w:num w:numId="7" w16cid:durableId="1515731821">
    <w:abstractNumId w:val="3"/>
  </w:num>
  <w:num w:numId="8" w16cid:durableId="165050657">
    <w:abstractNumId w:val="0"/>
  </w:num>
  <w:num w:numId="9" w16cid:durableId="1625379874">
    <w:abstractNumId w:val="2"/>
  </w:num>
  <w:num w:numId="10" w16cid:durableId="123273317">
    <w:abstractNumId w:val="16"/>
  </w:num>
  <w:num w:numId="11" w16cid:durableId="901791456">
    <w:abstractNumId w:val="9"/>
  </w:num>
  <w:num w:numId="12" w16cid:durableId="2014068584">
    <w:abstractNumId w:val="8"/>
  </w:num>
  <w:num w:numId="13" w16cid:durableId="86192543">
    <w:abstractNumId w:val="4"/>
  </w:num>
  <w:num w:numId="14" w16cid:durableId="509372028">
    <w:abstractNumId w:val="7"/>
  </w:num>
  <w:num w:numId="15" w16cid:durableId="891113578">
    <w:abstractNumId w:val="6"/>
  </w:num>
  <w:num w:numId="16" w16cid:durableId="4400578">
    <w:abstractNumId w:val="1"/>
  </w:num>
  <w:num w:numId="17" w16cid:durableId="165356406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l Seiner">
    <w15:presenceInfo w15:providerId="Windows Live" w15:userId="e0162cde8b163c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81"/>
    <w:rsid w:val="00037BC0"/>
    <w:rsid w:val="002F52CC"/>
    <w:rsid w:val="00515792"/>
    <w:rsid w:val="005B3E67"/>
    <w:rsid w:val="005D0B2C"/>
    <w:rsid w:val="005E1C59"/>
    <w:rsid w:val="00600ED1"/>
    <w:rsid w:val="00622F75"/>
    <w:rsid w:val="00631E1A"/>
    <w:rsid w:val="006B1AB8"/>
    <w:rsid w:val="006E7080"/>
    <w:rsid w:val="00782BA9"/>
    <w:rsid w:val="007C1ED3"/>
    <w:rsid w:val="00937681"/>
    <w:rsid w:val="00987A42"/>
    <w:rsid w:val="009A4A68"/>
    <w:rsid w:val="00A11021"/>
    <w:rsid w:val="00C0393F"/>
    <w:rsid w:val="00C12246"/>
    <w:rsid w:val="00C6345F"/>
    <w:rsid w:val="00CB437A"/>
    <w:rsid w:val="00D025CD"/>
    <w:rsid w:val="00DD3F50"/>
    <w:rsid w:val="00E91B80"/>
    <w:rsid w:val="00ED0FD2"/>
    <w:rsid w:val="00F77F0D"/>
    <w:rsid w:val="00F9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1EB4"/>
  <w15:docId w15:val="{3E93B2F5-9D97-4C12-8BB0-C54717CB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1ED3"/>
    <w:pPr>
      <w:spacing w:line="276" w:lineRule="auto"/>
    </w:pPr>
  </w:style>
  <w:style w:type="paragraph" w:styleId="Nadpis1">
    <w:name w:val="heading 1"/>
    <w:basedOn w:val="LO-normal"/>
    <w:next w:val="LO-normal"/>
    <w:uiPriority w:val="9"/>
    <w:qFormat/>
    <w:pPr>
      <w:keepNext/>
      <w:keepLines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styleId="Sledovanodkaz">
    <w:name w:val="FollowedHyperlink"/>
    <w:rPr>
      <w:color w:val="80000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74D4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74D46"/>
    <w:rPr>
      <w:rFonts w:cs="Mangal"/>
      <w:sz w:val="20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74D46"/>
    <w:rPr>
      <w:rFonts w:cs="Mangal"/>
      <w:b/>
      <w:bCs/>
      <w:sz w:val="20"/>
      <w:szCs w:val="18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Nzev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nadpis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Revize">
    <w:name w:val="Revision"/>
    <w:uiPriority w:val="99"/>
    <w:semiHidden/>
    <w:qFormat/>
    <w:rsid w:val="00A74D46"/>
    <w:pPr>
      <w:suppressAutoHyphens w:val="0"/>
    </w:pPr>
    <w:rPr>
      <w:rFonts w:cs="Mangal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4D46"/>
    <w:pPr>
      <w:spacing w:line="240" w:lineRule="auto"/>
    </w:pPr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74D46"/>
    <w:rPr>
      <w:b/>
      <w:bCs/>
    </w:rPr>
  </w:style>
  <w:style w:type="paragraph" w:styleId="Odstavecseseznamem">
    <w:name w:val="List Paragraph"/>
    <w:basedOn w:val="Normln"/>
    <w:uiPriority w:val="34"/>
    <w:qFormat/>
    <w:rsid w:val="00D22C6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medoro.org" TargetMode="External"/><Relationship Id="rId1" Type="http://schemas.openxmlformats.org/officeDocument/2006/relationships/hyperlink" Target="http://www.medor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1898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Seiner</dc:creator>
  <dc:description/>
  <cp:lastModifiedBy>Jana Pavelková</cp:lastModifiedBy>
  <cp:revision>3</cp:revision>
  <cp:lastPrinted>2025-06-16T14:15:00Z</cp:lastPrinted>
  <dcterms:created xsi:type="dcterms:W3CDTF">2026-02-27T11:19:00Z</dcterms:created>
  <dcterms:modified xsi:type="dcterms:W3CDTF">2026-02-27T11:25:00Z</dcterms:modified>
  <dc:language>cs-CZ</dc:language>
</cp:coreProperties>
</file>