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2289713F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Objednávka č.: </w:t>
      </w:r>
      <w:r w:rsidR="00B01FB0">
        <w:rPr>
          <w:sz w:val="24"/>
          <w:szCs w:val="24"/>
        </w:rPr>
        <w:t>02/2026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3D546D33" w:rsidR="0008073A" w:rsidRPr="00656097" w:rsidRDefault="00C97BEB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GORDIC spol. s r.o.</w:t>
      </w:r>
    </w:p>
    <w:p w14:paraId="76060D93" w14:textId="7684B457" w:rsidR="0016269D" w:rsidRDefault="00C97BEB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Erbenova </w:t>
      </w:r>
      <w:r w:rsidR="00B01FB0">
        <w:rPr>
          <w:sz w:val="24"/>
          <w:szCs w:val="24"/>
        </w:rPr>
        <w:t>2108/4</w:t>
      </w:r>
    </w:p>
    <w:p w14:paraId="7B6F1C3D" w14:textId="79B88BC2" w:rsidR="008C678F" w:rsidRDefault="00C97BEB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586 </w:t>
      </w:r>
      <w:proofErr w:type="gramStart"/>
      <w:r>
        <w:rPr>
          <w:sz w:val="24"/>
          <w:szCs w:val="24"/>
        </w:rPr>
        <w:t>01  Jihlava</w:t>
      </w:r>
      <w:proofErr w:type="gramEnd"/>
    </w:p>
    <w:p w14:paraId="7667CB88" w14:textId="34A8BD04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C97BEB">
        <w:rPr>
          <w:sz w:val="24"/>
          <w:szCs w:val="24"/>
        </w:rPr>
        <w:t>47903783</w:t>
      </w:r>
    </w:p>
    <w:p w14:paraId="7544EDF3" w14:textId="594A276F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8C678F">
        <w:rPr>
          <w:sz w:val="24"/>
          <w:szCs w:val="24"/>
        </w:rPr>
        <w:t>CZ</w:t>
      </w:r>
      <w:r w:rsidR="00C97BEB">
        <w:rPr>
          <w:sz w:val="24"/>
          <w:szCs w:val="24"/>
        </w:rPr>
        <w:t>47903783</w:t>
      </w:r>
    </w:p>
    <w:p w14:paraId="27F3E547" w14:textId="0DFCFA18" w:rsidR="00216604" w:rsidRDefault="00B81B36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F70B30" w14:textId="3D133460" w:rsidR="003A4E61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>Objednávka</w:t>
      </w:r>
      <w:r w:rsidR="00AB6093">
        <w:rPr>
          <w:sz w:val="24"/>
          <w:szCs w:val="24"/>
          <w:u w:val="single"/>
        </w:rPr>
        <w:t xml:space="preserve"> </w:t>
      </w:r>
      <w:r w:rsidR="008624A8">
        <w:rPr>
          <w:sz w:val="24"/>
          <w:szCs w:val="24"/>
          <w:u w:val="single"/>
        </w:rPr>
        <w:t xml:space="preserve">realizace přechodu verze </w:t>
      </w:r>
      <w:r w:rsidR="00216604">
        <w:rPr>
          <w:sz w:val="24"/>
          <w:szCs w:val="24"/>
          <w:u w:val="single"/>
        </w:rPr>
        <w:t xml:space="preserve">GINIS </w:t>
      </w:r>
      <w:r w:rsidR="00053A76">
        <w:rPr>
          <w:sz w:val="24"/>
          <w:szCs w:val="24"/>
          <w:u w:val="single"/>
        </w:rPr>
        <w:t>E</w:t>
      </w:r>
      <w:r w:rsidR="00216604">
        <w:rPr>
          <w:sz w:val="24"/>
          <w:szCs w:val="24"/>
          <w:u w:val="single"/>
        </w:rPr>
        <w:t>xpress</w:t>
      </w:r>
      <w:r w:rsidR="008624A8">
        <w:rPr>
          <w:sz w:val="24"/>
          <w:szCs w:val="24"/>
          <w:u w:val="single"/>
        </w:rPr>
        <w:t xml:space="preserve"> WIN na GINIS </w:t>
      </w:r>
      <w:proofErr w:type="gramStart"/>
      <w:r w:rsidR="008624A8">
        <w:rPr>
          <w:sz w:val="24"/>
          <w:szCs w:val="24"/>
          <w:u w:val="single"/>
        </w:rPr>
        <w:t xml:space="preserve">Express </w:t>
      </w:r>
      <w:r w:rsidR="00053A76">
        <w:rPr>
          <w:sz w:val="24"/>
          <w:szCs w:val="24"/>
          <w:u w:val="single"/>
        </w:rPr>
        <w:t xml:space="preserve"> SQL</w:t>
      </w:r>
      <w:proofErr w:type="gramEnd"/>
      <w:r w:rsidR="00F33A93">
        <w:rPr>
          <w:sz w:val="24"/>
          <w:szCs w:val="24"/>
          <w:u w:val="single"/>
        </w:rPr>
        <w:t xml:space="preserve"> </w:t>
      </w:r>
    </w:p>
    <w:p w14:paraId="40745EB7" w14:textId="77777777" w:rsidR="00C97BEB" w:rsidRPr="003A4E61" w:rsidRDefault="00C97BEB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536672E" w14:textId="77777777" w:rsidR="008E2AA6" w:rsidRDefault="00426D06" w:rsidP="00F21534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 xml:space="preserve">Vás </w:t>
      </w:r>
      <w:r w:rsidR="00053A76">
        <w:rPr>
          <w:sz w:val="24"/>
          <w:szCs w:val="24"/>
        </w:rPr>
        <w:t xml:space="preserve"> dle</w:t>
      </w:r>
      <w:proofErr w:type="gramEnd"/>
      <w:r w:rsidR="00053A76">
        <w:rPr>
          <w:sz w:val="24"/>
          <w:szCs w:val="24"/>
        </w:rPr>
        <w:t xml:space="preserve"> Vaší cenové nabídky </w:t>
      </w:r>
      <w:r w:rsidR="008624A8">
        <w:rPr>
          <w:sz w:val="24"/>
          <w:szCs w:val="24"/>
        </w:rPr>
        <w:t xml:space="preserve">realizaci přechodu současné </w:t>
      </w:r>
      <w:proofErr w:type="gramStart"/>
      <w:r w:rsidR="008624A8">
        <w:rPr>
          <w:sz w:val="24"/>
          <w:szCs w:val="24"/>
        </w:rPr>
        <w:t xml:space="preserve">verze </w:t>
      </w:r>
      <w:r w:rsidR="00053A76">
        <w:rPr>
          <w:sz w:val="24"/>
          <w:szCs w:val="24"/>
        </w:rPr>
        <w:t xml:space="preserve"> GINIS</w:t>
      </w:r>
      <w:proofErr w:type="gramEnd"/>
      <w:r w:rsidR="00053A76">
        <w:rPr>
          <w:sz w:val="24"/>
          <w:szCs w:val="24"/>
        </w:rPr>
        <w:t xml:space="preserve"> Express </w:t>
      </w:r>
      <w:r w:rsidR="008624A8">
        <w:rPr>
          <w:sz w:val="24"/>
          <w:szCs w:val="24"/>
        </w:rPr>
        <w:t xml:space="preserve">WIN na technologii databáze </w:t>
      </w:r>
      <w:proofErr w:type="gramStart"/>
      <w:r w:rsidR="008624A8">
        <w:rPr>
          <w:sz w:val="24"/>
          <w:szCs w:val="24"/>
        </w:rPr>
        <w:t>SQL</w:t>
      </w:r>
      <w:r w:rsidR="00053A76">
        <w:rPr>
          <w:sz w:val="24"/>
          <w:szCs w:val="24"/>
        </w:rPr>
        <w:t xml:space="preserve"> </w:t>
      </w:r>
      <w:r w:rsidR="008624A8">
        <w:rPr>
          <w:sz w:val="24"/>
          <w:szCs w:val="24"/>
        </w:rPr>
        <w:t xml:space="preserve"> </w:t>
      </w:r>
      <w:r w:rsidR="008E2AA6">
        <w:rPr>
          <w:sz w:val="24"/>
          <w:szCs w:val="24"/>
        </w:rPr>
        <w:t>včetně</w:t>
      </w:r>
      <w:proofErr w:type="gramEnd"/>
      <w:r w:rsidR="008E2AA6">
        <w:rPr>
          <w:sz w:val="24"/>
          <w:szCs w:val="24"/>
        </w:rPr>
        <w:t xml:space="preserve"> konfigurace IT Infrastruktury, školení</w:t>
      </w:r>
    </w:p>
    <w:p w14:paraId="4A1C68D7" w14:textId="43215157" w:rsidR="00053A76" w:rsidRDefault="008E2AA6" w:rsidP="00F21534">
      <w:pPr>
        <w:rPr>
          <w:sz w:val="24"/>
          <w:szCs w:val="24"/>
        </w:rPr>
      </w:pPr>
      <w:r>
        <w:rPr>
          <w:sz w:val="24"/>
          <w:szCs w:val="24"/>
        </w:rPr>
        <w:t xml:space="preserve"> a metodiky.</w:t>
      </w:r>
    </w:p>
    <w:p w14:paraId="2DC72FA7" w14:textId="66E70133" w:rsidR="00053A76" w:rsidRDefault="008624A8" w:rsidP="00F215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8E2AA6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 bez</w:t>
      </w:r>
      <w:proofErr w:type="gramEnd"/>
      <w:r>
        <w:rPr>
          <w:sz w:val="24"/>
          <w:szCs w:val="24"/>
        </w:rPr>
        <w:t xml:space="preserve"> </w:t>
      </w:r>
      <w:r w:rsidR="008E2AA6">
        <w:rPr>
          <w:sz w:val="24"/>
          <w:szCs w:val="24"/>
        </w:rPr>
        <w:t>DPH     cena s DPH</w:t>
      </w:r>
    </w:p>
    <w:p w14:paraId="288FB934" w14:textId="547A172F" w:rsidR="00053A76" w:rsidRDefault="00053A7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Cena doplatku z GINIS Express </w:t>
      </w:r>
      <w:r w:rsidR="00B81B36">
        <w:rPr>
          <w:sz w:val="24"/>
          <w:szCs w:val="24"/>
        </w:rPr>
        <w:t>WIN</w:t>
      </w:r>
      <w:r>
        <w:rPr>
          <w:sz w:val="24"/>
          <w:szCs w:val="24"/>
        </w:rPr>
        <w:t xml:space="preserve"> na SQL   </w:t>
      </w:r>
      <w:r w:rsidR="008E2AA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5C1EA6" w:rsidRPr="005C1EA6">
        <w:rPr>
          <w:sz w:val="24"/>
          <w:szCs w:val="24"/>
          <w:highlight w:val="black"/>
        </w:rPr>
        <w:t>………………………………</w:t>
      </w:r>
    </w:p>
    <w:p w14:paraId="319E97B2" w14:textId="6A517FD3" w:rsidR="00053A76" w:rsidRDefault="008E2AA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Migrace do SQL                                                             </w:t>
      </w:r>
      <w:r w:rsidR="005C1EA6" w:rsidRPr="005C1EA6">
        <w:rPr>
          <w:sz w:val="24"/>
          <w:szCs w:val="24"/>
          <w:highlight w:val="black"/>
        </w:rPr>
        <w:t>……………………………….</w:t>
      </w:r>
    </w:p>
    <w:p w14:paraId="4F3ED6D6" w14:textId="341F35E2" w:rsidR="008E2AA6" w:rsidRDefault="008E2AA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Novinky k SQL modulům                                              </w:t>
      </w:r>
      <w:r w:rsidR="005C1EA6" w:rsidRPr="005C1EA6">
        <w:rPr>
          <w:sz w:val="24"/>
          <w:szCs w:val="24"/>
          <w:highlight w:val="black"/>
        </w:rPr>
        <w:t>……………………………….</w:t>
      </w:r>
    </w:p>
    <w:p w14:paraId="0E62883E" w14:textId="4E680A44" w:rsidR="008E2AA6" w:rsidRDefault="008E2AA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Implementace nových funkcionalit                                </w:t>
      </w:r>
      <w:r w:rsidR="005C1EA6" w:rsidRPr="005C1EA6">
        <w:rPr>
          <w:sz w:val="24"/>
          <w:szCs w:val="24"/>
          <w:highlight w:val="black"/>
        </w:rPr>
        <w:t>……………………………….</w:t>
      </w:r>
      <w:r>
        <w:rPr>
          <w:sz w:val="24"/>
          <w:szCs w:val="24"/>
        </w:rPr>
        <w:t xml:space="preserve">    </w:t>
      </w:r>
    </w:p>
    <w:p w14:paraId="775B3777" w14:textId="23EE0A6C" w:rsidR="008E2AA6" w:rsidRDefault="008E2AA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5C1EA6">
        <w:rPr>
          <w:sz w:val="24"/>
          <w:szCs w:val="24"/>
          <w:highlight w:val="black"/>
        </w:rPr>
        <w:t>------------------------------------</w:t>
      </w:r>
    </w:p>
    <w:p w14:paraId="70FFE3F2" w14:textId="7EDD1CA3" w:rsidR="008E2AA6" w:rsidRDefault="008E2AA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cena objednávky bez </w:t>
      </w:r>
      <w:proofErr w:type="gramStart"/>
      <w:r>
        <w:rPr>
          <w:sz w:val="24"/>
          <w:szCs w:val="24"/>
        </w:rPr>
        <w:t>DPH  …</w:t>
      </w:r>
      <w:proofErr w:type="gramEnd"/>
      <w:r>
        <w:rPr>
          <w:sz w:val="24"/>
          <w:szCs w:val="24"/>
        </w:rPr>
        <w:t xml:space="preserve">…….     </w:t>
      </w:r>
      <w:r w:rsidR="002B74E4">
        <w:rPr>
          <w:sz w:val="24"/>
          <w:szCs w:val="24"/>
        </w:rPr>
        <w:t>69.550,00</w:t>
      </w:r>
      <w:r>
        <w:rPr>
          <w:sz w:val="24"/>
          <w:szCs w:val="24"/>
        </w:rPr>
        <w:t xml:space="preserve"> Kč</w:t>
      </w:r>
    </w:p>
    <w:p w14:paraId="38386056" w14:textId="64478218" w:rsidR="008E2AA6" w:rsidRDefault="008E2AA6" w:rsidP="00053A76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cena objednávky s DPH           ………………………….  </w:t>
      </w:r>
      <w:r w:rsidR="002B74E4">
        <w:rPr>
          <w:sz w:val="24"/>
          <w:szCs w:val="24"/>
        </w:rPr>
        <w:t>84.155,50</w:t>
      </w:r>
      <w:r>
        <w:rPr>
          <w:sz w:val="24"/>
          <w:szCs w:val="24"/>
        </w:rPr>
        <w:t xml:space="preserve"> Kč             </w:t>
      </w:r>
    </w:p>
    <w:p w14:paraId="47FD9B88" w14:textId="6549F7F6" w:rsidR="008E2AA6" w:rsidRDefault="008E2AA6" w:rsidP="00053A76">
      <w:pPr>
        <w:rPr>
          <w:sz w:val="24"/>
          <w:szCs w:val="24"/>
        </w:rPr>
      </w:pPr>
    </w:p>
    <w:p w14:paraId="75DFF5F2" w14:textId="7BBD1B81" w:rsidR="00020A68" w:rsidRDefault="00B81B36" w:rsidP="00B81B36">
      <w:pPr>
        <w:rPr>
          <w:sz w:val="24"/>
          <w:szCs w:val="24"/>
        </w:rPr>
      </w:pPr>
      <w:r>
        <w:rPr>
          <w:sz w:val="24"/>
          <w:szCs w:val="24"/>
        </w:rPr>
        <w:t>Společnost GORDIC zajistí u</w:t>
      </w:r>
      <w:r w:rsidRPr="00B81B36">
        <w:rPr>
          <w:sz w:val="24"/>
          <w:szCs w:val="24"/>
        </w:rPr>
        <w:t xml:space="preserve">pgrade programového vybavení GINIS Express WIN na aktuální </w:t>
      </w:r>
      <w:proofErr w:type="spellStart"/>
      <w:r w:rsidRPr="00B81B36">
        <w:rPr>
          <w:sz w:val="24"/>
          <w:szCs w:val="24"/>
        </w:rPr>
        <w:t>release</w:t>
      </w:r>
      <w:proofErr w:type="spellEnd"/>
      <w:r w:rsidRPr="00B81B36">
        <w:rPr>
          <w:sz w:val="24"/>
          <w:szCs w:val="24"/>
        </w:rPr>
        <w:t xml:space="preserve"> verze GINIS Express SQL</w:t>
      </w:r>
      <w:r>
        <w:rPr>
          <w:sz w:val="24"/>
          <w:szCs w:val="24"/>
        </w:rPr>
        <w:t xml:space="preserve">, dodávku programového vybavení </w:t>
      </w:r>
      <w:r w:rsidRPr="00B81B36">
        <w:rPr>
          <w:sz w:val="24"/>
          <w:szCs w:val="24"/>
        </w:rPr>
        <w:t>poskytovaného nad rámec programového vybavení poskytovaného hlavním městem Prahou</w:t>
      </w:r>
      <w:r>
        <w:rPr>
          <w:sz w:val="24"/>
          <w:szCs w:val="24"/>
        </w:rPr>
        <w:t>, poskytnutí odborných služeb (migrace, konfigurace LAN, školení, metodika a rozšířená podpora) v dohodnutém rozsahu.  Součástí je zachování a převod pořízených dat.</w:t>
      </w:r>
      <w:r w:rsidRPr="00B81B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90C91FF" w14:textId="77777777" w:rsidR="00020A68" w:rsidRPr="00B81B36" w:rsidRDefault="00020A68" w:rsidP="00B81B36">
      <w:pPr>
        <w:rPr>
          <w:sz w:val="24"/>
          <w:szCs w:val="24"/>
        </w:rPr>
      </w:pPr>
    </w:p>
    <w:p w14:paraId="2E5EF2D5" w14:textId="3F4C22FC" w:rsidR="00B81B36" w:rsidRDefault="00B81B3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proofErr w:type="gramStart"/>
      <w:r>
        <w:rPr>
          <w:sz w:val="24"/>
          <w:szCs w:val="24"/>
        </w:rPr>
        <w:t>realizace:  březen</w:t>
      </w:r>
      <w:proofErr w:type="gramEnd"/>
      <w:r>
        <w:rPr>
          <w:sz w:val="24"/>
          <w:szCs w:val="24"/>
        </w:rPr>
        <w:t xml:space="preserve"> 2026</w:t>
      </w:r>
    </w:p>
    <w:p w14:paraId="14FEBC38" w14:textId="1CA2A367" w:rsidR="00635A60" w:rsidRPr="008C678F" w:rsidRDefault="00B81B3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A8" w14:textId="77777777" w:rsidR="003E533F" w:rsidRPr="009C77B7" w:rsidRDefault="003E533F" w:rsidP="003E533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76060DAE" w14:textId="77777777" w:rsidR="008C19F2" w:rsidRDefault="00A87490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 xml:space="preserve">BANKOVNÍ </w:t>
      </w:r>
      <w:r w:rsidR="00E33147" w:rsidRPr="008C19F2">
        <w:rPr>
          <w:sz w:val="24"/>
          <w:szCs w:val="24"/>
          <w:u w:val="single"/>
        </w:rPr>
        <w:t>S</w:t>
      </w:r>
      <w:r w:rsidRPr="008C19F2">
        <w:rPr>
          <w:sz w:val="24"/>
          <w:szCs w:val="24"/>
          <w:u w:val="single"/>
        </w:rPr>
        <w:t>POJENÍ:</w:t>
      </w:r>
      <w:r w:rsidR="008C19F2">
        <w:rPr>
          <w:sz w:val="24"/>
          <w:szCs w:val="24"/>
        </w:rPr>
        <w:t xml:space="preserve"> </w:t>
      </w:r>
    </w:p>
    <w:p w14:paraId="76060DAF" w14:textId="68704FE6" w:rsidR="00A11C8E" w:rsidRDefault="005C1EA6">
      <w:pPr>
        <w:rPr>
          <w:sz w:val="24"/>
          <w:szCs w:val="24"/>
        </w:rPr>
      </w:pPr>
      <w:r w:rsidRPr="005C1EA6">
        <w:rPr>
          <w:sz w:val="24"/>
          <w:szCs w:val="24"/>
          <w:highlight w:val="black"/>
        </w:rPr>
        <w:t>…………………………………………..</w:t>
      </w:r>
    </w:p>
    <w:p w14:paraId="76060DB1" w14:textId="77777777" w:rsidR="00A87490" w:rsidRDefault="00A87490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 xml:space="preserve">ZBOŽÍ DODEJTE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5" w14:textId="6AE67B22" w:rsidR="005230B9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="008428D5">
        <w:rPr>
          <w:sz w:val="24"/>
          <w:szCs w:val="24"/>
        </w:rPr>
        <w:t>5</w:t>
      </w:r>
    </w:p>
    <w:p w14:paraId="76060DB7" w14:textId="77777777" w:rsidR="002F6D72" w:rsidRDefault="0002093B">
      <w:pPr>
        <w:rPr>
          <w:sz w:val="24"/>
          <w:szCs w:val="24"/>
        </w:rPr>
      </w:pP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2511A47E" w14:textId="11DF38FB" w:rsidR="00635A60" w:rsidRPr="005C1EA6" w:rsidRDefault="005C1EA6">
      <w:pPr>
        <w:rPr>
          <w:sz w:val="24"/>
          <w:szCs w:val="24"/>
          <w:highlight w:val="black"/>
        </w:rPr>
      </w:pPr>
      <w:r w:rsidRPr="005C1EA6">
        <w:rPr>
          <w:sz w:val="24"/>
          <w:szCs w:val="24"/>
          <w:highlight w:val="black"/>
        </w:rPr>
        <w:t>………………………………………………………………………………..</w:t>
      </w:r>
    </w:p>
    <w:p w14:paraId="40DFEF89" w14:textId="0E312823" w:rsidR="00020A68" w:rsidRPr="00020A68" w:rsidRDefault="005C1EA6">
      <w:r w:rsidRPr="005C1EA6">
        <w:rPr>
          <w:sz w:val="24"/>
          <w:szCs w:val="24"/>
          <w:highlight w:val="black"/>
        </w:rPr>
        <w:t>………………………………………………………………………………..</w:t>
      </w:r>
    </w:p>
    <w:p w14:paraId="76060DBE" w14:textId="77777777" w:rsidR="0002093B" w:rsidRDefault="00EB2B6C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="00F26099">
        <w:rPr>
          <w:b/>
          <w:sz w:val="24"/>
          <w:szCs w:val="24"/>
        </w:rPr>
        <w:t>a dodržení fakturační adresy</w:t>
      </w:r>
      <w:r w:rsidR="005C627B">
        <w:rPr>
          <w:b/>
          <w:sz w:val="24"/>
          <w:szCs w:val="24"/>
        </w:rPr>
        <w:t>.</w:t>
      </w:r>
    </w:p>
    <w:p w14:paraId="76060DBF" w14:textId="77777777" w:rsidR="005C627B" w:rsidRDefault="005C627B" w:rsidP="00F26099">
      <w:pPr>
        <w:jc w:val="both"/>
        <w:rPr>
          <w:b/>
          <w:sz w:val="24"/>
          <w:szCs w:val="24"/>
        </w:rPr>
      </w:pPr>
    </w:p>
    <w:p w14:paraId="1F21E25D" w14:textId="77777777" w:rsidR="00A50E3C" w:rsidRPr="00AC5056" w:rsidRDefault="00A50E3C" w:rsidP="00A50E3C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71F5CC78" w14:textId="77777777" w:rsidR="00A50E3C" w:rsidRDefault="00A50E3C" w:rsidP="00A50E3C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7DB20AC1" w14:textId="77777777" w:rsidR="00A50E3C" w:rsidRDefault="00A50E3C" w:rsidP="00A50E3C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3253955C" w14:textId="77777777" w:rsidR="00A50E3C" w:rsidRDefault="00A50E3C" w:rsidP="00A50E3C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4B95BF04" w14:textId="77777777" w:rsidR="00A50E3C" w:rsidRPr="00D15C14" w:rsidRDefault="00A50E3C" w:rsidP="00A50E3C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4ACDD910" w14:textId="77777777" w:rsidR="00A50E3C" w:rsidRDefault="00A50E3C" w:rsidP="00A50E3C">
      <w:pPr>
        <w:jc w:val="both"/>
        <w:rPr>
          <w:b/>
          <w:sz w:val="24"/>
          <w:szCs w:val="24"/>
        </w:rPr>
      </w:pPr>
    </w:p>
    <w:p w14:paraId="560D2822" w14:textId="77777777" w:rsidR="00A50E3C" w:rsidRDefault="00A50E3C" w:rsidP="00A50E3C">
      <w:pPr>
        <w:jc w:val="both"/>
        <w:rPr>
          <w:b/>
          <w:sz w:val="24"/>
          <w:szCs w:val="24"/>
        </w:rPr>
      </w:pPr>
    </w:p>
    <w:p w14:paraId="76060DC0" w14:textId="77777777" w:rsidR="005C627B" w:rsidRDefault="005C627B" w:rsidP="00F26099">
      <w:pPr>
        <w:jc w:val="both"/>
        <w:rPr>
          <w:b/>
          <w:sz w:val="24"/>
          <w:szCs w:val="24"/>
        </w:rPr>
      </w:pPr>
    </w:p>
    <w:p w14:paraId="79963B08" w14:textId="77777777" w:rsidR="00C93AF7" w:rsidRDefault="00C93AF7" w:rsidP="00F26099">
      <w:pPr>
        <w:jc w:val="both"/>
        <w:rPr>
          <w:b/>
          <w:sz w:val="24"/>
          <w:szCs w:val="24"/>
        </w:rPr>
      </w:pPr>
    </w:p>
    <w:p w14:paraId="6D3B415A" w14:textId="77777777" w:rsidR="00C93AF7" w:rsidRDefault="00C93AF7" w:rsidP="00F26099">
      <w:pPr>
        <w:jc w:val="both"/>
        <w:rPr>
          <w:b/>
          <w:sz w:val="24"/>
          <w:szCs w:val="24"/>
        </w:rPr>
      </w:pPr>
    </w:p>
    <w:p w14:paraId="6171D87A" w14:textId="77777777" w:rsidR="00C93AF7" w:rsidRDefault="00C93AF7" w:rsidP="00F26099">
      <w:pPr>
        <w:jc w:val="both"/>
        <w:rPr>
          <w:b/>
          <w:sz w:val="24"/>
          <w:szCs w:val="24"/>
        </w:rPr>
      </w:pPr>
    </w:p>
    <w:p w14:paraId="4FDAD3EE" w14:textId="77777777" w:rsidR="00C93AF7" w:rsidRDefault="00C93AF7" w:rsidP="00F26099">
      <w:pPr>
        <w:jc w:val="both"/>
        <w:rPr>
          <w:b/>
          <w:sz w:val="24"/>
          <w:szCs w:val="24"/>
        </w:rPr>
      </w:pPr>
    </w:p>
    <w:p w14:paraId="3FC0F0EF" w14:textId="7103D026" w:rsidR="008428D5" w:rsidRDefault="00B01FB0" w:rsidP="00F260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Ing. Jaromír Řezáč                                                             PaedDr. František Hanzal</w:t>
      </w:r>
    </w:p>
    <w:p w14:paraId="7436B405" w14:textId="4C9A2E9D" w:rsidR="00B01FB0" w:rsidRDefault="00B01FB0" w:rsidP="00F260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                                                            ředitel školy</w:t>
      </w:r>
    </w:p>
    <w:p w14:paraId="4C811793" w14:textId="77777777" w:rsidR="00B01FB0" w:rsidRPr="00B01FB0" w:rsidRDefault="00B01FB0" w:rsidP="00F26099">
      <w:pPr>
        <w:jc w:val="both"/>
        <w:rPr>
          <w:bCs/>
          <w:sz w:val="24"/>
          <w:szCs w:val="24"/>
        </w:rPr>
      </w:pPr>
    </w:p>
    <w:p w14:paraId="76060DC4" w14:textId="0B89BD79" w:rsidR="00915EA8" w:rsidRDefault="00B01FB0" w:rsidP="00915EA8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C5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6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7" w14:textId="270EAC82" w:rsidR="0002093B" w:rsidRDefault="0002093B" w:rsidP="00915EA8">
      <w:pPr>
        <w:ind w:left="3600" w:firstLine="720"/>
        <w:jc w:val="center"/>
        <w:rPr>
          <w:sz w:val="24"/>
          <w:szCs w:val="24"/>
        </w:rPr>
      </w:pPr>
    </w:p>
    <w:p w14:paraId="78FCB317" w14:textId="116F7E95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D57CC1A" w14:textId="77777777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6060DC8" w14:textId="2BFC5B6B" w:rsidR="00915EA8" w:rsidRDefault="00915EA8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V Praze, dne </w:t>
      </w:r>
      <w:r w:rsidR="002F6D72">
        <w:rPr>
          <w:sz w:val="24"/>
          <w:szCs w:val="24"/>
        </w:rPr>
        <w:t xml:space="preserve"> </w:t>
      </w:r>
      <w:r w:rsidR="00C93AF7"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11C8" w14:textId="77777777" w:rsidR="009D68F8" w:rsidRDefault="009D68F8" w:rsidP="00B864B1">
      <w:r>
        <w:separator/>
      </w:r>
    </w:p>
  </w:endnote>
  <w:endnote w:type="continuationSeparator" w:id="0">
    <w:p w14:paraId="4F3906D3" w14:textId="77777777" w:rsidR="009D68F8" w:rsidRDefault="009D68F8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6424" w14:textId="77777777" w:rsidR="009D68F8" w:rsidRDefault="009D68F8" w:rsidP="00B864B1">
      <w:r>
        <w:separator/>
      </w:r>
    </w:p>
  </w:footnote>
  <w:footnote w:type="continuationSeparator" w:id="0">
    <w:p w14:paraId="1C1E534E" w14:textId="77777777" w:rsidR="009D68F8" w:rsidRDefault="009D68F8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124DD7"/>
    <w:multiLevelType w:val="hybridMultilevel"/>
    <w:tmpl w:val="B552B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5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0595">
    <w:abstractNumId w:val="4"/>
  </w:num>
  <w:num w:numId="2" w16cid:durableId="208344973">
    <w:abstractNumId w:val="0"/>
  </w:num>
  <w:num w:numId="3" w16cid:durableId="1521511025">
    <w:abstractNumId w:val="5"/>
  </w:num>
  <w:num w:numId="4" w16cid:durableId="607153630">
    <w:abstractNumId w:val="3"/>
  </w:num>
  <w:num w:numId="5" w16cid:durableId="612051216">
    <w:abstractNumId w:val="2"/>
  </w:num>
  <w:num w:numId="6" w16cid:durableId="302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0A68"/>
    <w:rsid w:val="00023E61"/>
    <w:rsid w:val="00035C9D"/>
    <w:rsid w:val="00041E45"/>
    <w:rsid w:val="00045A53"/>
    <w:rsid w:val="00045C44"/>
    <w:rsid w:val="00052AF5"/>
    <w:rsid w:val="00053A76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E0AFD"/>
    <w:rsid w:val="000F0677"/>
    <w:rsid w:val="000F732B"/>
    <w:rsid w:val="001026DC"/>
    <w:rsid w:val="00106D8E"/>
    <w:rsid w:val="00113209"/>
    <w:rsid w:val="00113A91"/>
    <w:rsid w:val="001166D4"/>
    <w:rsid w:val="0011737D"/>
    <w:rsid w:val="0012518A"/>
    <w:rsid w:val="00126397"/>
    <w:rsid w:val="00141634"/>
    <w:rsid w:val="00141948"/>
    <w:rsid w:val="001443ED"/>
    <w:rsid w:val="00145A81"/>
    <w:rsid w:val="00146F19"/>
    <w:rsid w:val="00155419"/>
    <w:rsid w:val="001562E9"/>
    <w:rsid w:val="0016269D"/>
    <w:rsid w:val="00163215"/>
    <w:rsid w:val="00163B77"/>
    <w:rsid w:val="0016632B"/>
    <w:rsid w:val="00171C23"/>
    <w:rsid w:val="0017394D"/>
    <w:rsid w:val="00173B31"/>
    <w:rsid w:val="00174C65"/>
    <w:rsid w:val="0017692E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16604"/>
    <w:rsid w:val="002240AF"/>
    <w:rsid w:val="002251D7"/>
    <w:rsid w:val="0023338A"/>
    <w:rsid w:val="002379D1"/>
    <w:rsid w:val="00242C1F"/>
    <w:rsid w:val="00245559"/>
    <w:rsid w:val="0024782A"/>
    <w:rsid w:val="002515D8"/>
    <w:rsid w:val="00251DA8"/>
    <w:rsid w:val="00252EC3"/>
    <w:rsid w:val="002552B7"/>
    <w:rsid w:val="00263098"/>
    <w:rsid w:val="0026448B"/>
    <w:rsid w:val="00273F2B"/>
    <w:rsid w:val="00275136"/>
    <w:rsid w:val="002771A6"/>
    <w:rsid w:val="002777F1"/>
    <w:rsid w:val="00277FBE"/>
    <w:rsid w:val="00280C8F"/>
    <w:rsid w:val="00280CAE"/>
    <w:rsid w:val="00280E34"/>
    <w:rsid w:val="0028193D"/>
    <w:rsid w:val="00287533"/>
    <w:rsid w:val="00291BB0"/>
    <w:rsid w:val="0029481B"/>
    <w:rsid w:val="00297AF2"/>
    <w:rsid w:val="002A04AB"/>
    <w:rsid w:val="002B5600"/>
    <w:rsid w:val="002B7208"/>
    <w:rsid w:val="002B74E4"/>
    <w:rsid w:val="002B7F78"/>
    <w:rsid w:val="002D24ED"/>
    <w:rsid w:val="002D408F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1C9B"/>
    <w:rsid w:val="00313F88"/>
    <w:rsid w:val="00314F9F"/>
    <w:rsid w:val="00315B6B"/>
    <w:rsid w:val="00315F3E"/>
    <w:rsid w:val="00322B34"/>
    <w:rsid w:val="00322EB8"/>
    <w:rsid w:val="00330408"/>
    <w:rsid w:val="00331BAA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B4555"/>
    <w:rsid w:val="003D15DC"/>
    <w:rsid w:val="003D3914"/>
    <w:rsid w:val="003D4B38"/>
    <w:rsid w:val="003D500C"/>
    <w:rsid w:val="003E134D"/>
    <w:rsid w:val="003E1AC4"/>
    <w:rsid w:val="003E2F99"/>
    <w:rsid w:val="003E30CF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23D2F"/>
    <w:rsid w:val="00426D06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30A4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1E15"/>
    <w:rsid w:val="004E2624"/>
    <w:rsid w:val="004E38B4"/>
    <w:rsid w:val="004E3BDB"/>
    <w:rsid w:val="004E54BC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4C2D"/>
    <w:rsid w:val="00544F28"/>
    <w:rsid w:val="005473F9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1787"/>
    <w:rsid w:val="00595103"/>
    <w:rsid w:val="005A2755"/>
    <w:rsid w:val="005A42FC"/>
    <w:rsid w:val="005A6DCC"/>
    <w:rsid w:val="005B2830"/>
    <w:rsid w:val="005B5F9F"/>
    <w:rsid w:val="005C1E0D"/>
    <w:rsid w:val="005C1EA6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6699E"/>
    <w:rsid w:val="00673826"/>
    <w:rsid w:val="006747E8"/>
    <w:rsid w:val="006755B1"/>
    <w:rsid w:val="00680AA0"/>
    <w:rsid w:val="00681EFA"/>
    <w:rsid w:val="00683D63"/>
    <w:rsid w:val="006A41EB"/>
    <w:rsid w:val="006B0DDA"/>
    <w:rsid w:val="006B73CD"/>
    <w:rsid w:val="006C1FDE"/>
    <w:rsid w:val="006C7DCB"/>
    <w:rsid w:val="006D0BF3"/>
    <w:rsid w:val="006D57C2"/>
    <w:rsid w:val="006D6455"/>
    <w:rsid w:val="006D7482"/>
    <w:rsid w:val="006D74AE"/>
    <w:rsid w:val="006E3CEE"/>
    <w:rsid w:val="006F2E0E"/>
    <w:rsid w:val="00702719"/>
    <w:rsid w:val="00702A2E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A5E9D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28D5"/>
    <w:rsid w:val="00842D48"/>
    <w:rsid w:val="00844B9C"/>
    <w:rsid w:val="00845247"/>
    <w:rsid w:val="0086007A"/>
    <w:rsid w:val="00860AA2"/>
    <w:rsid w:val="008624A8"/>
    <w:rsid w:val="008721E5"/>
    <w:rsid w:val="00872E55"/>
    <w:rsid w:val="008749BC"/>
    <w:rsid w:val="00875C3F"/>
    <w:rsid w:val="00883563"/>
    <w:rsid w:val="008846A0"/>
    <w:rsid w:val="00886FDA"/>
    <w:rsid w:val="00891DCB"/>
    <w:rsid w:val="008A4086"/>
    <w:rsid w:val="008A7E57"/>
    <w:rsid w:val="008B065E"/>
    <w:rsid w:val="008B269F"/>
    <w:rsid w:val="008B60EB"/>
    <w:rsid w:val="008C0CFC"/>
    <w:rsid w:val="008C19F2"/>
    <w:rsid w:val="008C1FFB"/>
    <w:rsid w:val="008C678F"/>
    <w:rsid w:val="008C732B"/>
    <w:rsid w:val="008D2AA2"/>
    <w:rsid w:val="008D55A8"/>
    <w:rsid w:val="008D6E43"/>
    <w:rsid w:val="008D7CBF"/>
    <w:rsid w:val="008E23E7"/>
    <w:rsid w:val="008E2AA6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339E"/>
    <w:rsid w:val="00934280"/>
    <w:rsid w:val="00942B35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D68F8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134CF"/>
    <w:rsid w:val="00A22721"/>
    <w:rsid w:val="00A26ED9"/>
    <w:rsid w:val="00A35CC4"/>
    <w:rsid w:val="00A36122"/>
    <w:rsid w:val="00A41652"/>
    <w:rsid w:val="00A41687"/>
    <w:rsid w:val="00A4462F"/>
    <w:rsid w:val="00A50E3C"/>
    <w:rsid w:val="00A51132"/>
    <w:rsid w:val="00A53AF6"/>
    <w:rsid w:val="00A54880"/>
    <w:rsid w:val="00A62DB3"/>
    <w:rsid w:val="00A7261E"/>
    <w:rsid w:val="00A761A9"/>
    <w:rsid w:val="00A77E15"/>
    <w:rsid w:val="00A8312E"/>
    <w:rsid w:val="00A842BE"/>
    <w:rsid w:val="00A87490"/>
    <w:rsid w:val="00A91FD8"/>
    <w:rsid w:val="00A92F49"/>
    <w:rsid w:val="00AB6093"/>
    <w:rsid w:val="00AB7471"/>
    <w:rsid w:val="00AD18D5"/>
    <w:rsid w:val="00AD2E8A"/>
    <w:rsid w:val="00AD3047"/>
    <w:rsid w:val="00AD31FC"/>
    <w:rsid w:val="00AD4BAD"/>
    <w:rsid w:val="00AE2E68"/>
    <w:rsid w:val="00AE7768"/>
    <w:rsid w:val="00AF4140"/>
    <w:rsid w:val="00AF63E2"/>
    <w:rsid w:val="00B01FB0"/>
    <w:rsid w:val="00B033A0"/>
    <w:rsid w:val="00B05957"/>
    <w:rsid w:val="00B073C3"/>
    <w:rsid w:val="00B07930"/>
    <w:rsid w:val="00B13484"/>
    <w:rsid w:val="00B13AEA"/>
    <w:rsid w:val="00B223A5"/>
    <w:rsid w:val="00B22C1A"/>
    <w:rsid w:val="00B238DA"/>
    <w:rsid w:val="00B243F0"/>
    <w:rsid w:val="00B338D6"/>
    <w:rsid w:val="00B33A4C"/>
    <w:rsid w:val="00B35CEA"/>
    <w:rsid w:val="00B3610A"/>
    <w:rsid w:val="00B47EB9"/>
    <w:rsid w:val="00B51EA4"/>
    <w:rsid w:val="00B70B99"/>
    <w:rsid w:val="00B81B36"/>
    <w:rsid w:val="00B82012"/>
    <w:rsid w:val="00B83244"/>
    <w:rsid w:val="00B864B1"/>
    <w:rsid w:val="00B865DE"/>
    <w:rsid w:val="00B86C5E"/>
    <w:rsid w:val="00B92423"/>
    <w:rsid w:val="00BA0538"/>
    <w:rsid w:val="00BA0D51"/>
    <w:rsid w:val="00BA22A6"/>
    <w:rsid w:val="00BA2BD3"/>
    <w:rsid w:val="00BA62BC"/>
    <w:rsid w:val="00BB207B"/>
    <w:rsid w:val="00BB3405"/>
    <w:rsid w:val="00BB3489"/>
    <w:rsid w:val="00BC1A30"/>
    <w:rsid w:val="00BD36F0"/>
    <w:rsid w:val="00BD382C"/>
    <w:rsid w:val="00BD58AB"/>
    <w:rsid w:val="00BE0F64"/>
    <w:rsid w:val="00BE171F"/>
    <w:rsid w:val="00BE3527"/>
    <w:rsid w:val="00BE5623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24096"/>
    <w:rsid w:val="00C3002B"/>
    <w:rsid w:val="00C44568"/>
    <w:rsid w:val="00C47F52"/>
    <w:rsid w:val="00C51C3E"/>
    <w:rsid w:val="00C605C0"/>
    <w:rsid w:val="00C61DB7"/>
    <w:rsid w:val="00C6401F"/>
    <w:rsid w:val="00C6548D"/>
    <w:rsid w:val="00C717F3"/>
    <w:rsid w:val="00C71DB1"/>
    <w:rsid w:val="00C7238C"/>
    <w:rsid w:val="00C77E61"/>
    <w:rsid w:val="00C93AF7"/>
    <w:rsid w:val="00C93EA4"/>
    <w:rsid w:val="00C96132"/>
    <w:rsid w:val="00C9621D"/>
    <w:rsid w:val="00C9668C"/>
    <w:rsid w:val="00C97BEB"/>
    <w:rsid w:val="00CA4050"/>
    <w:rsid w:val="00CA4C74"/>
    <w:rsid w:val="00CB1659"/>
    <w:rsid w:val="00CC732E"/>
    <w:rsid w:val="00CD14B5"/>
    <w:rsid w:val="00CE0D4E"/>
    <w:rsid w:val="00CE3365"/>
    <w:rsid w:val="00CE4775"/>
    <w:rsid w:val="00CF4782"/>
    <w:rsid w:val="00CF515F"/>
    <w:rsid w:val="00CF6914"/>
    <w:rsid w:val="00D02409"/>
    <w:rsid w:val="00D04A15"/>
    <w:rsid w:val="00D157A1"/>
    <w:rsid w:val="00D17235"/>
    <w:rsid w:val="00D253FC"/>
    <w:rsid w:val="00D255CE"/>
    <w:rsid w:val="00D269F0"/>
    <w:rsid w:val="00D36F91"/>
    <w:rsid w:val="00D41EDD"/>
    <w:rsid w:val="00D444A0"/>
    <w:rsid w:val="00D45149"/>
    <w:rsid w:val="00D45530"/>
    <w:rsid w:val="00D4620A"/>
    <w:rsid w:val="00D54C67"/>
    <w:rsid w:val="00D55B45"/>
    <w:rsid w:val="00D55B79"/>
    <w:rsid w:val="00D56119"/>
    <w:rsid w:val="00D56E45"/>
    <w:rsid w:val="00D602D5"/>
    <w:rsid w:val="00D603FC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2BD4"/>
    <w:rsid w:val="00DD3518"/>
    <w:rsid w:val="00DD6CA0"/>
    <w:rsid w:val="00DD7EA3"/>
    <w:rsid w:val="00DE716F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204F3"/>
    <w:rsid w:val="00E33147"/>
    <w:rsid w:val="00E42FE9"/>
    <w:rsid w:val="00E45F79"/>
    <w:rsid w:val="00E47FB5"/>
    <w:rsid w:val="00E55F7C"/>
    <w:rsid w:val="00E6243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631A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10869"/>
    <w:rsid w:val="00F17E6C"/>
    <w:rsid w:val="00F21534"/>
    <w:rsid w:val="00F24799"/>
    <w:rsid w:val="00F26099"/>
    <w:rsid w:val="00F26E4C"/>
    <w:rsid w:val="00F32291"/>
    <w:rsid w:val="00F33A93"/>
    <w:rsid w:val="00F37B7D"/>
    <w:rsid w:val="00F44B33"/>
    <w:rsid w:val="00F5467F"/>
    <w:rsid w:val="00F64168"/>
    <w:rsid w:val="00F717ED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3096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2024-12-17T13:24:00Z</cp:lastPrinted>
  <dcterms:created xsi:type="dcterms:W3CDTF">2026-02-27T09:30:00Z</dcterms:created>
  <dcterms:modified xsi:type="dcterms:W3CDTF">2026-02-27T09:33:00Z</dcterms:modified>
</cp:coreProperties>
</file>