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53E7" w14:textId="77777777" w:rsidR="001302A0" w:rsidRDefault="0099512B">
      <w:pPr>
        <w:jc w:val="left"/>
        <w:rPr>
          <w:szCs w:val="24"/>
        </w:rPr>
      </w:pPr>
      <w:r>
        <w:rPr>
          <w:noProof/>
          <w:szCs w:val="24"/>
        </w:rPr>
        <w:drawing>
          <wp:inline distT="0" distB="0" distL="0" distR="0" wp14:anchorId="25134CE8" wp14:editId="707A38EB">
            <wp:extent cx="1638935" cy="474345"/>
            <wp:effectExtent l="0" t="0" r="0" b="1905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38641" w14:textId="77777777" w:rsidR="001302A0" w:rsidRDefault="0099512B">
      <w:pPr>
        <w:spacing w:line="276" w:lineRule="auto"/>
        <w:jc w:val="center"/>
        <w:rPr>
          <w:rFonts w:eastAsiaTheme="minorHAnsi" w:cs="Arial"/>
          <w:b/>
          <w:szCs w:val="24"/>
        </w:rPr>
      </w:pPr>
      <w:r>
        <w:rPr>
          <w:rFonts w:eastAsiaTheme="minorHAnsi" w:cs="Arial"/>
          <w:b/>
          <w:szCs w:val="24"/>
        </w:rPr>
        <w:t>Dodatek č. 1</w:t>
      </w:r>
    </w:p>
    <w:p w14:paraId="56325470" w14:textId="77777777" w:rsidR="001302A0" w:rsidRDefault="0099512B">
      <w:pPr>
        <w:spacing w:line="276" w:lineRule="auto"/>
        <w:jc w:val="center"/>
        <w:rPr>
          <w:rFonts w:eastAsiaTheme="minorHAnsi" w:cs="Arial"/>
          <w:b/>
        </w:rPr>
      </w:pPr>
      <w:r>
        <w:rPr>
          <w:rFonts w:eastAsiaTheme="minorHAnsi" w:cs="Arial"/>
          <w:b/>
        </w:rPr>
        <w:t xml:space="preserve">ke Smlouvě </w:t>
      </w:r>
      <w:r>
        <w:rPr>
          <w:rFonts w:eastAsiaTheme="minorHAnsi" w:cs="Arial"/>
          <w:b/>
          <w:bCs/>
        </w:rPr>
        <w:t>o poskytování datových komunikačních služeb č. 2400556/4100065665</w:t>
      </w:r>
      <w:r>
        <w:rPr>
          <w:rFonts w:cs="Arial"/>
          <w:b/>
          <w:bCs/>
        </w:rPr>
        <w:t xml:space="preserve"> </w:t>
      </w:r>
      <w:r>
        <w:rPr>
          <w:rFonts w:eastAsiaTheme="minorHAnsi" w:cs="Arial"/>
        </w:rPr>
        <w:t>uzavřené dne 11. 6. 2025 mezi níže uvedenými smluvními stranami</w:t>
      </w:r>
    </w:p>
    <w:p w14:paraId="63DE2AF2" w14:textId="77777777" w:rsidR="001302A0" w:rsidRDefault="0099512B">
      <w:pPr>
        <w:spacing w:line="276" w:lineRule="auto"/>
        <w:jc w:val="center"/>
        <w:rPr>
          <w:rFonts w:eastAsiaTheme="minorHAnsi" w:cs="Arial"/>
        </w:rPr>
      </w:pPr>
      <w:r>
        <w:rPr>
          <w:rFonts w:eastAsiaTheme="minorHAnsi" w:cs="Arial"/>
        </w:rPr>
        <w:t>(dále jen „</w:t>
      </w:r>
      <w:r>
        <w:rPr>
          <w:rFonts w:eastAsiaTheme="minorHAnsi" w:cs="Arial"/>
          <w:b/>
        </w:rPr>
        <w:t>Smlouva</w:t>
      </w:r>
      <w:r>
        <w:rPr>
          <w:rFonts w:eastAsiaTheme="minorHAnsi" w:cs="Arial"/>
        </w:rPr>
        <w:t>” a „</w:t>
      </w:r>
      <w:r>
        <w:rPr>
          <w:rFonts w:eastAsiaTheme="minorHAnsi" w:cs="Arial"/>
          <w:b/>
        </w:rPr>
        <w:t>Dodatek č. 1</w:t>
      </w:r>
      <w:r>
        <w:rPr>
          <w:rFonts w:eastAsiaTheme="minorHAnsi" w:cs="Arial"/>
        </w:rPr>
        <w:t>“)</w:t>
      </w:r>
    </w:p>
    <w:p w14:paraId="5D227315" w14:textId="77777777" w:rsidR="001302A0" w:rsidRDefault="0099512B">
      <w:pPr>
        <w:spacing w:after="120" w:line="276" w:lineRule="auto"/>
        <w:jc w:val="center"/>
        <w:rPr>
          <w:rFonts w:eastAsiaTheme="minorHAnsi" w:cs="Arial"/>
          <w:b/>
          <w:bCs/>
        </w:rPr>
      </w:pPr>
      <w:r>
        <w:rPr>
          <w:rFonts w:eastAsiaTheme="minorHAnsi" w:cs="Arial"/>
        </w:rPr>
        <w:t xml:space="preserve">evidován VZP ČR pod ID: </w:t>
      </w:r>
      <w:r>
        <w:rPr>
          <w:rFonts w:eastAsiaTheme="minorHAnsi" w:cs="Arial"/>
          <w:b/>
          <w:bCs/>
        </w:rPr>
        <w:t>2501156</w:t>
      </w:r>
    </w:p>
    <w:p w14:paraId="0DA5DF6C" w14:textId="77777777" w:rsidR="001302A0" w:rsidRDefault="001302A0">
      <w:pPr>
        <w:spacing w:after="120" w:line="276" w:lineRule="auto"/>
        <w:jc w:val="left"/>
        <w:rPr>
          <w:rFonts w:eastAsiaTheme="minorHAnsi" w:cs="Arial"/>
        </w:rPr>
      </w:pPr>
    </w:p>
    <w:p w14:paraId="2F78F034" w14:textId="77777777" w:rsidR="001302A0" w:rsidRDefault="0099512B">
      <w:pPr>
        <w:spacing w:after="120" w:line="276" w:lineRule="auto"/>
        <w:jc w:val="left"/>
        <w:rPr>
          <w:rFonts w:eastAsiaTheme="minorHAnsi" w:cs="Arial"/>
        </w:rPr>
      </w:pPr>
      <w:r>
        <w:rPr>
          <w:rFonts w:eastAsiaTheme="minorHAnsi" w:cs="Arial"/>
          <w:b/>
          <w:bCs/>
        </w:rPr>
        <w:t xml:space="preserve">Smluvní strany </w:t>
      </w:r>
    </w:p>
    <w:p w14:paraId="4DA3B6AF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  <w:b/>
          <w:bCs/>
        </w:rPr>
      </w:pPr>
      <w:r>
        <w:rPr>
          <w:rFonts w:eastAsiaTheme="minorHAnsi" w:cs="Arial"/>
          <w:b/>
          <w:bCs/>
        </w:rPr>
        <w:t xml:space="preserve">Všeobecná zdravotní pojišťovna České republiky </w:t>
      </w:r>
    </w:p>
    <w:p w14:paraId="1CA42F78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se sídlem: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Orlická 2020/4, 130 00 Praha 3 </w:t>
      </w:r>
    </w:p>
    <w:p w14:paraId="61BDC48A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kterou zastupuje: </w:t>
      </w:r>
      <w:r>
        <w:rPr>
          <w:rFonts w:eastAsiaTheme="minorHAnsi" w:cs="Arial"/>
        </w:rPr>
        <w:tab/>
        <w:t>Ing. Zdeněk Kabátek, ředitel VZP ČR</w:t>
      </w:r>
    </w:p>
    <w:p w14:paraId="4829D9F1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IČO: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411 97 518 </w:t>
      </w:r>
    </w:p>
    <w:p w14:paraId="089ADD67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DIČ: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CZ41197518 </w:t>
      </w:r>
    </w:p>
    <w:p w14:paraId="382C6CA5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bankovní spojení: </w:t>
      </w:r>
      <w:r>
        <w:rPr>
          <w:rFonts w:eastAsiaTheme="minorHAnsi" w:cs="Arial"/>
        </w:rPr>
        <w:tab/>
        <w:t xml:space="preserve">Česká národní banka, Praha 1, Na Příkopě 28 </w:t>
      </w:r>
    </w:p>
    <w:p w14:paraId="1B50C093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číslo účtu: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1110205001/0710 </w:t>
      </w:r>
    </w:p>
    <w:p w14:paraId="03F87796" w14:textId="77777777" w:rsidR="001302A0" w:rsidRDefault="0099512B">
      <w:pPr>
        <w:spacing w:after="120" w:line="276" w:lineRule="auto"/>
        <w:contextualSpacing/>
        <w:jc w:val="left"/>
        <w:rPr>
          <w:rFonts w:cs="Arial"/>
        </w:rPr>
      </w:pPr>
      <w:r>
        <w:rPr>
          <w:rFonts w:cs="Arial"/>
        </w:rPr>
        <w:t>datová schránka:</w:t>
      </w:r>
      <w:r>
        <w:rPr>
          <w:rFonts w:cs="Arial"/>
        </w:rPr>
        <w:tab/>
        <w:t>i48ae3q</w:t>
      </w:r>
    </w:p>
    <w:p w14:paraId="6E106119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zřízena zákonem č. 551/1991 Sb., o Všeobecné zdravotní pojišťovně České republiky, ve znění pozdějších předpisů </w:t>
      </w:r>
    </w:p>
    <w:p w14:paraId="0569F159" w14:textId="77777777" w:rsidR="001302A0" w:rsidRDefault="001302A0">
      <w:pPr>
        <w:spacing w:after="120" w:line="276" w:lineRule="auto"/>
        <w:contextualSpacing/>
        <w:jc w:val="left"/>
        <w:rPr>
          <w:rFonts w:eastAsiaTheme="minorHAnsi" w:cs="Arial"/>
        </w:rPr>
      </w:pPr>
    </w:p>
    <w:p w14:paraId="4C5CA126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>(dále jen „</w:t>
      </w:r>
      <w:r>
        <w:rPr>
          <w:rFonts w:eastAsiaTheme="minorHAnsi" w:cs="Arial"/>
          <w:b/>
          <w:bCs/>
        </w:rPr>
        <w:t>Objednatel</w:t>
      </w:r>
      <w:r>
        <w:rPr>
          <w:rFonts w:eastAsiaTheme="minorHAnsi" w:cs="Arial"/>
        </w:rPr>
        <w:t>“</w:t>
      </w:r>
      <w:r>
        <w:rPr>
          <w:rFonts w:eastAsiaTheme="minorHAnsi" w:cs="Arial"/>
        </w:rPr>
        <w:t xml:space="preserve"> nebo „</w:t>
      </w:r>
      <w:r>
        <w:rPr>
          <w:rFonts w:eastAsiaTheme="minorHAnsi" w:cs="Arial"/>
          <w:b/>
          <w:bCs/>
        </w:rPr>
        <w:t>VZP ČR“</w:t>
      </w:r>
      <w:r>
        <w:rPr>
          <w:rFonts w:eastAsiaTheme="minorHAnsi" w:cs="Arial"/>
        </w:rPr>
        <w:t xml:space="preserve">) </w:t>
      </w:r>
    </w:p>
    <w:p w14:paraId="189F0307" w14:textId="77777777" w:rsidR="001302A0" w:rsidRDefault="001302A0">
      <w:pPr>
        <w:spacing w:after="120" w:line="276" w:lineRule="auto"/>
        <w:contextualSpacing/>
        <w:jc w:val="left"/>
        <w:rPr>
          <w:rFonts w:eastAsiaTheme="minorHAnsi" w:cs="Arial"/>
        </w:rPr>
      </w:pPr>
    </w:p>
    <w:p w14:paraId="2743DD51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a </w:t>
      </w:r>
    </w:p>
    <w:p w14:paraId="718E219F" w14:textId="77777777" w:rsidR="001302A0" w:rsidRDefault="001302A0">
      <w:pPr>
        <w:spacing w:after="120" w:line="276" w:lineRule="auto"/>
        <w:contextualSpacing/>
        <w:jc w:val="left"/>
        <w:rPr>
          <w:rFonts w:eastAsiaTheme="minorHAnsi" w:cs="Arial"/>
        </w:rPr>
      </w:pPr>
    </w:p>
    <w:p w14:paraId="74ACCF9D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  <w:b/>
          <w:bCs/>
        </w:rPr>
        <w:t xml:space="preserve">O2 Czech Republic a.s. </w:t>
      </w:r>
    </w:p>
    <w:p w14:paraId="24A5A7CF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se sídlem: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Praha 4 – Michle, Za Brumlovkou 266/2, PSČ 14022 </w:t>
      </w:r>
    </w:p>
    <w:p w14:paraId="022367BA" w14:textId="77777777" w:rsidR="001302A0" w:rsidRDefault="0099512B">
      <w:pPr>
        <w:spacing w:after="120" w:line="276" w:lineRule="auto"/>
        <w:ind w:left="2120" w:hanging="2120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kterou zastupuje: </w:t>
      </w:r>
      <w:r>
        <w:rPr>
          <w:rFonts w:eastAsiaTheme="minorHAnsi" w:cs="Arial"/>
        </w:rPr>
        <w:tab/>
        <w:t xml:space="preserve">XXXXXXXXXX, </w:t>
      </w:r>
      <w:proofErr w:type="spellStart"/>
      <w:r>
        <w:rPr>
          <w:rFonts w:eastAsiaTheme="minorHAnsi" w:cs="Arial"/>
        </w:rPr>
        <w:t>Key</w:t>
      </w:r>
      <w:proofErr w:type="spellEnd"/>
      <w:r>
        <w:rPr>
          <w:rFonts w:eastAsiaTheme="minorHAnsi" w:cs="Arial"/>
        </w:rPr>
        <w:t xml:space="preserve"> </w:t>
      </w:r>
      <w:proofErr w:type="spellStart"/>
      <w:r>
        <w:rPr>
          <w:rFonts w:eastAsiaTheme="minorHAnsi" w:cs="Arial"/>
        </w:rPr>
        <w:t>Account</w:t>
      </w:r>
      <w:proofErr w:type="spellEnd"/>
      <w:r>
        <w:rPr>
          <w:rFonts w:eastAsiaTheme="minorHAnsi" w:cs="Arial"/>
        </w:rPr>
        <w:t xml:space="preserve"> Manager,</w:t>
      </w:r>
    </w:p>
    <w:p w14:paraId="234EEE8A" w14:textId="77777777" w:rsidR="001302A0" w:rsidRDefault="0099512B">
      <w:pPr>
        <w:spacing w:after="120" w:line="276" w:lineRule="auto"/>
        <w:ind w:left="2120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>na základě pověření ze dne 23. 1. 2026</w:t>
      </w:r>
    </w:p>
    <w:p w14:paraId="2621DECE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IČO: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60193336 </w:t>
      </w:r>
    </w:p>
    <w:p w14:paraId="7C6D57EE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DIČ: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CZ60193336 </w:t>
      </w:r>
    </w:p>
    <w:p w14:paraId="09D3302A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bankovní spojení: </w:t>
      </w:r>
      <w:r>
        <w:rPr>
          <w:rFonts w:eastAsiaTheme="minorHAnsi" w:cs="Arial"/>
        </w:rPr>
        <w:tab/>
        <w:t xml:space="preserve">Komerční banka </w:t>
      </w:r>
    </w:p>
    <w:p w14:paraId="05EB618D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číslo účtu: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27-4908440207/0100 </w:t>
      </w:r>
    </w:p>
    <w:p w14:paraId="320A0ABB" w14:textId="77777777" w:rsidR="001302A0" w:rsidRDefault="0099512B">
      <w:pPr>
        <w:spacing w:after="120" w:line="276" w:lineRule="auto"/>
        <w:contextualSpacing/>
        <w:jc w:val="left"/>
        <w:rPr>
          <w:rFonts w:cs="Arial"/>
        </w:rPr>
      </w:pPr>
      <w:r>
        <w:rPr>
          <w:rFonts w:cs="Arial"/>
        </w:rPr>
        <w:t>datová schránka:</w:t>
      </w:r>
      <w:r>
        <w:rPr>
          <w:rFonts w:cs="Arial"/>
        </w:rPr>
        <w:tab/>
        <w:t>d79ch2h</w:t>
      </w:r>
    </w:p>
    <w:p w14:paraId="464A7DBA" w14:textId="77777777" w:rsidR="001302A0" w:rsidRDefault="0099512B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zapsána v obchodním rejstříku vedeném Městským soudem v Praze, oddíl B, vložka 2322 </w:t>
      </w:r>
    </w:p>
    <w:p w14:paraId="32C62196" w14:textId="77777777" w:rsidR="001302A0" w:rsidRDefault="001302A0">
      <w:pPr>
        <w:spacing w:after="120" w:line="276" w:lineRule="auto"/>
        <w:contextualSpacing/>
        <w:jc w:val="left"/>
        <w:rPr>
          <w:rFonts w:eastAsiaTheme="minorHAnsi" w:cs="Arial"/>
        </w:rPr>
      </w:pPr>
    </w:p>
    <w:p w14:paraId="7603493C" w14:textId="77777777" w:rsidR="001302A0" w:rsidRDefault="0099512B">
      <w:pPr>
        <w:spacing w:after="120" w:line="276" w:lineRule="auto"/>
        <w:jc w:val="left"/>
        <w:rPr>
          <w:rFonts w:eastAsiaTheme="minorHAnsi" w:cs="Arial"/>
        </w:rPr>
      </w:pPr>
      <w:r>
        <w:rPr>
          <w:rFonts w:eastAsiaTheme="minorHAnsi" w:cs="Arial"/>
        </w:rPr>
        <w:t>(dále jen „</w:t>
      </w:r>
      <w:r>
        <w:rPr>
          <w:rFonts w:eastAsiaTheme="minorHAnsi" w:cs="Arial"/>
          <w:b/>
          <w:bCs/>
        </w:rPr>
        <w:t>Poskytovatel</w:t>
      </w:r>
      <w:r>
        <w:rPr>
          <w:rFonts w:eastAsiaTheme="minorHAnsi" w:cs="Arial"/>
        </w:rPr>
        <w:t xml:space="preserve">“) </w:t>
      </w:r>
    </w:p>
    <w:p w14:paraId="771D8984" w14:textId="77777777" w:rsidR="001302A0" w:rsidRDefault="0099512B">
      <w:pPr>
        <w:spacing w:after="120" w:line="276" w:lineRule="auto"/>
        <w:jc w:val="left"/>
        <w:rPr>
          <w:rFonts w:eastAsiaTheme="minorHAnsi" w:cs="Arial"/>
        </w:rPr>
      </w:pPr>
      <w:r>
        <w:rPr>
          <w:rFonts w:eastAsiaTheme="minorHAnsi" w:cs="Arial"/>
        </w:rPr>
        <w:t>(společně též „</w:t>
      </w:r>
      <w:r>
        <w:rPr>
          <w:rFonts w:eastAsiaTheme="minorHAnsi" w:cs="Arial"/>
          <w:b/>
          <w:bCs/>
        </w:rPr>
        <w:t>Smluvní strany</w:t>
      </w:r>
      <w:r>
        <w:rPr>
          <w:rFonts w:eastAsiaTheme="minorHAnsi" w:cs="Arial"/>
        </w:rPr>
        <w:t>“)</w:t>
      </w:r>
    </w:p>
    <w:p w14:paraId="43317D92" w14:textId="77777777" w:rsidR="001302A0" w:rsidRDefault="001302A0">
      <w:pPr>
        <w:spacing w:line="276" w:lineRule="auto"/>
        <w:jc w:val="center"/>
        <w:rPr>
          <w:rFonts w:eastAsiaTheme="minorHAnsi" w:cs="Arial"/>
        </w:rPr>
      </w:pPr>
    </w:p>
    <w:p w14:paraId="5CAB242D" w14:textId="77777777" w:rsidR="001302A0" w:rsidRDefault="0099512B">
      <w:pPr>
        <w:pStyle w:val="Odstavecseseznamem"/>
        <w:numPr>
          <w:ilvl w:val="0"/>
          <w:numId w:val="3"/>
        </w:numPr>
        <w:spacing w:after="120" w:line="276" w:lineRule="auto"/>
        <w:jc w:val="center"/>
        <w:rPr>
          <w:rFonts w:eastAsiaTheme="minorHAnsi" w:cs="Arial"/>
          <w:b/>
        </w:rPr>
      </w:pPr>
      <w:r>
        <w:rPr>
          <w:rFonts w:eastAsiaTheme="minorHAnsi" w:cs="Arial"/>
          <w:b/>
        </w:rPr>
        <w:t>Preambule</w:t>
      </w:r>
    </w:p>
    <w:p w14:paraId="2C97BFE5" w14:textId="77777777" w:rsidR="001302A0" w:rsidRDefault="0099512B">
      <w:pPr>
        <w:pStyle w:val="Nadpis2"/>
        <w:rPr>
          <w:rFonts w:eastAsiaTheme="minorHAnsi"/>
        </w:rPr>
      </w:pPr>
      <w:r>
        <w:rPr>
          <w:rFonts w:eastAsiaTheme="minorHAnsi"/>
        </w:rPr>
        <w:t>Předmětná Smlouva byla uzavřena mezi výše uvedenými Smluvními stranami dne 11. 6. 2025 s účinností od 1. 7. 2025.</w:t>
      </w:r>
    </w:p>
    <w:p w14:paraId="54A97D18" w14:textId="77777777" w:rsidR="001302A0" w:rsidRDefault="0099512B">
      <w:pPr>
        <w:pStyle w:val="Nadpis2"/>
        <w:rPr>
          <w:rFonts w:eastAsiaTheme="minorHAnsi"/>
        </w:rPr>
      </w:pPr>
      <w:r>
        <w:rPr>
          <w:rFonts w:eastAsiaTheme="minorHAnsi"/>
        </w:rPr>
        <w:t>Smlouva byla uzavřena na základě výsledku otevřeného zadávacího řízení na nadlimitní veřejnou zakázku s názvem „</w:t>
      </w:r>
      <w:r>
        <w:rPr>
          <w:rFonts w:eastAsiaTheme="minorHAnsi"/>
          <w:b/>
        </w:rPr>
        <w:t>Internetové WAN link</w:t>
      </w:r>
      <w:r>
        <w:rPr>
          <w:rFonts w:eastAsiaTheme="minorHAnsi"/>
          <w:b/>
        </w:rPr>
        <w:t>y</w:t>
      </w:r>
      <w:r>
        <w:rPr>
          <w:rFonts w:eastAsiaTheme="minorHAnsi"/>
        </w:rPr>
        <w:t>“, evidovanou VZP ČR pod číslem ID VZ: 2400556 (dále jen „</w:t>
      </w:r>
      <w:r>
        <w:rPr>
          <w:rFonts w:eastAsiaTheme="minorHAnsi"/>
          <w:b/>
          <w:bCs w:val="0"/>
        </w:rPr>
        <w:t>Původní VZ</w:t>
      </w:r>
      <w:r>
        <w:rPr>
          <w:rFonts w:eastAsiaTheme="minorHAnsi"/>
        </w:rPr>
        <w:t xml:space="preserve">“). </w:t>
      </w:r>
    </w:p>
    <w:p w14:paraId="0530F7CF" w14:textId="77777777" w:rsidR="001302A0" w:rsidRDefault="001302A0">
      <w:pPr>
        <w:spacing w:after="120" w:line="276" w:lineRule="auto"/>
        <w:ind w:left="360"/>
        <w:rPr>
          <w:rFonts w:eastAsiaTheme="minorHAnsi" w:cs="Arial"/>
        </w:rPr>
      </w:pPr>
    </w:p>
    <w:p w14:paraId="429F7DDE" w14:textId="77777777" w:rsidR="001302A0" w:rsidRDefault="0099512B">
      <w:pPr>
        <w:pStyle w:val="Nadpis1"/>
        <w:rPr>
          <w:rFonts w:eastAsiaTheme="minorHAnsi"/>
        </w:rPr>
      </w:pPr>
      <w:r>
        <w:rPr>
          <w:rFonts w:eastAsiaTheme="minorHAnsi"/>
        </w:rPr>
        <w:t>Úvodní ustanovení</w:t>
      </w:r>
    </w:p>
    <w:p w14:paraId="7BAC73EE" w14:textId="77777777" w:rsidR="001302A0" w:rsidRDefault="0099512B">
      <w:pPr>
        <w:pStyle w:val="Nadpis2"/>
        <w:rPr>
          <w:rFonts w:eastAsiaTheme="minorHAnsi"/>
        </w:rPr>
      </w:pPr>
      <w:r>
        <w:rPr>
          <w:rFonts w:eastAsiaTheme="minorHAnsi"/>
        </w:rPr>
        <w:t>Objednatel si v zadávací dokumentaci k Původní VZ vyhradil v souladu s § 100 odst. 3 zákona č. 134/2016 Sb., o zadávání veřejných zakázek, ve znění pozdějších před</w:t>
      </w:r>
      <w:r>
        <w:rPr>
          <w:rFonts w:eastAsiaTheme="minorHAnsi"/>
        </w:rPr>
        <w:t xml:space="preserve">pisů (dále jen „ZZVZ“) možnost použití jednacího řízení bez uveřejnění dle § 66 ZZVZ pro poskytnutí služeb ve smyslu čl. III. Smlouvy. </w:t>
      </w:r>
    </w:p>
    <w:p w14:paraId="21E859D7" w14:textId="77777777" w:rsidR="001302A0" w:rsidRDefault="0099512B">
      <w:pPr>
        <w:pStyle w:val="Nadpis2"/>
        <w:rPr>
          <w:rFonts w:eastAsiaTheme="minorHAnsi"/>
          <w:i/>
        </w:rPr>
      </w:pPr>
      <w:r>
        <w:rPr>
          <w:rFonts w:eastAsiaTheme="minorHAnsi"/>
        </w:rPr>
        <w:t>Objednatel si vyhradil právo na poskytování nových Služeb, resp. na změnu poskytování stávajících Služeb. Výhrada změn S</w:t>
      </w:r>
      <w:r>
        <w:rPr>
          <w:rFonts w:eastAsiaTheme="minorHAnsi"/>
        </w:rPr>
        <w:t xml:space="preserve">lužeb je uvedena v čl. IV. odst. 2. Smlouvy. Jednou z vyhrazených změn Služeb je, cit.: </w:t>
      </w:r>
      <w:r>
        <w:rPr>
          <w:rFonts w:eastAsiaTheme="minorHAnsi"/>
          <w:i/>
        </w:rPr>
        <w:t>„Poskytování nové Služby vč. zřízení a aktivace Služby a poskytování souvisejících služeb v lokalitě neuvedené v Příloze č. 3 nebo v Příloze č. 4 Smlouvy, tj. v případě</w:t>
      </w:r>
      <w:r>
        <w:rPr>
          <w:rFonts w:eastAsiaTheme="minorHAnsi"/>
          <w:i/>
        </w:rPr>
        <w:t xml:space="preserve"> že Objednatel bude požadovat poskytování Služeb dle článku III. Smlouvy v lokalitě neuvedené v Příloze č. 3 nebo v Příloze č. 4 Smlouvy;</w:t>
      </w:r>
      <w:r>
        <w:rPr>
          <w:rFonts w:eastAsiaTheme="minorHAnsi"/>
        </w:rPr>
        <w:t>“.</w:t>
      </w:r>
    </w:p>
    <w:p w14:paraId="69CB41A1" w14:textId="77777777" w:rsidR="001302A0" w:rsidRDefault="0099512B">
      <w:pPr>
        <w:pStyle w:val="Nadpis2"/>
        <w:rPr>
          <w:rFonts w:eastAsiaTheme="minorHAnsi"/>
        </w:rPr>
      </w:pPr>
      <w:r>
        <w:rPr>
          <w:rFonts w:eastAsiaTheme="minorHAnsi"/>
        </w:rPr>
        <w:t>Tento Dodatek č. 1 se uzavírá na základě výsledku veřejné zakázky s názvem „Dodatek č. 1 ke Smlouvě o poskytování da</w:t>
      </w:r>
      <w:r>
        <w:rPr>
          <w:rFonts w:eastAsiaTheme="minorHAnsi"/>
        </w:rPr>
        <w:t xml:space="preserve">tových komunikačních služeb č. 2400556/4100065665“ evidované VZP ČR pod číslem ID VZ </w:t>
      </w:r>
      <w:r>
        <w:rPr>
          <w:kern w:val="32"/>
        </w:rPr>
        <w:t>2501156</w:t>
      </w:r>
      <w:r>
        <w:rPr>
          <w:rFonts w:eastAsiaTheme="minorHAnsi"/>
        </w:rPr>
        <w:t xml:space="preserve">, zadávané v souladu s ustanovením § 66 ve spojení s § 100 odst. 3 ZZVZ v jednacím řízení bez uveřejnění. </w:t>
      </w:r>
    </w:p>
    <w:p w14:paraId="35A1A3FE" w14:textId="77777777" w:rsidR="001302A0" w:rsidRDefault="0099512B">
      <w:pPr>
        <w:pStyle w:val="Nadpis2"/>
        <w:rPr>
          <w:rFonts w:eastAsiaTheme="minorHAnsi"/>
        </w:rPr>
      </w:pPr>
      <w:r>
        <w:rPr>
          <w:rFonts w:eastAsiaTheme="minorHAnsi"/>
        </w:rPr>
        <w:t>Pro výše uvedený způsob zadávacího řízení byly splněny vš</w:t>
      </w:r>
      <w:r>
        <w:rPr>
          <w:rFonts w:eastAsiaTheme="minorHAnsi"/>
        </w:rPr>
        <w:t>echny podmínky stanovené v § 66 ZZVZ.</w:t>
      </w:r>
    </w:p>
    <w:p w14:paraId="151D0D56" w14:textId="77777777" w:rsidR="001302A0" w:rsidRDefault="001302A0">
      <w:pPr>
        <w:rPr>
          <w:lang w:eastAsia="cs-CZ"/>
        </w:rPr>
      </w:pPr>
    </w:p>
    <w:p w14:paraId="1695495A" w14:textId="77777777" w:rsidR="001302A0" w:rsidRDefault="0099512B">
      <w:pPr>
        <w:pStyle w:val="Nadpis1"/>
        <w:rPr>
          <w:rFonts w:eastAsiaTheme="minorHAnsi"/>
        </w:rPr>
      </w:pPr>
      <w:r>
        <w:rPr>
          <w:rFonts w:eastAsiaTheme="minorHAnsi"/>
        </w:rPr>
        <w:t>Předmět plnění</w:t>
      </w:r>
    </w:p>
    <w:p w14:paraId="782BC281" w14:textId="77777777" w:rsidR="001302A0" w:rsidRDefault="0099512B">
      <w:pPr>
        <w:pStyle w:val="Nadpis2"/>
      </w:pPr>
      <w:r>
        <w:rPr>
          <w:rFonts w:eastAsiaTheme="minorHAnsi"/>
        </w:rPr>
        <w:t>Předmětem tohoto Dodatku č. 1 je zřízení nové Služby, tj. poskytování Služby vč. zřízení a aktivace Služby a poskytování souvisejících služeb v lokalitě</w:t>
      </w:r>
      <w:r>
        <w:t xml:space="preserve"> Francouzská třída 2079, 326 00 Plzeň.</w:t>
      </w:r>
    </w:p>
    <w:p w14:paraId="41D1D3A3" w14:textId="77777777" w:rsidR="001302A0" w:rsidRDefault="0099512B">
      <w:pPr>
        <w:pStyle w:val="Nadpis2"/>
        <w:rPr>
          <w:rFonts w:eastAsiaTheme="minorHAnsi" w:cs="Arial"/>
        </w:rPr>
      </w:pPr>
      <w:r>
        <w:rPr>
          <w:rFonts w:ascii="ArialMT" w:eastAsiaTheme="minorHAnsi" w:hAnsi="ArialMT" w:cs="ArialMT"/>
          <w:szCs w:val="20"/>
        </w:rPr>
        <w:t xml:space="preserve">Na základě </w:t>
      </w:r>
      <w:r>
        <w:rPr>
          <w:rFonts w:ascii="ArialMT" w:eastAsiaTheme="minorHAnsi" w:hAnsi="ArialMT" w:cs="ArialMT"/>
          <w:szCs w:val="20"/>
        </w:rPr>
        <w:t xml:space="preserve">výsledku výše uvedeného jednacího řízení je sjednána měsíční paušální cena pro fázi „1“ za poskytování Služeb pro lokalitu </w:t>
      </w:r>
      <w:r>
        <w:t>Francouzská třída 2079, 326 00 Plzeň</w:t>
      </w:r>
      <w:r>
        <w:rPr>
          <w:rFonts w:ascii="ArialMT" w:eastAsiaTheme="minorHAnsi" w:hAnsi="ArialMT" w:cs="ArialMT"/>
          <w:szCs w:val="20"/>
        </w:rPr>
        <w:t xml:space="preserve">                                ve výši </w:t>
      </w:r>
      <w:r>
        <w:rPr>
          <w:rFonts w:eastAsiaTheme="minorHAnsi" w:cs="Arial"/>
          <w:lang w:val="en-US"/>
        </w:rPr>
        <w:t xml:space="preserve">2 275 </w:t>
      </w:r>
      <w:r>
        <w:rPr>
          <w:rFonts w:ascii="ArialMT" w:eastAsiaTheme="minorHAnsi" w:hAnsi="ArialMT" w:cs="ArialMT"/>
          <w:szCs w:val="20"/>
        </w:rPr>
        <w:t xml:space="preserve">Kč bez DPH </w:t>
      </w:r>
      <w:r>
        <w:t xml:space="preserve">(slovy: dva tisíce dvě stě </w:t>
      </w:r>
      <w:r>
        <w:t>sedmdesát pět korun českých)</w:t>
      </w:r>
      <w:r>
        <w:rPr>
          <w:rFonts w:ascii="ArialMT" w:eastAsiaTheme="minorHAnsi" w:hAnsi="ArialMT" w:cs="ArialMT"/>
          <w:szCs w:val="20"/>
        </w:rPr>
        <w:t>. Měsíční paušální cena za poskytování Služeb v nové</w:t>
      </w:r>
      <w:r>
        <w:t xml:space="preserve"> </w:t>
      </w:r>
      <w:r>
        <w:rPr>
          <w:rFonts w:ascii="ArialMT" w:eastAsiaTheme="minorHAnsi" w:hAnsi="ArialMT" w:cs="ArialMT"/>
          <w:szCs w:val="20"/>
        </w:rPr>
        <w:t>lokalitě    zahrnuje též zřízení a aktivaci Služby.</w:t>
      </w:r>
      <w:r>
        <w:rPr>
          <w:rFonts w:eastAsiaTheme="minorHAnsi" w:cs="Arial"/>
        </w:rPr>
        <w:t xml:space="preserve"> </w:t>
      </w:r>
    </w:p>
    <w:p w14:paraId="29B0E8F6" w14:textId="77777777" w:rsidR="001302A0" w:rsidRDefault="0099512B">
      <w:pPr>
        <w:pStyle w:val="Nadpis2"/>
      </w:pPr>
      <w:r>
        <w:rPr>
          <w:rFonts w:ascii="ArialMT" w:eastAsiaTheme="minorHAnsi" w:hAnsi="ArialMT" w:cs="ArialMT"/>
          <w:szCs w:val="20"/>
        </w:rPr>
        <w:t xml:space="preserve">Poskytování nové Služby pro lokalitu </w:t>
      </w:r>
      <w:r>
        <w:t>Francouzská třída 2079, 326 00 Plzeň bude zahájeno dne 1. 6. 2026 (nebude-li mezi str</w:t>
      </w:r>
      <w:r>
        <w:t>anami dohodnuto zahájení dříve) po získání souhlasu od vlastníka objektu k výstavbě radiového spoje, společnosti Kopeckého pramen, a.s., IČO 27962857, se sídlem Kotíkovská 927/19, Severní Předměstí, 323 00 Plzeň (dále jen „</w:t>
      </w:r>
      <w:r>
        <w:rPr>
          <w:b/>
          <w:bCs w:val="0"/>
        </w:rPr>
        <w:t>Vlastník objektu</w:t>
      </w:r>
      <w:r>
        <w:t>“). Pokud Poskyto</w:t>
      </w:r>
      <w:r>
        <w:t xml:space="preserve">vatel nezíská souhlas Vlastníka objektu do 4 týdnů od nabytí účinnosti Dodatku č. 1, nebo se prokazatelně dozví o jeho nezískání, bude se postupovat dle čl. VIII. bodů 5 a 6 Smlouvy. </w:t>
      </w:r>
    </w:p>
    <w:p w14:paraId="02E5E98E" w14:textId="77777777" w:rsidR="001302A0" w:rsidRDefault="0099512B">
      <w:pPr>
        <w:spacing w:after="120" w:line="276" w:lineRule="auto"/>
        <w:rPr>
          <w:rFonts w:eastAsiaTheme="minorHAnsi" w:cs="Arial"/>
        </w:rPr>
      </w:pPr>
      <w:r>
        <w:t>Přílohou tohoto Dodatku č. 1 je Příloha č. 3 Smlouvy (aktualizovaná) – T</w:t>
      </w:r>
      <w:r>
        <w:t xml:space="preserve">abulka lokalit, technických parametrů a cen poskytovaných služeb pro FÁZI 1, která </w:t>
      </w:r>
      <w:r>
        <w:rPr>
          <w:rFonts w:eastAsiaTheme="minorHAnsi" w:cs="Arial"/>
        </w:rPr>
        <w:t xml:space="preserve">se stává nedílnou součástí Smlouvy a nahrazuje původní Přílohu č. 3 Smlouvy – </w:t>
      </w:r>
      <w:r>
        <w:t>Tabulka lokalit, technických parametrů a cen poskytovaných služeb pro FÁZI 1. V této Příloze č.</w:t>
      </w:r>
      <w:r>
        <w:t xml:space="preserve"> 3 je nově uvedena lokalita Francouzská třída 2079, 326 00 Plzeň</w:t>
      </w:r>
      <w:r>
        <w:rPr>
          <w:rFonts w:eastAsiaTheme="minorHAnsi" w:cs="Arial"/>
        </w:rPr>
        <w:t xml:space="preserve">, včetně uvedení Požadované přenosové kapacity [Mbit/s], SLA – minimální požadovaná dostupnost, měsíční paušální ceny za přípojku [Kč – bez DPH] a vlastník objektu. </w:t>
      </w:r>
    </w:p>
    <w:p w14:paraId="493DAB4D" w14:textId="77777777" w:rsidR="001302A0" w:rsidRDefault="001302A0">
      <w:pPr>
        <w:spacing w:after="120" w:line="276" w:lineRule="auto"/>
      </w:pPr>
    </w:p>
    <w:p w14:paraId="5DE18416" w14:textId="77777777" w:rsidR="001302A0" w:rsidRDefault="0099512B">
      <w:pPr>
        <w:pStyle w:val="Nadpis1"/>
        <w:rPr>
          <w:rFonts w:eastAsiaTheme="minorHAnsi"/>
        </w:rPr>
      </w:pPr>
      <w:r>
        <w:rPr>
          <w:rFonts w:eastAsiaTheme="minorHAnsi"/>
        </w:rPr>
        <w:t>Závěrečná ujednání</w:t>
      </w:r>
    </w:p>
    <w:p w14:paraId="2F952C0A" w14:textId="77777777" w:rsidR="001302A0" w:rsidRDefault="0099512B">
      <w:pPr>
        <w:pStyle w:val="Nadpis2"/>
        <w:ind w:left="578" w:hanging="578"/>
        <w:rPr>
          <w:rFonts w:eastAsiaTheme="minorHAnsi" w:cs="Arial"/>
        </w:rPr>
      </w:pPr>
      <w:r>
        <w:rPr>
          <w:rFonts w:eastAsiaTheme="minorHAnsi"/>
        </w:rPr>
        <w:t xml:space="preserve">Tento </w:t>
      </w:r>
      <w:r>
        <w:rPr>
          <w:rFonts w:eastAsiaTheme="minorHAnsi"/>
        </w:rPr>
        <w:t xml:space="preserve">Dodatek č. </w:t>
      </w:r>
      <w:r>
        <w:rPr>
          <w:rFonts w:eastAsiaTheme="minorHAnsi" w:cs="Arial"/>
        </w:rPr>
        <w:t xml:space="preserve">1 </w:t>
      </w:r>
      <w:r>
        <w:rPr>
          <w:rFonts w:eastAsiaTheme="minorHAnsi"/>
        </w:rPr>
        <w:t xml:space="preserve">nabývá platnosti dnem podpisu poslední </w:t>
      </w:r>
      <w:r>
        <w:rPr>
          <w:rFonts w:eastAsiaTheme="minorHAnsi" w:cs="Arial"/>
        </w:rPr>
        <w:t>S</w:t>
      </w:r>
      <w:r>
        <w:rPr>
          <w:rFonts w:eastAsiaTheme="minorHAnsi"/>
        </w:rPr>
        <w:t xml:space="preserve">mluvní stranou a účinnosti </w:t>
      </w:r>
      <w:r>
        <w:rPr>
          <w:rFonts w:eastAsiaTheme="minorHAnsi" w:cs="Arial"/>
        </w:rPr>
        <w:t xml:space="preserve">dnem </w:t>
      </w:r>
      <w:r>
        <w:rPr>
          <w:rFonts w:ascii="ArialMT" w:eastAsiaTheme="minorHAnsi" w:hAnsi="ArialMT" w:cs="ArialMT"/>
          <w:szCs w:val="20"/>
        </w:rPr>
        <w:t xml:space="preserve">uveřejnění v </w:t>
      </w:r>
      <w:r>
        <w:rPr>
          <w:rFonts w:eastAsiaTheme="minorHAnsi" w:cs="Arial"/>
          <w:szCs w:val="20"/>
        </w:rPr>
        <w:t>registru smluv. Zahájení poskytování služeb se řídí ustanovením bodu 3.3 tohoto Dodatku č. 1.</w:t>
      </w:r>
    </w:p>
    <w:p w14:paraId="08C752A1" w14:textId="77777777" w:rsidR="001302A0" w:rsidRDefault="0099512B">
      <w:pPr>
        <w:pStyle w:val="Nadpis2"/>
        <w:ind w:left="578" w:hanging="578"/>
        <w:rPr>
          <w:rFonts w:eastAsiaTheme="minorHAnsi"/>
        </w:rPr>
      </w:pPr>
      <w:r>
        <w:rPr>
          <w:rFonts w:eastAsiaTheme="minorHAnsi"/>
        </w:rPr>
        <w:t xml:space="preserve">Tento Dodatek č. </w:t>
      </w:r>
      <w:r>
        <w:rPr>
          <w:rFonts w:eastAsiaTheme="minorHAnsi" w:cs="Arial"/>
        </w:rPr>
        <w:t xml:space="preserve">1 </w:t>
      </w:r>
      <w:r>
        <w:rPr>
          <w:rFonts w:eastAsiaTheme="minorHAnsi"/>
        </w:rPr>
        <w:t>se stává nedílnou součástí Smlouvy. Veškerá u</w:t>
      </w:r>
      <w:r>
        <w:rPr>
          <w:rFonts w:eastAsiaTheme="minorHAnsi"/>
        </w:rPr>
        <w:t xml:space="preserve">jednání Smlouvy, která nejsou </w:t>
      </w:r>
      <w:r>
        <w:rPr>
          <w:rFonts w:ascii="ArialMT" w:eastAsiaTheme="minorHAnsi" w:hAnsi="ArialMT" w:cs="ArialMT"/>
          <w:szCs w:val="20"/>
        </w:rPr>
        <w:t>výslovně změněna tímto Dodatkem č</w:t>
      </w:r>
      <w:r>
        <w:rPr>
          <w:rFonts w:eastAsiaTheme="minorHAnsi" w:cs="Arial"/>
          <w:szCs w:val="20"/>
        </w:rPr>
        <w:t>. 1</w:t>
      </w:r>
      <w:r>
        <w:rPr>
          <w:rFonts w:ascii="ArialMT" w:eastAsiaTheme="minorHAnsi" w:hAnsi="ArialMT" w:cs="ArialMT"/>
          <w:szCs w:val="20"/>
        </w:rPr>
        <w:t>, zůstávají nadále platná a účinná</w:t>
      </w:r>
      <w:r>
        <w:rPr>
          <w:rFonts w:eastAsiaTheme="minorHAnsi" w:cs="Arial"/>
          <w:szCs w:val="20"/>
        </w:rPr>
        <w:t>.</w:t>
      </w:r>
    </w:p>
    <w:p w14:paraId="61B9998B" w14:textId="77777777" w:rsidR="001302A0" w:rsidRDefault="0099512B">
      <w:pPr>
        <w:pStyle w:val="Nadpis2"/>
        <w:ind w:left="578" w:hanging="578"/>
        <w:rPr>
          <w:rFonts w:eastAsiaTheme="minorHAnsi" w:cs="Arial"/>
        </w:rPr>
      </w:pPr>
      <w:r>
        <w:rPr>
          <w:rFonts w:eastAsiaTheme="minorHAnsi" w:cs="Arial"/>
        </w:rPr>
        <w:lastRenderedPageBreak/>
        <w:t xml:space="preserve"> </w:t>
      </w:r>
      <w:r>
        <w:rPr>
          <w:rFonts w:eastAsiaTheme="minorHAnsi"/>
        </w:rPr>
        <w:t>Nedílnou součástí tohoto Dodatku č. 1 je</w:t>
      </w:r>
      <w:r>
        <w:rPr>
          <w:rFonts w:eastAsiaTheme="minorHAnsi" w:cs="Arial"/>
        </w:rPr>
        <w:t xml:space="preserve"> </w:t>
      </w:r>
      <w:r>
        <w:rPr>
          <w:rFonts w:eastAsiaTheme="minorHAnsi"/>
        </w:rPr>
        <w:t>níže uvedená příloh</w:t>
      </w:r>
      <w:r>
        <w:rPr>
          <w:rFonts w:eastAsiaTheme="minorHAnsi" w:cs="Arial"/>
        </w:rPr>
        <w:t xml:space="preserve">a. </w:t>
      </w:r>
    </w:p>
    <w:p w14:paraId="28444609" w14:textId="77777777" w:rsidR="001302A0" w:rsidRDefault="0099512B">
      <w:pPr>
        <w:pStyle w:val="Odstavecseseznamem"/>
        <w:numPr>
          <w:ilvl w:val="0"/>
          <w:numId w:val="28"/>
        </w:numPr>
        <w:contextualSpacing w:val="0"/>
        <w:rPr>
          <w:lang w:eastAsia="cs-CZ"/>
        </w:rPr>
      </w:pPr>
      <w:r>
        <w:rPr>
          <w:lang w:eastAsia="cs-CZ"/>
        </w:rPr>
        <w:t>Příloha č. 3 Smlouvy (aktualizovaná) – Tabulka lokalit, technických parametrů a cen posky</w:t>
      </w:r>
      <w:r>
        <w:rPr>
          <w:lang w:eastAsia="cs-CZ"/>
        </w:rPr>
        <w:t>tovaných služeb pro FÁZI 1,</w:t>
      </w:r>
    </w:p>
    <w:p w14:paraId="5E3F8742" w14:textId="77777777" w:rsidR="001302A0" w:rsidRDefault="0099512B">
      <w:pPr>
        <w:pStyle w:val="Nadpis2"/>
        <w:ind w:left="578" w:hanging="578"/>
        <w:rPr>
          <w:rFonts w:eastAsiaTheme="minorHAnsi"/>
        </w:rPr>
      </w:pPr>
      <w:r>
        <w:rPr>
          <w:rFonts w:eastAsiaTheme="minorHAnsi"/>
        </w:rPr>
        <w:t xml:space="preserve">Tento Dodatek č. </w:t>
      </w:r>
      <w:r>
        <w:rPr>
          <w:rFonts w:eastAsiaTheme="minorHAnsi" w:cs="Arial"/>
        </w:rPr>
        <w:t xml:space="preserve">1 </w:t>
      </w:r>
      <w:r>
        <w:rPr>
          <w:rFonts w:eastAsiaTheme="minorHAnsi"/>
        </w:rPr>
        <w:t xml:space="preserve">se uzavírá písemně v elektronické podobě a je podepsán </w:t>
      </w:r>
      <w:r>
        <w:rPr>
          <w:rFonts w:ascii="ArialMT" w:eastAsiaTheme="minorHAnsi" w:hAnsi="ArialMT" w:cs="ArialMT"/>
          <w:szCs w:val="20"/>
        </w:rPr>
        <w:t xml:space="preserve">elektronickým podpisem dle zákona č. 297/2016 Sb., o službách vytvářejících důvěru pro elektronické transakce, ve znění pozdějších předpisů (dále jen „ZSVD“). Smluvní strany se dohodly, že Poskytovatel podepíše tento Dodatek č. </w:t>
      </w:r>
      <w:r>
        <w:rPr>
          <w:rFonts w:eastAsiaTheme="minorHAnsi" w:cs="Arial"/>
          <w:szCs w:val="20"/>
        </w:rPr>
        <w:t xml:space="preserve">1 </w:t>
      </w:r>
      <w:r>
        <w:rPr>
          <w:rFonts w:ascii="ArialMT" w:eastAsiaTheme="minorHAnsi" w:hAnsi="ArialMT" w:cs="ArialMT"/>
          <w:szCs w:val="20"/>
        </w:rPr>
        <w:t>uznávaným elektronickým po</w:t>
      </w:r>
      <w:r>
        <w:rPr>
          <w:rFonts w:ascii="ArialMT" w:eastAsiaTheme="minorHAnsi" w:hAnsi="ArialMT" w:cs="ArialMT"/>
          <w:szCs w:val="20"/>
        </w:rPr>
        <w:t xml:space="preserve">dpisem v souladu s § </w:t>
      </w:r>
      <w:r>
        <w:rPr>
          <w:rFonts w:eastAsiaTheme="minorHAnsi" w:cs="Arial"/>
          <w:szCs w:val="20"/>
        </w:rPr>
        <w:t xml:space="preserve">6 </w:t>
      </w:r>
      <w:r>
        <w:rPr>
          <w:rFonts w:ascii="ArialMT" w:eastAsiaTheme="minorHAnsi" w:hAnsi="ArialMT" w:cs="ArialMT"/>
          <w:szCs w:val="20"/>
        </w:rPr>
        <w:t xml:space="preserve">ZSVD; VZP ČR tento Dodatek č. </w:t>
      </w:r>
      <w:r>
        <w:rPr>
          <w:rFonts w:eastAsiaTheme="minorHAnsi" w:cs="Arial"/>
          <w:szCs w:val="20"/>
        </w:rPr>
        <w:t xml:space="preserve">1 </w:t>
      </w:r>
      <w:r>
        <w:rPr>
          <w:rFonts w:ascii="ArialMT" w:eastAsiaTheme="minorHAnsi" w:hAnsi="ArialMT" w:cs="ArialMT"/>
          <w:szCs w:val="20"/>
        </w:rPr>
        <w:t xml:space="preserve">podepíše v souladu s § 5 ZSVD kvalifikovaným elektronickým </w:t>
      </w:r>
      <w:r>
        <w:rPr>
          <w:rFonts w:eastAsiaTheme="minorHAnsi" w:cs="Arial"/>
          <w:szCs w:val="20"/>
        </w:rPr>
        <w:t>podpisem.</w:t>
      </w:r>
    </w:p>
    <w:p w14:paraId="4634CD76" w14:textId="77777777" w:rsidR="001302A0" w:rsidRDefault="0099512B">
      <w:pPr>
        <w:pStyle w:val="Nadpis2"/>
        <w:ind w:left="578" w:hanging="578"/>
        <w:rPr>
          <w:rFonts w:eastAsiaTheme="minorHAnsi"/>
        </w:rPr>
      </w:pPr>
      <w:r>
        <w:rPr>
          <w:rFonts w:eastAsiaTheme="minorHAnsi"/>
        </w:rPr>
        <w:t xml:space="preserve">Smluvní strany prohlašují, že si tento Dodatek č. </w:t>
      </w:r>
      <w:r>
        <w:rPr>
          <w:rFonts w:eastAsiaTheme="minorHAnsi" w:cs="Arial"/>
        </w:rPr>
        <w:t xml:space="preserve">1 </w:t>
      </w:r>
      <w:r>
        <w:rPr>
          <w:rFonts w:eastAsiaTheme="minorHAnsi"/>
        </w:rPr>
        <w:t xml:space="preserve">řádně přečetly, s jeho zněním souhlasí </w:t>
      </w:r>
      <w:r>
        <w:rPr>
          <w:rFonts w:eastAsiaTheme="minorHAnsi" w:cs="Arial"/>
          <w:szCs w:val="20"/>
        </w:rPr>
        <w:t xml:space="preserve">a na </w:t>
      </w:r>
      <w:r>
        <w:rPr>
          <w:rFonts w:ascii="ArialMT" w:eastAsiaTheme="minorHAnsi" w:hAnsi="ArialMT" w:cs="ArialMT"/>
          <w:szCs w:val="20"/>
        </w:rPr>
        <w:t>důkaz toho připojují své podpisy.</w:t>
      </w:r>
    </w:p>
    <w:p w14:paraId="72BB0394" w14:textId="77777777" w:rsidR="001302A0" w:rsidRDefault="001302A0">
      <w:pPr>
        <w:rPr>
          <w:lang w:eastAsia="cs-CZ"/>
        </w:rPr>
      </w:pPr>
    </w:p>
    <w:p w14:paraId="0B852B32" w14:textId="77777777" w:rsidR="001302A0" w:rsidRDefault="001302A0">
      <w:pPr>
        <w:spacing w:line="276" w:lineRule="auto"/>
        <w:jc w:val="left"/>
        <w:rPr>
          <w:rFonts w:eastAsiaTheme="minorHAnsi" w:cs="Arial"/>
        </w:rPr>
      </w:pPr>
    </w:p>
    <w:tbl>
      <w:tblPr>
        <w:tblW w:w="5078" w:type="pct"/>
        <w:tblInd w:w="-142" w:type="dxa"/>
        <w:tblLook w:val="0000" w:firstRow="0" w:lastRow="0" w:firstColumn="0" w:lastColumn="0" w:noHBand="0" w:noVBand="0"/>
      </w:tblPr>
      <w:tblGrid>
        <w:gridCol w:w="3713"/>
        <w:gridCol w:w="2353"/>
        <w:gridCol w:w="3148"/>
      </w:tblGrid>
      <w:tr w:rsidR="001302A0" w14:paraId="1D5E17AE" w14:textId="77777777">
        <w:tc>
          <w:tcPr>
            <w:tcW w:w="2015" w:type="pct"/>
          </w:tcPr>
          <w:p w14:paraId="0ED6DC55" w14:textId="77777777" w:rsidR="001302A0" w:rsidRDefault="0099512B">
            <w:pPr>
              <w:spacing w:line="276" w:lineRule="auto"/>
              <w:jc w:val="left"/>
              <w:rPr>
                <w:rFonts w:eastAsiaTheme="minorHAnsi" w:cs="Arial"/>
                <w:b/>
              </w:rPr>
            </w:pPr>
            <w:r>
              <w:rPr>
                <w:rFonts w:eastAsiaTheme="minorHAnsi" w:cs="Arial"/>
                <w:b/>
              </w:rPr>
              <w:t>Všeobecná zdravotní pojišťovna</w:t>
            </w:r>
            <w:r>
              <w:rPr>
                <w:rFonts w:eastAsiaTheme="minorHAnsi" w:cs="Arial"/>
                <w:b/>
              </w:rPr>
              <w:br/>
              <w:t>České republiky</w:t>
            </w:r>
          </w:p>
          <w:p w14:paraId="63CF6113" w14:textId="77777777" w:rsidR="001302A0" w:rsidRDefault="0099512B">
            <w:pPr>
              <w:spacing w:line="276" w:lineRule="auto"/>
              <w:jc w:val="left"/>
              <w:rPr>
                <w:rFonts w:eastAsiaTheme="minorHAnsi" w:cs="Arial"/>
                <w:bCs/>
                <w:i/>
                <w:iCs/>
              </w:rPr>
            </w:pPr>
            <w:r>
              <w:rPr>
                <w:rFonts w:eastAsiaTheme="minorHAnsi" w:cs="Arial"/>
                <w:bCs/>
                <w:i/>
                <w:iCs/>
              </w:rPr>
              <w:t>podepsáno elektronicky</w:t>
            </w:r>
          </w:p>
        </w:tc>
        <w:tc>
          <w:tcPr>
            <w:tcW w:w="1277" w:type="pct"/>
          </w:tcPr>
          <w:p w14:paraId="25CBF896" w14:textId="77777777" w:rsidR="001302A0" w:rsidRDefault="001302A0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1708" w:type="pct"/>
          </w:tcPr>
          <w:p w14:paraId="1D0C4E70" w14:textId="77777777" w:rsidR="001302A0" w:rsidRDefault="0099512B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  <w:b/>
                <w:bCs/>
              </w:rPr>
              <w:t xml:space="preserve">O2 Czech Republic a.s. </w:t>
            </w:r>
          </w:p>
          <w:p w14:paraId="7C29DE26" w14:textId="77777777" w:rsidR="001302A0" w:rsidRDefault="001302A0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/>
              </w:rPr>
            </w:pPr>
          </w:p>
          <w:p w14:paraId="6D3C523C" w14:textId="77777777" w:rsidR="001302A0" w:rsidRDefault="001302A0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/>
              </w:rPr>
            </w:pPr>
          </w:p>
          <w:p w14:paraId="3E2BC082" w14:textId="77777777" w:rsidR="001302A0" w:rsidRDefault="0099512B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Cs/>
                <w:i/>
                <w:iCs/>
              </w:rPr>
            </w:pPr>
            <w:r>
              <w:rPr>
                <w:rFonts w:eastAsiaTheme="minorHAnsi" w:cs="Arial"/>
                <w:bCs/>
                <w:i/>
                <w:iCs/>
              </w:rPr>
              <w:t>podepsáno elektronicky</w:t>
            </w:r>
          </w:p>
          <w:p w14:paraId="2F8506AE" w14:textId="77777777" w:rsidR="001302A0" w:rsidRDefault="001302A0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Cs/>
                <w:i/>
                <w:iCs/>
              </w:rPr>
            </w:pPr>
          </w:p>
        </w:tc>
      </w:tr>
      <w:tr w:rsidR="001302A0" w14:paraId="355FDF9B" w14:textId="77777777">
        <w:trPr>
          <w:trHeight w:val="80"/>
        </w:trPr>
        <w:tc>
          <w:tcPr>
            <w:tcW w:w="2015" w:type="pct"/>
          </w:tcPr>
          <w:p w14:paraId="3DBF3937" w14:textId="77777777" w:rsidR="001302A0" w:rsidRDefault="0099512B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Ing. Zdeněk Kabátek</w:t>
            </w:r>
          </w:p>
          <w:p w14:paraId="6C02C600" w14:textId="77777777" w:rsidR="001302A0" w:rsidRDefault="0099512B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ředitel VZP ČR                                                                    </w:t>
            </w:r>
          </w:p>
        </w:tc>
        <w:tc>
          <w:tcPr>
            <w:tcW w:w="1277" w:type="pct"/>
          </w:tcPr>
          <w:p w14:paraId="4172D1BB" w14:textId="77777777" w:rsidR="001302A0" w:rsidRDefault="001302A0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1708" w:type="pct"/>
          </w:tcPr>
          <w:p w14:paraId="6CE4C3C7" w14:textId="77777777" w:rsidR="001302A0" w:rsidRDefault="0099512B">
            <w:pPr>
              <w:spacing w:line="276" w:lineRule="auto"/>
              <w:contextualSpacing/>
              <w:jc w:val="left"/>
              <w:rPr>
                <w:rFonts w:eastAsiaTheme="minorHAnsi" w:cs="Arial"/>
                <w:lang w:val="en-US"/>
              </w:rPr>
            </w:pPr>
            <w:r>
              <w:rPr>
                <w:rFonts w:eastAsiaTheme="minorHAnsi" w:cs="Arial"/>
                <w:lang w:val="en-US"/>
              </w:rPr>
              <w:t>XXXXXXXXXX</w:t>
            </w:r>
          </w:p>
          <w:p w14:paraId="1F37A91F" w14:textId="77777777" w:rsidR="001302A0" w:rsidRDefault="0099512B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  <w:lang w:val="en-US"/>
              </w:rPr>
              <w:t>Key Account Manager</w:t>
            </w:r>
          </w:p>
        </w:tc>
      </w:tr>
      <w:tr w:rsidR="001302A0" w14:paraId="3AF183C9" w14:textId="77777777">
        <w:tc>
          <w:tcPr>
            <w:tcW w:w="2015" w:type="pct"/>
          </w:tcPr>
          <w:p w14:paraId="3A1212E1" w14:textId="77777777" w:rsidR="001302A0" w:rsidRDefault="001302A0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</w:p>
        </w:tc>
        <w:tc>
          <w:tcPr>
            <w:tcW w:w="1277" w:type="pct"/>
          </w:tcPr>
          <w:p w14:paraId="626B05D9" w14:textId="77777777" w:rsidR="001302A0" w:rsidRDefault="001302A0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1708" w:type="pct"/>
          </w:tcPr>
          <w:p w14:paraId="3ECC33F1" w14:textId="77777777" w:rsidR="001302A0" w:rsidRDefault="001302A0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</w:p>
        </w:tc>
      </w:tr>
    </w:tbl>
    <w:p w14:paraId="5E598AB0" w14:textId="77777777" w:rsidR="001302A0" w:rsidRDefault="001302A0">
      <w:pPr>
        <w:rPr>
          <w:lang w:eastAsia="cs-CZ"/>
        </w:rPr>
      </w:pPr>
    </w:p>
    <w:p w14:paraId="2C2A6585" w14:textId="77777777" w:rsidR="001302A0" w:rsidRDefault="001302A0">
      <w:pPr>
        <w:rPr>
          <w:lang w:eastAsia="cs-CZ"/>
        </w:rPr>
      </w:pPr>
    </w:p>
    <w:p w14:paraId="71856226" w14:textId="77777777" w:rsidR="001302A0" w:rsidRDefault="001302A0"/>
    <w:sectPr w:rsidR="0013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DBF5" w14:textId="77777777" w:rsidR="0099512B" w:rsidRDefault="0099512B">
      <w:pPr>
        <w:spacing w:after="0"/>
      </w:pPr>
      <w:r>
        <w:separator/>
      </w:r>
    </w:p>
  </w:endnote>
  <w:endnote w:type="continuationSeparator" w:id="0">
    <w:p w14:paraId="6523A804" w14:textId="77777777" w:rsidR="0099512B" w:rsidRDefault="009951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2D1C" w14:textId="77777777" w:rsidR="0099512B" w:rsidRDefault="0099512B">
      <w:pPr>
        <w:spacing w:after="0"/>
      </w:pPr>
      <w:r>
        <w:separator/>
      </w:r>
    </w:p>
  </w:footnote>
  <w:footnote w:type="continuationSeparator" w:id="0">
    <w:p w14:paraId="4D85E93C" w14:textId="77777777" w:rsidR="0099512B" w:rsidRDefault="009951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57294"/>
    <w:multiLevelType w:val="hybridMultilevel"/>
    <w:tmpl w:val="45123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F6F51"/>
    <w:multiLevelType w:val="hybridMultilevel"/>
    <w:tmpl w:val="9D22A5A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640D"/>
    <w:multiLevelType w:val="hybridMultilevel"/>
    <w:tmpl w:val="0FCAFEF2"/>
    <w:lvl w:ilvl="0" w:tplc="4EBC15A4">
      <w:numFmt w:val="bullet"/>
      <w:pStyle w:val="odstavec1a"/>
      <w:lvlText w:val="-"/>
      <w:lvlJc w:val="left"/>
      <w:pPr>
        <w:ind w:left="720" w:hanging="360"/>
      </w:pPr>
      <w:rPr>
        <w:rFonts w:ascii="Arial" w:eastAsia="OCR A Extended" w:hAnsi="Arial" w:cs="Arial" w:hint="default"/>
      </w:rPr>
    </w:lvl>
    <w:lvl w:ilvl="1" w:tplc="7FD0E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72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E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7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710E"/>
    <w:multiLevelType w:val="multilevel"/>
    <w:tmpl w:val="57023B9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5C6016E"/>
    <w:multiLevelType w:val="hybridMultilevel"/>
    <w:tmpl w:val="BF48AAF6"/>
    <w:lvl w:ilvl="0" w:tplc="7F94C622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C7788B"/>
    <w:multiLevelType w:val="hybridMultilevel"/>
    <w:tmpl w:val="71D8F718"/>
    <w:lvl w:ilvl="0" w:tplc="15E67C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B53675F"/>
    <w:multiLevelType w:val="hybridMultilevel"/>
    <w:tmpl w:val="50983A1E"/>
    <w:lvl w:ilvl="0" w:tplc="9C701F64">
      <w:start w:val="1"/>
      <w:numFmt w:val="lowerLetter"/>
      <w:pStyle w:val="Nadpis4"/>
      <w:lvlText w:val="%1)"/>
      <w:lvlJc w:val="left"/>
      <w:pPr>
        <w:ind w:left="1154" w:hanging="360"/>
      </w:p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590C679C"/>
    <w:multiLevelType w:val="hybridMultilevel"/>
    <w:tmpl w:val="3C529CD6"/>
    <w:name w:val="dvojka2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A161CA4"/>
    <w:multiLevelType w:val="multilevel"/>
    <w:tmpl w:val="9BD26424"/>
    <w:lvl w:ilvl="0">
      <w:start w:val="1"/>
      <w:numFmt w:val="upperRoman"/>
      <w:pStyle w:val="Slnek"/>
      <w:suff w:val="nothing"/>
      <w:lvlText w:val="Článek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Odstavec"/>
      <w:lvlText w:val="%2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E96D0A"/>
    <w:multiLevelType w:val="hybridMultilevel"/>
    <w:tmpl w:val="F2704F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6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</w:num>
  <w:num w:numId="24">
    <w:abstractNumId w:val="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A0"/>
    <w:rsid w:val="001302A0"/>
    <w:rsid w:val="0073095C"/>
    <w:rsid w:val="0099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F74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pPr>
      <w:keepNext/>
      <w:keepLines/>
      <w:numPr>
        <w:numId w:val="17"/>
      </w:numPr>
      <w:spacing w:after="120" w:line="276" w:lineRule="auto"/>
      <w:jc w:val="center"/>
      <w:outlineLvl w:val="0"/>
    </w:pPr>
    <w:rPr>
      <w:rFonts w:eastAsiaTheme="majorEastAsia" w:cs="Arial"/>
      <w:b/>
      <w:bCs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pPr>
      <w:numPr>
        <w:ilvl w:val="1"/>
        <w:numId w:val="17"/>
      </w:numPr>
      <w:spacing w:after="120" w:line="276" w:lineRule="auto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semiHidden/>
    <w:unhideWhenUsed/>
    <w:qFormat/>
    <w:pPr>
      <w:keepNext/>
      <w:keepLines/>
      <w:numPr>
        <w:ilvl w:val="2"/>
        <w:numId w:val="17"/>
      </w:numPr>
      <w:spacing w:after="120" w:line="276" w:lineRule="auto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semiHidden/>
    <w:unhideWhenUsed/>
    <w:qFormat/>
    <w:pPr>
      <w:keepNext/>
      <w:keepLines/>
      <w:numPr>
        <w:numId w:val="12"/>
      </w:numPr>
      <w:spacing w:after="120" w:line="276" w:lineRule="auto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c">
    <w:name w:val="Odrazka c"/>
    <w:basedOn w:val="Normln"/>
    <w:qFormat/>
    <w:pPr>
      <w:keepLines/>
      <w:numPr>
        <w:numId w:val="1"/>
      </w:numPr>
      <w:spacing w:before="360"/>
    </w:p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qFormat/>
    <w:locked/>
    <w:rPr>
      <w:rFonts w:ascii="Arial" w:eastAsia="Calibri" w:hAnsi="Arial" w:cs="Times New Roman"/>
      <w:sz w:val="20"/>
    </w:rPr>
  </w:style>
  <w:style w:type="paragraph" w:customStyle="1" w:styleId="odstavec1a">
    <w:name w:val="odstavec1a"/>
    <w:basedOn w:val="Normln"/>
    <w:qFormat/>
    <w:pPr>
      <w:numPr>
        <w:numId w:val="18"/>
      </w:numPr>
      <w:spacing w:after="0" w:line="276" w:lineRule="auto"/>
      <w:contextualSpacing/>
    </w:pPr>
    <w:rPr>
      <w:rFonts w:ascii="Tahoma" w:hAnsi="Tahoma" w:cs="Tahoma"/>
      <w:szCs w:val="20"/>
      <w:lang w:eastAsia="cs-CZ"/>
    </w:rPr>
  </w:style>
  <w:style w:type="paragraph" w:customStyle="1" w:styleId="Slnek">
    <w:name w:val="S_Článek"/>
    <w:basedOn w:val="Normln"/>
    <w:next w:val="Normln"/>
    <w:qFormat/>
    <w:pPr>
      <w:numPr>
        <w:numId w:val="22"/>
      </w:numPr>
      <w:spacing w:before="360" w:after="0"/>
      <w:jc w:val="center"/>
    </w:pPr>
    <w:rPr>
      <w:rFonts w:ascii="Calibri" w:hAnsi="Calibri"/>
      <w:b/>
      <w:sz w:val="28"/>
      <w:szCs w:val="28"/>
    </w:rPr>
  </w:style>
  <w:style w:type="paragraph" w:customStyle="1" w:styleId="SOdstavec">
    <w:name w:val="S_Odstavec"/>
    <w:basedOn w:val="Normln"/>
    <w:qFormat/>
    <w:pPr>
      <w:numPr>
        <w:ilvl w:val="1"/>
        <w:numId w:val="22"/>
      </w:numPr>
      <w:tabs>
        <w:tab w:val="left" w:pos="426"/>
      </w:tabs>
      <w:spacing w:before="120" w:after="0"/>
    </w:pPr>
    <w:rPr>
      <w:rFonts w:ascii="Calibri" w:hAnsi="Calibri"/>
      <w:sz w:val="22"/>
    </w:rPr>
  </w:style>
  <w:style w:type="paragraph" w:customStyle="1" w:styleId="SBod">
    <w:name w:val="S_Bod"/>
    <w:basedOn w:val="Normln"/>
    <w:qFormat/>
    <w:pPr>
      <w:numPr>
        <w:ilvl w:val="2"/>
        <w:numId w:val="22"/>
      </w:numPr>
      <w:tabs>
        <w:tab w:val="left" w:pos="993"/>
      </w:tabs>
      <w:spacing w:before="120" w:after="0"/>
    </w:pPr>
    <w:rPr>
      <w:rFonts w:ascii="Calibri" w:hAnsi="Calibri"/>
      <w:sz w:val="22"/>
    </w:rPr>
  </w:style>
  <w:style w:type="paragraph" w:customStyle="1" w:styleId="SPsmeno">
    <w:name w:val="S_Písmeno"/>
    <w:basedOn w:val="Normln"/>
    <w:qFormat/>
    <w:pPr>
      <w:numPr>
        <w:ilvl w:val="3"/>
        <w:numId w:val="22"/>
      </w:numPr>
      <w:tabs>
        <w:tab w:val="left" w:pos="1276"/>
      </w:tabs>
      <w:spacing w:before="60" w:after="0"/>
    </w:pPr>
    <w:rPr>
      <w:rFonts w:ascii="Calibri" w:hAnsi="Calibri"/>
      <w:sz w:val="22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Theme="majorEastAsia" w:hAnsi="Arial" w:cs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Theme="majorEastAsia" w:hAnsi="Arial" w:cstheme="majorBidi"/>
      <w:bCs/>
      <w:sz w:val="20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="Arial" w:eastAsiaTheme="majorEastAsia" w:hAnsi="Arial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Arial" w:eastAsiaTheme="majorEastAsia" w:hAnsi="Arial" w:cstheme="majorBidi"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aliases w:val="(MYCOM Legend)"/>
    <w:basedOn w:val="Normln"/>
    <w:next w:val="Normln"/>
    <w:link w:val="TitulekChar"/>
    <w:qFormat/>
    <w:pPr>
      <w:keepNext/>
      <w:spacing w:before="240" w:after="120"/>
      <w:jc w:val="left"/>
    </w:pPr>
    <w:rPr>
      <w:rFonts w:eastAsia="Times New Roman"/>
      <w:i/>
      <w:sz w:val="16"/>
      <w:szCs w:val="20"/>
    </w:rPr>
  </w:style>
  <w:style w:type="character" w:customStyle="1" w:styleId="TitulekChar">
    <w:name w:val="Titulek Char"/>
    <w:aliases w:val="(MYCOM Legend) Char"/>
    <w:link w:val="Titulek"/>
    <w:rPr>
      <w:rFonts w:ascii="Arial" w:eastAsia="Times New Roman" w:hAnsi="Arial" w:cs="Times New Roman"/>
      <w:i/>
      <w:sz w:val="16"/>
      <w:szCs w:val="20"/>
    </w:rPr>
  </w:style>
  <w:style w:type="paragraph" w:styleId="Bezmezer">
    <w:name w:val="No Spacing"/>
    <w:aliases w:val="Text"/>
    <w:autoRedefine/>
    <w:uiPriority w:val="1"/>
    <w:qFormat/>
    <w:pPr>
      <w:spacing w:after="0" w:line="240" w:lineRule="auto"/>
      <w:ind w:left="3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Calibri" w:hAnsi="Arial" w:cs="Times New Roman"/>
      <w:sz w:val="20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2026-02-25T10:22:00Z</dcterms:created>
  <dcterms:modified xsi:type="dcterms:W3CDTF">2026-02-25T10:22:00Z</dcterms:modified>
</cp:coreProperties>
</file>