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SERVISNÍ SMLOUVA č. 490251224 programového vybavení CODEXIS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uzavřená zejména dle ust. § 2358 a násl. a § 2586 a násl. zákona č. 89/2012 občanského zákoníku, ve znění pozdějších předpisů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12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Smluvní strany</w:t>
      </w:r>
    </w:p>
    <w:p w:rsidR="00000000" w:rsidDel="00000000" w:rsidP="00000000" w:rsidRDefault="00000000" w:rsidRPr="00000000" w14:paraId="00000005">
      <w:pPr>
        <w:spacing w:after="40" w:before="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ATLAS consulting spol. s r.o.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Výstavní 292/13, 702 00  Ostrava-Moravská Ostrava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IČO: 46578706, DIČ: CZ46578706 </w:t>
        <w:br w:type="textWrapping"/>
        <w:t xml:space="preserve">Bankovní spojení: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u w:val="none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Společnost je zapsána v Obchodním rejstříku vedeném Krajským soudem v Ostravě, pod sp.zn. C3293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zastoupená: Ing. Pavlou Řehákovou, jednatelkou společnosti 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(dále jen „dodavatel“)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" w:before="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základní škola Cheb, Matěje Kopeckého 1, příspěvková organizace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Matěje Kopeckého 1160/1,  350 02  Cheb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IČO: 70987459, DIČ: CZ70987459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e-mail:xxxxxxxxx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zastoupená:xxxxxxxx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(dále jen „odběratel“)</w:t>
      </w:r>
    </w:p>
    <w:p w:rsidR="00000000" w:rsidDel="00000000" w:rsidP="00000000" w:rsidRDefault="00000000" w:rsidRPr="00000000" w14:paraId="00000013">
      <w:pPr>
        <w:keepNext w:val="1"/>
        <w:spacing w:after="12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Předmět smlouvy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2.1 Dodavatel se touto smlouvou zavazuje po dobu trvání této smlouvy poskytnout odběrateli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přístupů s možností vytvoření až 10 uživatelských účtů (licenci k užití) do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internetové aplikace právního informačního systému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CODEXIS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superscript"/>
          <w:rtl w:val="0"/>
        </w:rPr>
        <w:t xml:space="preserve">®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 zapracovanou umělou inteligencí (AI),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(dále jen „produkt“ nebo „základní dodávka produktu“) a zajišťovat pro odběratele poradenské a servisní služby dle ust. 2.2 této smlouvy a odběratel se zavazuje za tuto licenci a služby dodavateli zaplatit smluvenou cenu dle ust. 3. této smlouvy.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tabs>
          <w:tab w:val="left" w:leader="none" w:pos="284"/>
        </w:tabs>
        <w:spacing w:before="80" w:lineRule="auto"/>
        <w:ind w:left="36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Čerpání poradenských a servisních služeb: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úvodní nastavení produktu formou vzdáleného přístupu na písemné vyžádání odběratele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navedení uživatelských účtů na písemné vyžádání odběratele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bezplatné zaškolení libovolného počtu pracovníků do uživatelských funkcí v rozsahu 1 vyučovací hodiny na písemné vyžádání odběratele, školení může proběhnout také formou videokonference / videohovoru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telefon na Linku zákaznické podpory,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přednostní e-mail na technickou podporu,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přístup do pravidelně aktualizované databáze (aktualizace produktu),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e-fakturace,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služba „volání zpět“ v rámci zákaznické podpory,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567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poskytování e-mailové a telefonické podpory zdarma.</w:t>
      </w:r>
    </w:p>
    <w:p w:rsidR="00000000" w:rsidDel="00000000" w:rsidP="00000000" w:rsidRDefault="00000000" w:rsidRPr="00000000" w14:paraId="0000001F">
      <w:pPr>
        <w:ind w:left="567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after="12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Právo na čerpání výše uvedených služeb vzniká dnem úhrady za poskytování služeb dle článku 3 této smlouvy. </w:t>
      </w:r>
    </w:p>
    <w:p w:rsidR="00000000" w:rsidDel="00000000" w:rsidP="00000000" w:rsidRDefault="00000000" w:rsidRPr="00000000" w14:paraId="00000021">
      <w:pPr>
        <w:pStyle w:val="Heading1"/>
        <w:spacing w:after="12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Cenové a platební podmínky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985"/>
          <w:tab w:val="left" w:leader="none" w:pos="-1701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Cena je stanovena jako smluvní. V uvedené ceně není zahrnuta aktuální sazba daně z přidané hodnoty.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985"/>
          <w:tab w:val="left" w:leader="none" w:pos="-1701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Cena za 1 rok poskytování služeb je stanovena 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20.000,- Kč. Celková cena za celé období trvání smlouvy dle odst. 6.1 je 60.000,- Kč (slovy: šedesáttisíckorunčeských).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 souladu se zákonem o DPH přistupuje k této částce aktuální sazba DPH.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985"/>
          <w:tab w:val="left" w:leader="none" w:pos="-1701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Úhrada za služby bude uhrazena jednorázově dopředu na celé období trvání smlouvy na základě elektronického zálohového platebního nebo daňového dokladu (dále jen „faktura“) dle § 26, odst. 3 zákona č. 235/2004Sb. v platném znění, vystaveného dodavatelem se splatností do 1 dne ode dne jeho doručení odběrateli na jeho e-mailovou adresu: vesela@5zscheb.cz. Doručením elektronického platebního dokladu se tak rozumí jeho odeslání na odběratelem uvedenou e-mailovou adresu.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985"/>
          <w:tab w:val="left" w:leader="none" w:pos="-1701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Kontaktní osoba odběratele pro fakturaci: ....................................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985"/>
          <w:tab w:val="left" w:leader="none" w:pos="-1701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 den platby je považován den připsání příslušné platby na účet dodavatele.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985"/>
          <w:tab w:val="left" w:leader="none" w:pos="-1701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Před uplynutím předplaceného období bude odběrateli zaslána faktura na další období poskytování služeb, faktura bude doručena na e-mailovou adresu odběratele uvedenou v odst. 3.3.této smlouvy nebo na doručovací adresu odběratele.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tabs>
          <w:tab w:val="left" w:leader="none" w:pos="284"/>
        </w:tabs>
        <w:spacing w:before="80" w:lineRule="auto"/>
        <w:ind w:left="284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tabs>
          <w:tab w:val="left" w:leader="none" w:pos="284"/>
        </w:tabs>
        <w:spacing w:before="80" w:lineRule="auto"/>
        <w:ind w:left="284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:rsidR="00000000" w:rsidDel="00000000" w:rsidP="00000000" w:rsidRDefault="00000000" w:rsidRPr="00000000" w14:paraId="0000002A">
      <w:pPr>
        <w:pStyle w:val="Heading1"/>
        <w:spacing w:after="12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Spolupráce ze strany dodavatele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Dodavatel zajistí přednostní vyřízení požadavků odběratele na lince a emailu zákaznické podpory.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Dodavatel informuje odběratele o změnách v produktu (zejména o nových funkcionalitách, o rozšíření datového obsahu, apod.) či o své obchodní nabídce formou informačních bulletinů, nebo obchodních zpráv.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vždy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www.atlasgroup.cz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a odběratel je povinen se jimi řídit.</w:t>
      </w:r>
    </w:p>
    <w:p w:rsidR="00000000" w:rsidDel="00000000" w:rsidP="00000000" w:rsidRDefault="00000000" w:rsidRPr="00000000" w14:paraId="0000002F">
      <w:pPr>
        <w:pStyle w:val="Heading1"/>
        <w:spacing w:after="12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 Spolupráce ze strany odběratele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tabs>
          <w:tab w:val="left" w:leader="none" w:pos="284"/>
        </w:tabs>
        <w:ind w:left="284" w:hanging="284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Odběratel komunikuje s dodavatelem primárně prostřednictvím následujících kontaktů:</w:t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ind w:left="567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</w:t>
        <w:tab/>
        <w:t xml:space="preserve">za dodavatele: Klientské centrum,xxxxxxxxx</w:t>
      </w:r>
    </w:p>
    <w:p w:rsidR="00000000" w:rsidDel="00000000" w:rsidP="00000000" w:rsidRDefault="00000000" w:rsidRPr="00000000" w14:paraId="00000032">
      <w:pPr>
        <w:tabs>
          <w:tab w:val="left" w:leader="none" w:pos="567"/>
        </w:tabs>
        <w:ind w:left="567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</w:t>
        <w:tab/>
        <w:t xml:space="preserve">za odběratele: ...................................., xxxxxxxxxx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Odběratel zajistí, aby hardwarové a softwarové podmínky odpovídaly minimální konfiguraci produktu uvedené v uživatelské dokumentaci. Odběratel poskytne dodavateli součinnost a nutné prostředky (přístup k hardware, přístupová práva) potřebné pro požadované provedení servisního zásahu.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Kontaktní údaje odběratele uvedené v této smlouvě jsou aktuální ke dni nabytí její platnosti. Smluvní strany se dohodly, že je lze kdykoli dodatečně změnit na základě prokazatelného sdělení odběratele dodavateli (e-mailem nebo dopisem). </w:t>
      </w:r>
    </w:p>
    <w:p w:rsidR="00000000" w:rsidDel="00000000" w:rsidP="00000000" w:rsidRDefault="00000000" w:rsidRPr="00000000" w14:paraId="00000035">
      <w:pPr>
        <w:pStyle w:val="Heading1"/>
        <w:spacing w:after="12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 Platnost smlouvy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Smlouva je uzavřena na dobu určitou – 3 roky, počínaje dnem účinnosti této smlouvy (prvotní období).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502" w:right="0" w:hanging="50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 uplynutí sjednané doby trvání smlouvy se tato smlouva za týchž podmínek, za jakých byla původně sjednána, obnovuje vždy o další 3 roky, pokud dodavatel nebo odběratel nesdělí písemně druhému účastníku smlouvy nejméně 3 měsíce před uplynutím sjednané doby platnosti smlouvy, že nemá zájem na jejím dalším pokračování.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Smlouvu lze také před uplynutím její sjednané doby trvání písemně ukončit a to: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6.3.1</w:t>
        <w:tab/>
        <w:t xml:space="preserve">na základě vzájemné dohody obou smluvních stran,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40" w:line="240" w:lineRule="auto"/>
        <w:ind w:left="851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6.3.2</w:t>
        <w:tab/>
        <w:t xml:space="preserve">odstoupením od smlouvy ze strany dodavatele v případě, že odběratel opakovaně podstatně 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40" w:line="240" w:lineRule="auto"/>
        <w:ind w:left="851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6.3.3</w:t>
        <w:tab/>
        <w:t xml:space="preserve"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000000" w:rsidDel="00000000" w:rsidP="00000000" w:rsidRDefault="00000000" w:rsidRPr="00000000" w14:paraId="0000003C">
      <w:pPr>
        <w:pStyle w:val="Heading1"/>
        <w:spacing w:after="12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 Přechodná a závěrečná ujednání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4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Tuto smlouvu lze měnit nebo doplňovat pouze číslovanými písemnými dodatky, signovanými zástupci smluvních stran, vyjma ujednání dle odst. 5.3. této smlouvy.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Tato smlouva a práva a povinnosti z ní vzniklá se řídí příslušnými ustanoveními občanského zákoníku (z.č. 89/2012 Sb.) a autorského zákona (z.č. 121/2000 Sb.).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Dodavatel touto smlouvou nepřipouští přijetí dalších obchodních podmínek. Odpověď strany této smlouvy, podle § 1740 odst. 3 občanského zákoníku, s dodatkem nebo odchylkou, není přijetím nabídky nebo uzavřením této smlouvy, ani když podstatně nemění podmínky nabídky.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Smluvní strany dohodly, že vylučují aplikaci následujících ustanovení občanského zákoníku na vztah založený touto smlouvou: § 1765, § 1766, § 1799 a § 1800.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Tato smlouva nabývá platnosti dnem podpisu obou smluvních stran a účinnosti od dne úhrady ceny za poskytování služeb dle článku 3 této smlouvy. V případě, kdy je k nabytí účinnosti smlouvy potřeba její uveřejnění v registru smluv, nabývá tato smlouva účinnosti až dnem jejího uveřejnění dle zákona č. 340/2015 Sb., o zvláštních podmínkách účinnosti některých smluv, uveřejňování těchto smluv a o registru smluv (zákon o registru smluv) ve znění pozdějších předpisů. Příp. plnění v rámci předmětu této smlouvy před účinností této smlouvy se považuje za plnění podle této smlouvy a práva a povinnosti z něj vzniklé se řídí touto smlouvou. Dodavatel bere na vědomí a souhlasí s tím, že uzavřená smlouva bude v elektronické podobě v registru smluv zveřejněna. Uveřejnění smlouvy zajistí odběratel.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80" w:line="240" w:lineRule="auto"/>
        <w:ind w:left="28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 Ostravě, dne: 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26. listopadu 2025</w:t>
        <w:tab/>
        <w:tab/>
        <w:tab/>
        <w:tab/>
        <w:tab/>
        <w:t xml:space="preserve">V Chebu, dne 12.12.2026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center" w:leader="none" w:pos="1800"/>
          <w:tab w:val="center" w:leader="none" w:pos="720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center" w:leader="none" w:pos="1800"/>
          <w:tab w:val="center" w:leader="none" w:pos="720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1800"/>
          <w:tab w:val="center" w:leader="none" w:pos="720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center" w:leader="none" w:pos="1800"/>
          <w:tab w:val="center" w:leader="none" w:pos="720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center" w:leader="none" w:pos="1701"/>
          <w:tab w:val="center" w:leader="none" w:pos="7371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................................................................</w:t>
        <w:tab/>
        <w:t xml:space="preserve">.........................................................</w:t>
      </w:r>
    </w:p>
    <w:p w:rsidR="00000000" w:rsidDel="00000000" w:rsidP="00000000" w:rsidRDefault="00000000" w:rsidRPr="00000000" w14:paraId="0000004D">
      <w:pPr>
        <w:tabs>
          <w:tab w:val="center" w:leader="none" w:pos="1701"/>
          <w:tab w:val="center" w:leader="none" w:pos="7371"/>
        </w:tabs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dodavatel</w:t>
        <w:tab/>
        <w:t xml:space="preserve">odběratel</w:t>
      </w:r>
    </w:p>
    <w:p w:rsidR="00000000" w:rsidDel="00000000" w:rsidP="00000000" w:rsidRDefault="00000000" w:rsidRPr="00000000" w14:paraId="0000004E">
      <w:pPr>
        <w:tabs>
          <w:tab w:val="center" w:leader="none" w:pos="1701"/>
          <w:tab w:val="center" w:leader="none" w:pos="7371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 xml:space="preserve">razítko a podpis zástupce</w:t>
        <w:tab/>
        <w:t xml:space="preserve">razítko a podpis zástupce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color w:val="333333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333333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454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440"/>
      </w:tabs>
      <w:spacing w:after="0" w:before="0" w:line="36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06f6f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706f6f"/>
        <w:sz w:val="15"/>
        <w:szCs w:val="15"/>
        <w:u w:val="none"/>
        <w:shd w:fill="auto" w:val="clear"/>
        <w:vertAlign w:val="baseline"/>
        <w:rtl w:val="0"/>
      </w:rPr>
      <w:t xml:space="preserve">ATLAS consulting spol. s r.o.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06f6f"/>
        <w:sz w:val="15"/>
        <w:szCs w:val="15"/>
        <w:u w:val="none"/>
        <w:shd w:fill="auto" w:val="clear"/>
        <w:vertAlign w:val="baseline"/>
        <w:rtl w:val="0"/>
      </w:rPr>
      <w:t xml:space="preserve">, člen skupiny ATLAS GROUP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-366392</wp:posOffset>
              </wp:positionH>
              <wp:positionV relativeFrom="paragraph">
                <wp:posOffset>10311130</wp:posOffset>
              </wp:positionV>
              <wp:extent cx="0" cy="127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5913" y="378000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706F6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-366392</wp:posOffset>
              </wp:positionH>
              <wp:positionV relativeFrom="paragraph">
                <wp:posOffset>10311130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440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06f6f"/>
        <w:sz w:val="15"/>
        <w:szCs w:val="15"/>
        <w:u w:val="none"/>
        <w:shd w:fill="auto" w:val="clear"/>
        <w:vertAlign w:val="baseline"/>
        <w:rtl w:val="0"/>
      </w:rPr>
      <w:t xml:space="preserve">strana: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06f6f"/>
        <w:sz w:val="15"/>
        <w:szCs w:val="15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line="360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color w:val="706f6f"/>
        <w:sz w:val="15"/>
        <w:szCs w:val="15"/>
        <w:rtl w:val="0"/>
      </w:rPr>
      <w:t xml:space="preserve">ATLAS consulting spol. s r.o., </w:t>
    </w:r>
    <w:r w:rsidDel="00000000" w:rsidR="00000000" w:rsidRPr="00000000">
      <w:rPr>
        <w:rFonts w:ascii="Arial" w:cs="Arial" w:eastAsia="Arial" w:hAnsi="Arial"/>
        <w:color w:val="706f6f"/>
        <w:sz w:val="15"/>
        <w:szCs w:val="15"/>
        <w:rtl w:val="0"/>
      </w:rPr>
      <w:t xml:space="preserve">člen skupiny ATLAS GROUP, Výstavní 292/13, 702 00 Ostrava</w:t>
      <w:br w:type="textWrapping"/>
      <w:t xml:space="preserve">+420 596 613 333          </w:t>
    </w:r>
    <w:hyperlink r:id="rId1">
      <w:r w:rsidDel="00000000" w:rsidR="00000000" w:rsidRPr="00000000">
        <w:rPr>
          <w:rFonts w:ascii="Arial" w:cs="Arial" w:eastAsia="Arial" w:hAnsi="Arial"/>
          <w:color w:val="706f6f"/>
          <w:sz w:val="15"/>
          <w:szCs w:val="15"/>
          <w:u w:val="none"/>
          <w:rtl w:val="0"/>
        </w:rPr>
        <w:t xml:space="preserve">klientske.centrum@atlasgroup.cz</w:t>
      </w:r>
    </w:hyperlink>
    <w:r w:rsidDel="00000000" w:rsidR="00000000" w:rsidRPr="00000000">
      <w:rPr>
        <w:rFonts w:ascii="Arial" w:cs="Arial" w:eastAsia="Arial" w:hAnsi="Arial"/>
        <w:color w:val="706f6f"/>
        <w:sz w:val="15"/>
        <w:szCs w:val="15"/>
        <w:u w:val="none"/>
        <w:rtl w:val="0"/>
      </w:rPr>
      <w:t xml:space="preserve">          w</w:t>
    </w:r>
    <w:r w:rsidDel="00000000" w:rsidR="00000000" w:rsidRPr="00000000">
      <w:rPr>
        <w:rFonts w:ascii="Arial" w:cs="Arial" w:eastAsia="Arial" w:hAnsi="Arial"/>
        <w:color w:val="706f6f"/>
        <w:sz w:val="15"/>
        <w:szCs w:val="15"/>
        <w:rtl w:val="0"/>
      </w:rPr>
      <w:t xml:space="preserve">ww.atlasgroup.cz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-382267</wp:posOffset>
              </wp:positionH>
              <wp:positionV relativeFrom="paragraph">
                <wp:posOffset>10309225</wp:posOffset>
              </wp:positionV>
              <wp:extent cx="0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05913" y="378000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A5A5A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-382267</wp:posOffset>
              </wp:positionH>
              <wp:positionV relativeFrom="paragraph">
                <wp:posOffset>10309225</wp:posOffset>
              </wp:positionV>
              <wp:extent cx="0" cy="127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20000" cy="2880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63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2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3">
    <w:lvl w:ilvl="0">
      <w:start w:val="6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502" w:hanging="360"/>
      </w:pPr>
      <w:rPr/>
    </w:lvl>
    <w:lvl w:ilvl="2">
      <w:start w:val="1"/>
      <w:numFmt w:val="decimal"/>
      <w:lvlText w:val="%1.%2.%3"/>
      <w:lvlJc w:val="left"/>
      <w:pPr>
        <w:ind w:left="1004" w:hanging="720"/>
      </w:pPr>
      <w:rPr/>
    </w:lvl>
    <w:lvl w:ilvl="3">
      <w:start w:val="1"/>
      <w:numFmt w:val="decimal"/>
      <w:lvlText w:val="%1.%2.%3.%4"/>
      <w:lvlJc w:val="left"/>
      <w:pPr>
        <w:ind w:left="1146" w:hanging="720"/>
      </w:pPr>
      <w:rPr/>
    </w:lvl>
    <w:lvl w:ilvl="4">
      <w:start w:val="1"/>
      <w:numFmt w:val="decimal"/>
      <w:lvlText w:val="%1.%2.%3.%4.%5"/>
      <w:lvlJc w:val="left"/>
      <w:pPr>
        <w:ind w:left="1288" w:hanging="719.9999999999998"/>
      </w:pPr>
      <w:rPr/>
    </w:lvl>
    <w:lvl w:ilvl="5">
      <w:start w:val="1"/>
      <w:numFmt w:val="decimal"/>
      <w:lvlText w:val="%1.%2.%3.%4.%5.%6"/>
      <w:lvlJc w:val="left"/>
      <w:pPr>
        <w:ind w:left="1790" w:hanging="1080"/>
      </w:pPr>
      <w:rPr/>
    </w:lvl>
    <w:lvl w:ilvl="6">
      <w:start w:val="1"/>
      <w:numFmt w:val="decimal"/>
      <w:lvlText w:val="%1.%2.%3.%4.%5.%6.%7"/>
      <w:lvlJc w:val="left"/>
      <w:pPr>
        <w:ind w:left="1932" w:hanging="1080"/>
      </w:pPr>
      <w:rPr/>
    </w:lvl>
    <w:lvl w:ilvl="7">
      <w:start w:val="1"/>
      <w:numFmt w:val="decimal"/>
      <w:lvlText w:val="%1.%2.%3.%4.%5.%6.%7.%8"/>
      <w:lvlJc w:val="left"/>
      <w:pPr>
        <w:ind w:left="2434" w:hanging="1440"/>
      </w:pPr>
      <w:rPr/>
    </w:lvl>
    <w:lvl w:ilvl="8">
      <w:start w:val="1"/>
      <w:numFmt w:val="decimal"/>
      <w:lvlText w:val="%1.%2.%3.%4.%5.%6.%7.%8.%9"/>
      <w:lvlJc w:val="left"/>
      <w:pPr>
        <w:ind w:left="2576" w:hanging="1439.9999999999995"/>
      </w:pPr>
      <w:rPr/>
    </w:lvl>
  </w:abstractNum>
  <w:abstractNum w:abstractNumId="4">
    <w:lvl w:ilvl="0">
      <w:start w:val="7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5">
    <w:lvl w:ilvl="0">
      <w:start w:val="4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644" w:hanging="359.9999999999999"/>
      </w:pPr>
      <w:rPr/>
    </w:lvl>
    <w:lvl w:ilvl="2">
      <w:start w:val="1"/>
      <w:numFmt w:val="decimal"/>
      <w:lvlText w:val="%1.%2.%3"/>
      <w:lvlJc w:val="left"/>
      <w:pPr>
        <w:ind w:left="1288" w:hanging="719.9999999999998"/>
      </w:pPr>
      <w:rPr/>
    </w:lvl>
    <w:lvl w:ilvl="3">
      <w:start w:val="1"/>
      <w:numFmt w:val="decimal"/>
      <w:lvlText w:val="%1.%2.%3.%4"/>
      <w:lvlJc w:val="left"/>
      <w:pPr>
        <w:ind w:left="1572" w:hanging="720.0000000000002"/>
      </w:pPr>
      <w:rPr/>
    </w:lvl>
    <w:lvl w:ilvl="4">
      <w:start w:val="1"/>
      <w:numFmt w:val="decimal"/>
      <w:lvlText w:val="%1.%2.%3.%4.%5"/>
      <w:lvlJc w:val="left"/>
      <w:pPr>
        <w:ind w:left="1856" w:hanging="720"/>
      </w:pPr>
      <w:rPr/>
    </w:lvl>
    <w:lvl w:ilvl="5">
      <w:start w:val="1"/>
      <w:numFmt w:val="decimal"/>
      <w:lvlText w:val="%1.%2.%3.%4.%5.%6"/>
      <w:lvlJc w:val="left"/>
      <w:pPr>
        <w:ind w:left="2500" w:hanging="1080"/>
      </w:pPr>
      <w:rPr/>
    </w:lvl>
    <w:lvl w:ilvl="6">
      <w:start w:val="1"/>
      <w:numFmt w:val="decimal"/>
      <w:lvlText w:val="%1.%2.%3.%4.%5.%6.%7"/>
      <w:lvlJc w:val="left"/>
      <w:pPr>
        <w:ind w:left="2784" w:hanging="1080.0000000000005"/>
      </w:pPr>
      <w:rPr/>
    </w:lvl>
    <w:lvl w:ilvl="7">
      <w:start w:val="1"/>
      <w:numFmt w:val="decimal"/>
      <w:lvlText w:val="%1.%2.%3.%4.%5.%6.%7.%8"/>
      <w:lvlJc w:val="left"/>
      <w:pPr>
        <w:ind w:left="3428" w:hanging="1440"/>
      </w:pPr>
      <w:rPr/>
    </w:lvl>
    <w:lvl w:ilvl="8">
      <w:start w:val="1"/>
      <w:numFmt w:val="decimal"/>
      <w:lvlText w:val="%1.%2.%3.%4.%5.%6.%7.%8.%9"/>
      <w:lvlJc w:val="left"/>
      <w:pPr>
        <w:ind w:left="3712" w:hanging="1440"/>
      </w:pPr>
      <w:rPr/>
    </w:lvl>
  </w:abstractNum>
  <w:abstractNum w:abstractNumId="6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644" w:hanging="359.9999999999999"/>
      </w:pPr>
      <w:rPr/>
    </w:lvl>
    <w:lvl w:ilvl="2">
      <w:start w:val="1"/>
      <w:numFmt w:val="decimal"/>
      <w:lvlText w:val="%1.%2.%3"/>
      <w:lvlJc w:val="left"/>
      <w:pPr>
        <w:ind w:left="1288" w:hanging="719.9999999999998"/>
      </w:pPr>
      <w:rPr/>
    </w:lvl>
    <w:lvl w:ilvl="3">
      <w:start w:val="1"/>
      <w:numFmt w:val="decimal"/>
      <w:lvlText w:val="%1.%2.%3.%4"/>
      <w:lvlJc w:val="left"/>
      <w:pPr>
        <w:ind w:left="1572" w:hanging="720.0000000000002"/>
      </w:pPr>
      <w:rPr/>
    </w:lvl>
    <w:lvl w:ilvl="4">
      <w:start w:val="1"/>
      <w:numFmt w:val="decimal"/>
      <w:lvlText w:val="%1.%2.%3.%4.%5"/>
      <w:lvlJc w:val="left"/>
      <w:pPr>
        <w:ind w:left="1856" w:hanging="720"/>
      </w:pPr>
      <w:rPr/>
    </w:lvl>
    <w:lvl w:ilvl="5">
      <w:start w:val="1"/>
      <w:numFmt w:val="decimal"/>
      <w:lvlText w:val="%1.%2.%3.%4.%5.%6"/>
      <w:lvlJc w:val="left"/>
      <w:pPr>
        <w:ind w:left="2500" w:hanging="1080"/>
      </w:pPr>
      <w:rPr/>
    </w:lvl>
    <w:lvl w:ilvl="6">
      <w:start w:val="1"/>
      <w:numFmt w:val="decimal"/>
      <w:lvlText w:val="%1.%2.%3.%4.%5.%6.%7"/>
      <w:lvlJc w:val="left"/>
      <w:pPr>
        <w:ind w:left="2784" w:hanging="1080.0000000000005"/>
      </w:pPr>
      <w:rPr/>
    </w:lvl>
    <w:lvl w:ilvl="7">
      <w:start w:val="1"/>
      <w:numFmt w:val="decimal"/>
      <w:lvlText w:val="%1.%2.%3.%4.%5.%6.%7.%8"/>
      <w:lvlJc w:val="left"/>
      <w:pPr>
        <w:ind w:left="3428" w:hanging="1440"/>
      </w:pPr>
      <w:rPr/>
    </w:lvl>
    <w:lvl w:ilvl="8">
      <w:start w:val="1"/>
      <w:numFmt w:val="decimal"/>
      <w:lvlText w:val="%1.%2.%3.%4.%5.%6.%7.%8.%9"/>
      <w:lvlJc w:val="left"/>
      <w:pPr>
        <w:ind w:left="3712" w:hanging="1440"/>
      </w:pPr>
      <w:rPr/>
    </w:lvl>
  </w:abstractNum>
  <w:abstractNum w:abstractNumId="7">
    <w:lvl w:ilvl="0">
      <w:start w:val="3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1514" w:hanging="720"/>
      </w:pPr>
      <w:rPr/>
    </w:lvl>
    <w:lvl w:ilvl="3">
      <w:start w:val="1"/>
      <w:numFmt w:val="decimal"/>
      <w:lvlText w:val="%1.%2.%3.%4"/>
      <w:lvlJc w:val="left"/>
      <w:pPr>
        <w:ind w:left="1911" w:hanging="720"/>
      </w:pPr>
      <w:rPr/>
    </w:lvl>
    <w:lvl w:ilvl="4">
      <w:start w:val="1"/>
      <w:numFmt w:val="decimal"/>
      <w:lvlText w:val="%1.%2.%3.%4.%5"/>
      <w:lvlJc w:val="left"/>
      <w:pPr>
        <w:ind w:left="2308" w:hanging="720"/>
      </w:pPr>
      <w:rPr/>
    </w:lvl>
    <w:lvl w:ilvl="5">
      <w:start w:val="1"/>
      <w:numFmt w:val="decimal"/>
      <w:lvlText w:val="%1.%2.%3.%4.%5.%6"/>
      <w:lvlJc w:val="left"/>
      <w:pPr>
        <w:ind w:left="3065" w:hanging="1080"/>
      </w:pPr>
      <w:rPr/>
    </w:lvl>
    <w:lvl w:ilvl="6">
      <w:start w:val="1"/>
      <w:numFmt w:val="decimal"/>
      <w:lvlText w:val="%1.%2.%3.%4.%5.%6.%7"/>
      <w:lvlJc w:val="left"/>
      <w:pPr>
        <w:ind w:left="3462" w:hanging="1080"/>
      </w:pPr>
      <w:rPr/>
    </w:lvl>
    <w:lvl w:ilvl="7">
      <w:start w:val="1"/>
      <w:numFmt w:val="decimal"/>
      <w:lvlText w:val="%1.%2.%3.%4.%5.%6.%7.%8"/>
      <w:lvlJc w:val="left"/>
      <w:pPr>
        <w:ind w:left="4219" w:hanging="1440"/>
      </w:pPr>
      <w:rPr/>
    </w:lvl>
    <w:lvl w:ilvl="8">
      <w:start w:val="1"/>
      <w:numFmt w:val="decimal"/>
      <w:lvlText w:val="%1.%2.%3.%4.%5.%6.%7.%8.%9"/>
      <w:lvlJc w:val="left"/>
      <w:pPr>
        <w:ind w:left="4616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Tahoma" w:cs="Tahoma" w:eastAsia="Tahoma" w:hAnsi="Tahom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nhideWhenUsed w:val="1"/>
    <w:rsid w:val="00946F86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 w:val="1"/>
    <w:rsid w:val="00946F86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46F86"/>
  </w:style>
  <w:style w:type="character" w:styleId="Nadpis1Char" w:customStyle="1">
    <w:name w:val="Nadpis 1 Char"/>
    <w:basedOn w:val="Standardnpsmoodstavce"/>
    <w:link w:val="Nadpis1"/>
    <w:rsid w:val="00853A2F"/>
    <w:rPr>
      <w:rFonts w:ascii="Tahoma" w:cs="Times New Roman" w:eastAsia="Times New Roman" w:hAnsi="Tahoma"/>
      <w:sz w:val="28"/>
      <w:szCs w:val="24"/>
      <w:lang w:eastAsia="x-none" w:val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eastAsia="x-none" w:val="x-none"/>
    </w:rPr>
  </w:style>
  <w:style w:type="character" w:styleId="ZkladntextChar" w:customStyle="1">
    <w:name w:val="Základní text Char"/>
    <w:basedOn w:val="Standardnpsmoodstavce"/>
    <w:link w:val="Zkladntext"/>
    <w:rsid w:val="00853A2F"/>
    <w:rPr>
      <w:rFonts w:ascii="Tahoma" w:cs="Times New Roman" w:eastAsia="Times New Roman" w:hAnsi="Tahoma"/>
      <w:sz w:val="12"/>
      <w:szCs w:val="24"/>
      <w:lang w:eastAsia="x-none" w:val="x-none"/>
    </w:rPr>
  </w:style>
  <w:style w:type="paragraph" w:styleId="Strany" w:customStyle="1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after="100" w:afterAutospacing="1" w:before="100" w:before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450376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450376"/>
    <w:rPr>
      <w:rFonts w:ascii="Tahoma" w:cs="Tahoma" w:eastAsia="Times New Roman" w:hAnsi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DA1D59"/>
    <w:rPr>
      <w:color w:val="605e5c"/>
      <w:shd w:color="auto" w:fill="e1dfdd" w:val="clear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DA1D5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tlasgroup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klientske.centrum@atlasgroup.cz" TargetMode="External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d4ImDeK2ytI6fg/NqoCAS8HHw==">CgMxLjA4AHIhMVV6RlJVVTlJSWh0RmVmQm5WUFFkNWRHMV9Rbkhadi1W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2025-11-26T10:52:00Z</dcterms:created>
  <dc:creator>Markéta Vitásková</dc:creator>
</cp:coreProperties>
</file>