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26" w:rsidRPr="002906DA" w:rsidRDefault="002906DA" w:rsidP="002B7B24">
      <w:pPr>
        <w:spacing w:after="0" w:line="240" w:lineRule="auto"/>
        <w:jc w:val="center"/>
        <w:rPr>
          <w:rFonts w:asciiTheme="majorHAnsi" w:hAnsiTheme="majorHAnsi" w:cs="Arial"/>
          <w:sz w:val="40"/>
          <w:szCs w:val="40"/>
        </w:rPr>
      </w:pPr>
      <w:bookmarkStart w:id="0" w:name="_GoBack"/>
      <w:bookmarkEnd w:id="0"/>
      <w:r w:rsidRPr="002906DA">
        <w:rPr>
          <w:rFonts w:asciiTheme="majorHAnsi" w:hAnsiTheme="majorHAnsi" w:cs="Arial"/>
          <w:sz w:val="40"/>
          <w:szCs w:val="40"/>
        </w:rPr>
        <w:t>Dodatek č.</w:t>
      </w:r>
      <w:r w:rsidR="00C23546">
        <w:rPr>
          <w:rFonts w:asciiTheme="majorHAnsi" w:hAnsiTheme="majorHAnsi" w:cs="Arial"/>
          <w:sz w:val="40"/>
          <w:szCs w:val="40"/>
        </w:rPr>
        <w:t>5</w:t>
      </w:r>
    </w:p>
    <w:p w:rsidR="002906DA" w:rsidRDefault="002906DA" w:rsidP="002B7B24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2906DA">
        <w:rPr>
          <w:rFonts w:asciiTheme="majorHAnsi" w:hAnsiTheme="majorHAnsi" w:cs="Arial"/>
          <w:sz w:val="28"/>
          <w:szCs w:val="28"/>
        </w:rPr>
        <w:t>ke smlouvě o dílo č. 15/2012</w:t>
      </w:r>
    </w:p>
    <w:p w:rsidR="002906DA" w:rsidRDefault="002906DA" w:rsidP="002B7B24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2906DA" w:rsidRPr="002906DA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  <w:caps/>
          <w:sz w:val="24"/>
          <w:szCs w:val="24"/>
        </w:rPr>
      </w:pPr>
      <w:r w:rsidRPr="002906DA">
        <w:rPr>
          <w:rFonts w:asciiTheme="majorHAnsi" w:hAnsiTheme="majorHAnsi" w:cs="Arial"/>
          <w:b/>
          <w:caps/>
          <w:sz w:val="24"/>
          <w:szCs w:val="24"/>
        </w:rPr>
        <w:t>Smluvní strany:</w:t>
      </w:r>
    </w:p>
    <w:p w:rsidR="002906DA" w:rsidRDefault="002906DA" w:rsidP="002B7B2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  <w:b/>
        </w:rPr>
        <w:t>Objednatel:</w:t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  <w:t xml:space="preserve">ČR – Státní pozemkový úřad 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  <w:t>Krajský pozemkový úřad pro Kraj Vysočina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  <w:b/>
        </w:rPr>
        <w:t>Pobočka Žďár nad Sázavou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Adresa:</w:t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  <w:t>Strojírenská 12/1208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  <w:t>591 01 Žďár nad Sázavou</w:t>
      </w:r>
    </w:p>
    <w:p w:rsidR="002906DA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Ve smluvních 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>Ing. Jiří Klusáček, vedoucí pobočky Žďár n.S.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</w:t>
      </w:r>
      <w:r>
        <w:rPr>
          <w:rFonts w:asciiTheme="majorHAnsi" w:hAnsiTheme="majorHAnsi" w:cs="Arial"/>
        </w:rPr>
        <w:t xml:space="preserve"> technických </w:t>
      </w:r>
      <w:r w:rsidRPr="00465150">
        <w:rPr>
          <w:rFonts w:asciiTheme="majorHAnsi" w:hAnsiTheme="majorHAnsi" w:cs="Arial"/>
        </w:rPr>
        <w:t>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>Ing. Petr Pejchal, referent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Bankovní spojení: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Česká národní banka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Číslo účtu: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19-37230001/0710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IČ/DIČ: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01312774 / CZ01312774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465150" w:rsidRPr="00465150" w:rsidRDefault="00465150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  <w:b/>
        </w:rPr>
        <w:t>Zhotovitel:</w:t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  <w:t>GEO Hrubý spol. s r.o.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Adresa:</w:t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Doudlevecká 26/730, 301 00 Plzeň</w:t>
      </w:r>
    </w:p>
    <w:p w:rsidR="00465150" w:rsidRP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Zastoupený: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Ing. Zdeňkem Hrubým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Ve smluvních 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>Ing. Zdeňkem Hrubým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</w:t>
      </w:r>
      <w:r>
        <w:rPr>
          <w:rFonts w:asciiTheme="majorHAnsi" w:hAnsiTheme="majorHAnsi" w:cs="Arial"/>
        </w:rPr>
        <w:t xml:space="preserve"> technických </w:t>
      </w:r>
      <w:r w:rsidRPr="00465150">
        <w:rPr>
          <w:rFonts w:asciiTheme="majorHAnsi" w:hAnsiTheme="majorHAnsi" w:cs="Arial"/>
        </w:rPr>
        <w:t>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 xml:space="preserve">Ing. Zdeňkem Hrubým 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Bankovní spojení: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Komerční banka a.s. Plzeň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Číslo účtu: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21106-381/0100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IČ/DIČ: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C960EF">
        <w:rPr>
          <w:rFonts w:asciiTheme="majorHAnsi" w:hAnsiTheme="majorHAnsi" w:cs="Arial"/>
        </w:rPr>
        <w:t>25227751</w:t>
      </w:r>
      <w:r>
        <w:rPr>
          <w:rFonts w:asciiTheme="majorHAnsi" w:hAnsiTheme="majorHAnsi" w:cs="Arial"/>
        </w:rPr>
        <w:t xml:space="preserve"> / CZ</w:t>
      </w:r>
      <w:r w:rsidR="00C960EF">
        <w:rPr>
          <w:rFonts w:asciiTheme="majorHAnsi" w:hAnsiTheme="majorHAnsi" w:cs="Arial"/>
        </w:rPr>
        <w:t>25227751</w:t>
      </w:r>
    </w:p>
    <w:p w:rsidR="00C960EF" w:rsidRDefault="00C960EF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C960EF" w:rsidRDefault="00C960EF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Smluvní strany se dohodly na tomto dodatku č.</w:t>
      </w:r>
      <w:r w:rsidR="00D167AB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 xml:space="preserve">, kterým se mění smlouva </w:t>
      </w:r>
      <w:r w:rsidR="00D23920">
        <w:rPr>
          <w:rFonts w:asciiTheme="majorHAnsi" w:hAnsiTheme="majorHAnsi" w:cs="Arial"/>
        </w:rPr>
        <w:t>č. 15/2012 ze dne 20.8.2012 na vypracování návrhu komplexních pozemkových úprav v k.ú. Otín u Měřína.</w:t>
      </w:r>
    </w:p>
    <w:p w:rsidR="00D23920" w:rsidRPr="00C23546" w:rsidRDefault="00D23920" w:rsidP="00C23546">
      <w:pPr>
        <w:spacing w:after="0" w:line="240" w:lineRule="auto"/>
        <w:jc w:val="both"/>
        <w:rPr>
          <w:rFonts w:asciiTheme="majorHAnsi" w:hAnsiTheme="majorHAnsi" w:cs="Arial"/>
        </w:rPr>
      </w:pPr>
      <w:r w:rsidRPr="00C23546">
        <w:rPr>
          <w:rFonts w:asciiTheme="majorHAnsi" w:hAnsiTheme="majorHAnsi" w:cs="Arial"/>
        </w:rPr>
        <w:t xml:space="preserve">Na základě </w:t>
      </w:r>
      <w:r w:rsidR="00C23546" w:rsidRPr="00C23546">
        <w:rPr>
          <w:rFonts w:asciiTheme="majorHAnsi" w:hAnsiTheme="majorHAnsi" w:cs="Arial"/>
        </w:rPr>
        <w:t>skutečnosti, že vyhotovený návrh KoPÚ Otín je vystaven od 12.6.2017 po dobu</w:t>
      </w:r>
      <w:r w:rsidR="00C23546">
        <w:rPr>
          <w:rFonts w:asciiTheme="majorHAnsi" w:hAnsiTheme="majorHAnsi" w:cs="Arial"/>
        </w:rPr>
        <w:t xml:space="preserve"> 30-ti, tj. do 12.7.2017 </w:t>
      </w:r>
      <w:r w:rsidR="00801AE3" w:rsidRPr="00C23546">
        <w:rPr>
          <w:rFonts w:asciiTheme="majorHAnsi" w:hAnsiTheme="majorHAnsi" w:cs="Arial"/>
        </w:rPr>
        <w:t xml:space="preserve">se </w:t>
      </w:r>
      <w:r w:rsidR="009F32DF" w:rsidRPr="00C23546">
        <w:rPr>
          <w:rFonts w:asciiTheme="majorHAnsi" w:hAnsiTheme="majorHAnsi" w:cs="Arial"/>
        </w:rPr>
        <w:t xml:space="preserve">mění </w:t>
      </w:r>
      <w:r w:rsidR="005424E7" w:rsidRPr="00C23546">
        <w:rPr>
          <w:rFonts w:asciiTheme="majorHAnsi" w:hAnsiTheme="majorHAnsi" w:cs="Arial"/>
        </w:rPr>
        <w:t>termín dokončení etap</w:t>
      </w:r>
      <w:r w:rsidR="00C23546">
        <w:rPr>
          <w:rFonts w:asciiTheme="majorHAnsi" w:hAnsiTheme="majorHAnsi" w:cs="Arial"/>
        </w:rPr>
        <w:t>y 2.5.</w:t>
      </w:r>
      <w:r w:rsidR="005424E7" w:rsidRPr="00C23546">
        <w:rPr>
          <w:rFonts w:asciiTheme="majorHAnsi" w:hAnsiTheme="majorHAnsi" w:cs="Arial"/>
        </w:rPr>
        <w:t xml:space="preserve"> </w:t>
      </w:r>
      <w:r w:rsidR="0020734A" w:rsidRPr="00C23546">
        <w:rPr>
          <w:rFonts w:asciiTheme="majorHAnsi" w:hAnsiTheme="majorHAnsi" w:cs="Arial"/>
        </w:rPr>
        <w:t>uveden</w:t>
      </w:r>
      <w:r w:rsidR="00CB095D">
        <w:rPr>
          <w:rFonts w:asciiTheme="majorHAnsi" w:hAnsiTheme="majorHAnsi" w:cs="Arial"/>
        </w:rPr>
        <w:t>é</w:t>
      </w:r>
      <w:r w:rsidR="0020734A" w:rsidRPr="00C23546">
        <w:rPr>
          <w:rFonts w:asciiTheme="majorHAnsi" w:hAnsiTheme="majorHAnsi" w:cs="Arial"/>
        </w:rPr>
        <w:t xml:space="preserve"> v příloze č. 1 smlouvy </w:t>
      </w:r>
      <w:r w:rsidR="005424E7" w:rsidRPr="00C23546">
        <w:rPr>
          <w:rFonts w:asciiTheme="majorHAnsi" w:hAnsiTheme="majorHAnsi" w:cs="Arial"/>
        </w:rPr>
        <w:t>takto:</w:t>
      </w:r>
    </w:p>
    <w:tbl>
      <w:tblPr>
        <w:tblW w:w="0" w:type="auto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5057"/>
        <w:gridCol w:w="4471"/>
      </w:tblGrid>
      <w:tr w:rsidR="0020734A" w:rsidRPr="005424E7" w:rsidTr="00801AE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E7" w:rsidRPr="005424E7" w:rsidRDefault="005424E7" w:rsidP="002B7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E7" w:rsidRPr="005424E7" w:rsidRDefault="005424E7" w:rsidP="002B7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b/>
                <w:bCs/>
                <w:color w:val="000000"/>
              </w:rPr>
              <w:t>Etapa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E7" w:rsidRPr="005424E7" w:rsidRDefault="005424E7" w:rsidP="002B7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dokončení</w:t>
            </w:r>
          </w:p>
        </w:tc>
      </w:tr>
      <w:tr w:rsidR="0020734A" w:rsidRPr="005424E7" w:rsidTr="00801AE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4E7" w:rsidRPr="005424E7" w:rsidRDefault="0020734A" w:rsidP="002B7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E7" w:rsidRPr="005424E7" w:rsidRDefault="005424E7" w:rsidP="002B7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color w:val="000000"/>
              </w:rPr>
              <w:t>Vypracování návrhu nového uspořádání pozemků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4E7" w:rsidRPr="005424E7" w:rsidRDefault="005424E7" w:rsidP="00D16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color w:val="000000"/>
              </w:rPr>
              <w:t>30.</w:t>
            </w:r>
            <w:r w:rsidR="00CB095D"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5424E7">
              <w:rPr>
                <w:rFonts w:ascii="Calibri" w:eastAsia="Times New Roman" w:hAnsi="Calibri" w:cs="Times New Roman"/>
                <w:color w:val="000000"/>
              </w:rPr>
              <w:t>.201</w:t>
            </w:r>
            <w:r w:rsidR="00D167A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</w:tbl>
    <w:p w:rsidR="002E0AD3" w:rsidRDefault="002E0AD3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CB095D" w:rsidRDefault="00360DEE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Odůvodnění: Dodatkem č.</w:t>
      </w:r>
      <w:r w:rsidR="00CB095D">
        <w:rPr>
          <w:rFonts w:asciiTheme="majorHAnsi" w:hAnsiTheme="majorHAnsi" w:cs="Arial"/>
        </w:rPr>
        <w:t>5</w:t>
      </w:r>
      <w:r>
        <w:rPr>
          <w:rFonts w:asciiTheme="majorHAnsi" w:hAnsiTheme="majorHAnsi" w:cs="Arial"/>
        </w:rPr>
        <w:t xml:space="preserve"> </w:t>
      </w:r>
      <w:r w:rsidR="00801AE3">
        <w:rPr>
          <w:rFonts w:asciiTheme="majorHAnsi" w:hAnsiTheme="majorHAnsi" w:cs="Arial"/>
        </w:rPr>
        <w:t xml:space="preserve">se mění termín vyhotovení návrhu nového uspořádání pozemků. </w:t>
      </w:r>
      <w:r w:rsidR="00CB095D">
        <w:rPr>
          <w:rFonts w:asciiTheme="majorHAnsi" w:hAnsiTheme="majorHAnsi" w:cs="Arial"/>
        </w:rPr>
        <w:t>Součástí dokumentace návrhu KoPÚ jsou v souladu se smlouv</w:t>
      </w:r>
      <w:r w:rsidR="00FF3631">
        <w:rPr>
          <w:rFonts w:asciiTheme="majorHAnsi" w:hAnsiTheme="majorHAnsi" w:cs="Arial"/>
        </w:rPr>
        <w:t>o</w:t>
      </w:r>
      <w:r w:rsidR="00CB095D">
        <w:rPr>
          <w:rFonts w:asciiTheme="majorHAnsi" w:hAnsiTheme="majorHAnsi" w:cs="Arial"/>
        </w:rPr>
        <w:t>u projednané a zapracované připomínky a námitky v době vystavení návrhu</w:t>
      </w:r>
      <w:r w:rsidR="00D167AB">
        <w:rPr>
          <w:rFonts w:asciiTheme="majorHAnsi" w:hAnsiTheme="majorHAnsi" w:cs="Arial"/>
        </w:rPr>
        <w:t xml:space="preserve">. </w:t>
      </w:r>
      <w:r w:rsidR="00CB095D">
        <w:rPr>
          <w:rFonts w:asciiTheme="majorHAnsi" w:hAnsiTheme="majorHAnsi" w:cs="Arial"/>
        </w:rPr>
        <w:t xml:space="preserve">K dnešnímu dni nelze  dokončit etapu 2.5., protože </w:t>
      </w:r>
      <w:r w:rsidR="00FF3631">
        <w:rPr>
          <w:rFonts w:asciiTheme="majorHAnsi" w:hAnsiTheme="majorHAnsi" w:cs="Arial"/>
        </w:rPr>
        <w:t xml:space="preserve">termín </w:t>
      </w:r>
      <w:r w:rsidR="00CB095D">
        <w:rPr>
          <w:rFonts w:asciiTheme="majorHAnsi" w:hAnsiTheme="majorHAnsi" w:cs="Arial"/>
        </w:rPr>
        <w:t xml:space="preserve">vystavení návrhu je do 12.7.2017 a současně není známo zda budou uplatněny námitky a připomínky k vystavenému návrhu. Důvody posunutí termínu </w:t>
      </w:r>
      <w:r w:rsidR="00FF3631">
        <w:rPr>
          <w:rFonts w:asciiTheme="majorHAnsi" w:hAnsiTheme="majorHAnsi" w:cs="Arial"/>
        </w:rPr>
        <w:t xml:space="preserve">jsou popsány v předešlých dodatcích ke smlouvě o dílo. </w:t>
      </w:r>
      <w:r w:rsidR="00CB095D">
        <w:rPr>
          <w:rFonts w:asciiTheme="majorHAnsi" w:hAnsiTheme="majorHAnsi" w:cs="Arial"/>
        </w:rPr>
        <w:t xml:space="preserve">Smluvní strany se dohodli na posunutí termínu odevzdání etapy 2.5. tak, aby byla zachována i dostatečné doba pro projednání námitek a připomínek podaných v době vystavení návrhu KoPÚ. </w:t>
      </w:r>
    </w:p>
    <w:p w:rsidR="00446510" w:rsidRDefault="0044651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Vzhledem k těmto popsaným skutečnost</w:t>
      </w:r>
      <w:r w:rsidR="00575FF7">
        <w:rPr>
          <w:rFonts w:asciiTheme="majorHAnsi" w:hAnsiTheme="majorHAnsi" w:cs="Arial"/>
        </w:rPr>
        <w:t>em</w:t>
      </w:r>
      <w:r>
        <w:rPr>
          <w:rFonts w:asciiTheme="majorHAnsi" w:hAnsiTheme="majorHAnsi" w:cs="Arial"/>
        </w:rPr>
        <w:t xml:space="preserve"> nelze provést dokončení etapy 2.5. v původním termínu do 30.</w:t>
      </w:r>
      <w:r w:rsidR="00FF3631">
        <w:rPr>
          <w:rFonts w:asciiTheme="majorHAnsi" w:hAnsiTheme="majorHAnsi" w:cs="Arial"/>
        </w:rPr>
        <w:t>6</w:t>
      </w:r>
      <w:r>
        <w:rPr>
          <w:rFonts w:asciiTheme="majorHAnsi" w:hAnsiTheme="majorHAnsi" w:cs="Arial"/>
        </w:rPr>
        <w:t>.201</w:t>
      </w:r>
      <w:r w:rsidR="00FF3631">
        <w:rPr>
          <w:rFonts w:asciiTheme="majorHAnsi" w:hAnsiTheme="majorHAnsi" w:cs="Arial"/>
        </w:rPr>
        <w:t>7</w:t>
      </w:r>
      <w:r>
        <w:rPr>
          <w:rFonts w:asciiTheme="majorHAnsi" w:hAnsiTheme="majorHAnsi" w:cs="Arial"/>
        </w:rPr>
        <w:t xml:space="preserve"> a bylo přistoupeno k posunutí termínu do 30.</w:t>
      </w:r>
      <w:r w:rsidR="00FF3631">
        <w:rPr>
          <w:rFonts w:asciiTheme="majorHAnsi" w:hAnsiTheme="majorHAnsi" w:cs="Arial"/>
        </w:rPr>
        <w:t>9</w:t>
      </w:r>
      <w:r>
        <w:rPr>
          <w:rFonts w:asciiTheme="majorHAnsi" w:hAnsiTheme="majorHAnsi" w:cs="Arial"/>
        </w:rPr>
        <w:t>.2017.</w:t>
      </w:r>
    </w:p>
    <w:p w:rsidR="00926A23" w:rsidRDefault="00926A23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465150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Ostatní ujednání smlouvy o dílo zůstávají nezměněny.</w:t>
      </w:r>
    </w:p>
    <w:p w:rsidR="00687A7B" w:rsidRDefault="00687A7B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Ve Žďáře nad Sázavou dne </w:t>
      </w:r>
      <w:r w:rsidR="00FF3631">
        <w:rPr>
          <w:rFonts w:asciiTheme="majorHAnsi" w:hAnsiTheme="majorHAnsi" w:cs="Arial"/>
        </w:rPr>
        <w:t>28</w:t>
      </w:r>
      <w:r w:rsidR="00DE3CF7">
        <w:rPr>
          <w:rFonts w:asciiTheme="majorHAnsi" w:hAnsiTheme="majorHAnsi" w:cs="Arial"/>
        </w:rPr>
        <w:t>.</w:t>
      </w:r>
      <w:r w:rsidR="00FF3631">
        <w:rPr>
          <w:rFonts w:asciiTheme="majorHAnsi" w:hAnsiTheme="majorHAnsi" w:cs="Arial"/>
        </w:rPr>
        <w:t>6</w:t>
      </w:r>
      <w:r w:rsidR="00DE3CF7">
        <w:rPr>
          <w:rFonts w:asciiTheme="majorHAnsi" w:hAnsiTheme="majorHAnsi" w:cs="Arial"/>
        </w:rPr>
        <w:t>.201</w:t>
      </w:r>
      <w:r w:rsidR="00FF3631">
        <w:rPr>
          <w:rFonts w:asciiTheme="majorHAnsi" w:hAnsiTheme="majorHAnsi" w:cs="Arial"/>
        </w:rPr>
        <w:t>7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2B7E36" w:rsidRDefault="002B7E36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E36" w:rsidRDefault="002B7E36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926A23" w:rsidRDefault="00926A23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E36" w:rsidRDefault="002B7E36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0734A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……………………………………………..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…………………………………………………..</w:t>
      </w:r>
    </w:p>
    <w:p w:rsidR="002B7B24" w:rsidRDefault="002B7B24" w:rsidP="002B7B24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Ing. Jiří Klusáček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Ing. Zdeněk Hrubý</w:t>
      </w:r>
    </w:p>
    <w:p w:rsidR="002B7B24" w:rsidRPr="00465150" w:rsidRDefault="002B7B24" w:rsidP="00446510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 objednatele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za zhotovitele</w:t>
      </w:r>
    </w:p>
    <w:sectPr w:rsidR="002B7B24" w:rsidRPr="00465150" w:rsidSect="002B7B24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87C04"/>
    <w:multiLevelType w:val="hybridMultilevel"/>
    <w:tmpl w:val="2774F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DA"/>
    <w:rsid w:val="0020734A"/>
    <w:rsid w:val="0022050D"/>
    <w:rsid w:val="002906DA"/>
    <w:rsid w:val="002B7B24"/>
    <w:rsid w:val="002B7E36"/>
    <w:rsid w:val="002E0AD3"/>
    <w:rsid w:val="00360DEE"/>
    <w:rsid w:val="003D2CFD"/>
    <w:rsid w:val="00446510"/>
    <w:rsid w:val="00465150"/>
    <w:rsid w:val="005424E7"/>
    <w:rsid w:val="00575FF7"/>
    <w:rsid w:val="005A288B"/>
    <w:rsid w:val="00687A7B"/>
    <w:rsid w:val="0078064A"/>
    <w:rsid w:val="007A2554"/>
    <w:rsid w:val="00801AE3"/>
    <w:rsid w:val="009125CE"/>
    <w:rsid w:val="00926A23"/>
    <w:rsid w:val="009F32DF"/>
    <w:rsid w:val="00AB40F8"/>
    <w:rsid w:val="00C23546"/>
    <w:rsid w:val="00C960EF"/>
    <w:rsid w:val="00CB095D"/>
    <w:rsid w:val="00CB3E26"/>
    <w:rsid w:val="00D167AB"/>
    <w:rsid w:val="00D23920"/>
    <w:rsid w:val="00D23BB7"/>
    <w:rsid w:val="00DB2B09"/>
    <w:rsid w:val="00DE3CF7"/>
    <w:rsid w:val="00F51FE5"/>
    <w:rsid w:val="00F7389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A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A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Hamáková Zdenka</cp:lastModifiedBy>
  <cp:revision>2</cp:revision>
  <cp:lastPrinted>2015-10-21T07:56:00Z</cp:lastPrinted>
  <dcterms:created xsi:type="dcterms:W3CDTF">2017-09-07T06:05:00Z</dcterms:created>
  <dcterms:modified xsi:type="dcterms:W3CDTF">2017-09-07T06:05:00Z</dcterms:modified>
</cp:coreProperties>
</file>