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7FC47" w14:textId="744EFBF5" w:rsidR="00B64EC3" w:rsidRPr="00512A6B" w:rsidRDefault="00B64EC3" w:rsidP="00512A6B">
      <w:pPr>
        <w:jc w:val="center"/>
        <w:rPr>
          <w:b/>
          <w:bCs/>
          <w:sz w:val="44"/>
          <w:szCs w:val="44"/>
        </w:rPr>
      </w:pPr>
      <w:r w:rsidRPr="00512A6B">
        <w:rPr>
          <w:b/>
          <w:bCs/>
          <w:sz w:val="44"/>
          <w:szCs w:val="44"/>
        </w:rPr>
        <w:t>Servisní smlouva č. 1390/2024</w:t>
      </w:r>
    </w:p>
    <w:p w14:paraId="1524E768" w14:textId="1AE16DCB" w:rsidR="00B64EC3" w:rsidRPr="00512A6B" w:rsidRDefault="00B64EC3" w:rsidP="00512A6B">
      <w:pPr>
        <w:jc w:val="center"/>
        <w:rPr>
          <w:b/>
          <w:bCs/>
          <w:sz w:val="28"/>
          <w:szCs w:val="28"/>
        </w:rPr>
      </w:pPr>
      <w:r w:rsidRPr="00512A6B">
        <w:rPr>
          <w:b/>
          <w:bCs/>
          <w:sz w:val="28"/>
          <w:szCs w:val="28"/>
        </w:rPr>
        <w:t>Smluvní strany</w:t>
      </w:r>
    </w:p>
    <w:p w14:paraId="2DD30578" w14:textId="77777777" w:rsidR="00B64EC3" w:rsidRDefault="00B64EC3"/>
    <w:p w14:paraId="5CB6EB9B" w14:textId="2E1E96A2" w:rsidR="00B64EC3" w:rsidRPr="00512A6B" w:rsidRDefault="00B64EC3">
      <w:pPr>
        <w:rPr>
          <w:b/>
          <w:bCs/>
          <w:sz w:val="28"/>
          <w:szCs w:val="28"/>
        </w:rPr>
      </w:pPr>
      <w:r w:rsidRPr="00512A6B">
        <w:rPr>
          <w:b/>
          <w:bCs/>
          <w:sz w:val="28"/>
          <w:szCs w:val="28"/>
        </w:rPr>
        <w:t>Objednatel:</w:t>
      </w:r>
    </w:p>
    <w:p w14:paraId="1CF6D5C4" w14:textId="132637AB" w:rsidR="00B64EC3" w:rsidRPr="00512A6B" w:rsidRDefault="00B64EC3">
      <w:pPr>
        <w:rPr>
          <w:b/>
          <w:bCs/>
        </w:rPr>
      </w:pPr>
      <w:r w:rsidRPr="00512A6B">
        <w:rPr>
          <w:b/>
          <w:bCs/>
        </w:rPr>
        <w:t>Centrum sociálních služeb Bystré</w:t>
      </w:r>
    </w:p>
    <w:p w14:paraId="20067F66" w14:textId="35256706" w:rsidR="00B64EC3" w:rsidRDefault="00512A6B">
      <w:r>
        <w:t>Školní 319</w:t>
      </w:r>
    </w:p>
    <w:p w14:paraId="76EE0EC5" w14:textId="725C380F" w:rsidR="00512A6B" w:rsidRDefault="00512A6B">
      <w:r>
        <w:t>569 92 Bystré</w:t>
      </w:r>
    </w:p>
    <w:p w14:paraId="56DF9A20" w14:textId="733B0E2B" w:rsidR="00512A6B" w:rsidRDefault="00512A6B">
      <w:r>
        <w:t>IČ: 75007932</w:t>
      </w:r>
    </w:p>
    <w:p w14:paraId="3B9B83B4" w14:textId="7AF63BA8" w:rsidR="00512A6B" w:rsidRDefault="00512A6B">
      <w:r>
        <w:t>Zastoupený: Mgr. Ivo Musil</w:t>
      </w:r>
      <w:r w:rsidR="00141199">
        <w:t>em</w:t>
      </w:r>
      <w:r>
        <w:t>, ředitel</w:t>
      </w:r>
      <w:r w:rsidR="00141199">
        <w:t>em</w:t>
      </w:r>
    </w:p>
    <w:p w14:paraId="1BAF1F53" w14:textId="32DB39BF" w:rsidR="00512A6B" w:rsidRDefault="00512A6B">
      <w:r>
        <w:t>Tel. č. +</w:t>
      </w:r>
    </w:p>
    <w:p w14:paraId="453B8836" w14:textId="6200C1A2" w:rsidR="00512A6B" w:rsidRDefault="00512A6B">
      <w:r>
        <w:t>Spisová zn.: PR 605 vedená u Krajského soudu v Hradci Králové</w:t>
      </w:r>
    </w:p>
    <w:p w14:paraId="540F84B6" w14:textId="69DD11E5" w:rsidR="00512A6B" w:rsidRDefault="00512A6B">
      <w:r>
        <w:t>a</w:t>
      </w:r>
    </w:p>
    <w:p w14:paraId="561A8495" w14:textId="0343E7F2" w:rsidR="00B64EC3" w:rsidRPr="00512A6B" w:rsidRDefault="00B64EC3">
      <w:pPr>
        <w:rPr>
          <w:b/>
          <w:bCs/>
          <w:sz w:val="28"/>
          <w:szCs w:val="28"/>
        </w:rPr>
      </w:pPr>
      <w:r w:rsidRPr="00512A6B">
        <w:rPr>
          <w:b/>
          <w:bCs/>
          <w:sz w:val="28"/>
          <w:szCs w:val="28"/>
        </w:rPr>
        <w:t>Poskytovatel:</w:t>
      </w:r>
    </w:p>
    <w:p w14:paraId="4DE55BA5" w14:textId="6E919C73" w:rsidR="00B64EC3" w:rsidRPr="00512A6B" w:rsidRDefault="00512A6B">
      <w:pPr>
        <w:rPr>
          <w:b/>
          <w:bCs/>
        </w:rPr>
      </w:pPr>
      <w:r w:rsidRPr="00512A6B">
        <w:rPr>
          <w:b/>
          <w:bCs/>
        </w:rPr>
        <w:t>HASVEL s.r.o.</w:t>
      </w:r>
    </w:p>
    <w:p w14:paraId="632BD2B3" w14:textId="7F241B53" w:rsidR="00512A6B" w:rsidRDefault="00512A6B">
      <w:proofErr w:type="spellStart"/>
      <w:r>
        <w:t>Nedošín</w:t>
      </w:r>
      <w:proofErr w:type="spellEnd"/>
      <w:r>
        <w:t xml:space="preserve"> 31</w:t>
      </w:r>
    </w:p>
    <w:p w14:paraId="273934CB" w14:textId="7FF53E72" w:rsidR="00512A6B" w:rsidRDefault="00512A6B">
      <w:r>
        <w:t>570 01 Litomyšl</w:t>
      </w:r>
    </w:p>
    <w:p w14:paraId="7E69A115" w14:textId="594E9FFF" w:rsidR="00512A6B" w:rsidRDefault="00512A6B">
      <w:r>
        <w:t>IČ: 26011611, DIČ:CZ26011611</w:t>
      </w:r>
    </w:p>
    <w:p w14:paraId="385CDEB7" w14:textId="570A8835" w:rsidR="00141199" w:rsidRDefault="00141199">
      <w:r>
        <w:t xml:space="preserve">Zastoupený: Ing. Pavlem Kopeckým, </w:t>
      </w:r>
      <w:r w:rsidR="001D3B1F">
        <w:t>jednatelem</w:t>
      </w:r>
    </w:p>
    <w:p w14:paraId="7EC84F4F" w14:textId="113D2B51" w:rsidR="00512A6B" w:rsidRDefault="00512A6B">
      <w:r>
        <w:t>Spisová zn.: oddíl C, vložka 19941 vedená u Krajského soudu v Hradci Králové</w:t>
      </w:r>
    </w:p>
    <w:p w14:paraId="6FC6AEBA" w14:textId="342A17B9" w:rsidR="00B64EC3" w:rsidRPr="00512A6B" w:rsidRDefault="00B64EC3" w:rsidP="00512A6B">
      <w:pPr>
        <w:jc w:val="center"/>
        <w:rPr>
          <w:b/>
          <w:bCs/>
        </w:rPr>
      </w:pPr>
    </w:p>
    <w:p w14:paraId="4DDCDB50" w14:textId="07FB3CE5" w:rsidR="00B64EC3" w:rsidRPr="00512A6B" w:rsidRDefault="00B64EC3" w:rsidP="00512A6B">
      <w:pPr>
        <w:jc w:val="center"/>
        <w:rPr>
          <w:b/>
          <w:bCs/>
        </w:rPr>
      </w:pPr>
      <w:r w:rsidRPr="00512A6B">
        <w:rPr>
          <w:b/>
          <w:bCs/>
        </w:rPr>
        <w:t>Předmět smlouvy</w:t>
      </w:r>
    </w:p>
    <w:p w14:paraId="0011C1CD" w14:textId="39B2DAF5" w:rsidR="00B64EC3" w:rsidRPr="00512A6B" w:rsidRDefault="00B64EC3" w:rsidP="00B64EC3">
      <w:pPr>
        <w:rPr>
          <w:b/>
          <w:bCs/>
        </w:rPr>
      </w:pPr>
      <w:r w:rsidRPr="00512A6B">
        <w:rPr>
          <w:b/>
          <w:bCs/>
        </w:rPr>
        <w:t>Předmětem této smlouvy je zajištění:</w:t>
      </w:r>
    </w:p>
    <w:p w14:paraId="7AC30D97" w14:textId="2C1F6915" w:rsidR="00B64EC3" w:rsidRDefault="00B64EC3" w:rsidP="00B64EC3">
      <w:pPr>
        <w:rPr>
          <w:rFonts w:eastAsia="Times New Roman"/>
        </w:rPr>
      </w:pPr>
      <w:r>
        <w:t>1) kontroly provozuschopnosti hasicích přístrojů (věcné prostředky požární ochrany) ve smyslu</w:t>
      </w:r>
      <w:r>
        <w:rPr>
          <w:rFonts w:eastAsia="Times New Roman"/>
        </w:rPr>
        <w:t xml:space="preserve"> §9 vyhl.č.246/2001 Sb., o požární prevenci, v platném znění</w:t>
      </w:r>
    </w:p>
    <w:p w14:paraId="27ED4B73" w14:textId="7BBF8735" w:rsidR="00B64EC3" w:rsidRDefault="00B64EC3" w:rsidP="00B64EC3">
      <w:pPr>
        <w:rPr>
          <w:rFonts w:eastAsia="Times New Roman"/>
        </w:rPr>
      </w:pPr>
      <w:r>
        <w:rPr>
          <w:rFonts w:eastAsia="Times New Roman"/>
        </w:rPr>
        <w:t>2) kontroly provozuschopnosti zařízení pro zásobování požární vodou (požárně bezpečnostní zařízení) ve smyslu §7 vyhl.č.246/2001 Sb., o požární prevenci, v platném znění</w:t>
      </w:r>
    </w:p>
    <w:p w14:paraId="7DB2F7F5" w14:textId="6BD7FB9E" w:rsidR="00843330" w:rsidRDefault="00843330" w:rsidP="00B64EC3">
      <w:pPr>
        <w:rPr>
          <w:rFonts w:eastAsia="Times New Roman"/>
        </w:rPr>
      </w:pPr>
      <w:r>
        <w:rPr>
          <w:rFonts w:eastAsia="Times New Roman"/>
        </w:rPr>
        <w:t xml:space="preserve">V případě potřeby poskytovatel provede rovněž opravy hasicích přístrojů. </w:t>
      </w:r>
    </w:p>
    <w:p w14:paraId="6301E369" w14:textId="11861FCD" w:rsidR="00512A6B" w:rsidRDefault="00512A6B" w:rsidP="00B64EC3">
      <w:pPr>
        <w:rPr>
          <w:rFonts w:eastAsia="Times New Roman"/>
        </w:rPr>
      </w:pPr>
      <w:r>
        <w:rPr>
          <w:rFonts w:eastAsia="Times New Roman"/>
        </w:rPr>
        <w:t xml:space="preserve">Místem kontrol jsou objekty v majetku Pardubického kraje s právem hospodaření </w:t>
      </w:r>
      <w:r w:rsidR="008620E7">
        <w:rPr>
          <w:rFonts w:eastAsia="Times New Roman"/>
        </w:rPr>
        <w:t xml:space="preserve">pro Centrum sociálních služeb Bystré. </w:t>
      </w:r>
    </w:p>
    <w:p w14:paraId="0F27E6D0" w14:textId="77777777" w:rsidR="00E82B4B" w:rsidRDefault="00E82B4B" w:rsidP="00B64EC3">
      <w:pPr>
        <w:rPr>
          <w:rFonts w:eastAsia="Times New Roman"/>
        </w:rPr>
      </w:pPr>
    </w:p>
    <w:p w14:paraId="7295E62A" w14:textId="77777777" w:rsidR="00E82B4B" w:rsidRDefault="00E82B4B" w:rsidP="00B64EC3">
      <w:pPr>
        <w:rPr>
          <w:rFonts w:eastAsia="Times New Roman"/>
        </w:rPr>
      </w:pPr>
    </w:p>
    <w:p w14:paraId="617EBEE8" w14:textId="08CE6F71" w:rsidR="008620E7" w:rsidRPr="00E82B4B" w:rsidRDefault="008620E7" w:rsidP="00B64EC3">
      <w:pPr>
        <w:rPr>
          <w:rFonts w:eastAsia="Times New Roman"/>
          <w:b/>
          <w:bCs/>
        </w:rPr>
      </w:pPr>
      <w:r w:rsidRPr="00E82B4B">
        <w:rPr>
          <w:rFonts w:eastAsia="Times New Roman"/>
          <w:b/>
          <w:bCs/>
        </w:rPr>
        <w:lastRenderedPageBreak/>
        <w:t>Jedná se o objekty na těchto adresách:</w:t>
      </w:r>
    </w:p>
    <w:p w14:paraId="43D2D67D" w14:textId="4B15119D" w:rsidR="008620E7" w:rsidRPr="00E82B4B" w:rsidRDefault="008620E7" w:rsidP="00E82B4B">
      <w:pPr>
        <w:pStyle w:val="Odstavecseseznamem"/>
        <w:numPr>
          <w:ilvl w:val="0"/>
          <w:numId w:val="3"/>
        </w:numPr>
        <w:rPr>
          <w:rFonts w:eastAsia="Times New Roman"/>
        </w:rPr>
      </w:pPr>
      <w:r w:rsidRPr="00E82B4B">
        <w:rPr>
          <w:rFonts w:eastAsia="Times New Roman"/>
        </w:rPr>
        <w:t>Zámecká čp. 1, Bystré</w:t>
      </w:r>
    </w:p>
    <w:p w14:paraId="02518410" w14:textId="7C7E9718" w:rsidR="008620E7" w:rsidRPr="00E82B4B" w:rsidRDefault="008620E7" w:rsidP="00E82B4B">
      <w:pPr>
        <w:pStyle w:val="Odstavecseseznamem"/>
        <w:numPr>
          <w:ilvl w:val="0"/>
          <w:numId w:val="3"/>
        </w:numPr>
        <w:rPr>
          <w:rFonts w:eastAsia="Times New Roman"/>
        </w:rPr>
      </w:pPr>
      <w:r w:rsidRPr="00E82B4B">
        <w:rPr>
          <w:rFonts w:eastAsia="Times New Roman"/>
        </w:rPr>
        <w:t xml:space="preserve">Zámecká bez čp. , </w:t>
      </w:r>
      <w:proofErr w:type="spellStart"/>
      <w:r w:rsidRPr="00E82B4B">
        <w:rPr>
          <w:rFonts w:eastAsia="Times New Roman"/>
        </w:rPr>
        <w:t>p.č</w:t>
      </w:r>
      <w:proofErr w:type="spellEnd"/>
      <w:r w:rsidRPr="00E82B4B">
        <w:rPr>
          <w:rFonts w:eastAsia="Times New Roman"/>
        </w:rPr>
        <w:t xml:space="preserve">. 4/1, </w:t>
      </w:r>
      <w:proofErr w:type="spellStart"/>
      <w:r w:rsidRPr="00E82B4B">
        <w:rPr>
          <w:rFonts w:eastAsia="Times New Roman"/>
        </w:rPr>
        <w:t>kú</w:t>
      </w:r>
      <w:proofErr w:type="spellEnd"/>
      <w:r w:rsidRPr="00E82B4B">
        <w:rPr>
          <w:rFonts w:eastAsia="Times New Roman"/>
        </w:rPr>
        <w:t xml:space="preserve"> Bystré u Poličky ( hospodářská budova)</w:t>
      </w:r>
    </w:p>
    <w:p w14:paraId="1F777353" w14:textId="3D756CFE" w:rsidR="008620E7" w:rsidRPr="00E82B4B" w:rsidRDefault="008620E7" w:rsidP="00E82B4B">
      <w:pPr>
        <w:pStyle w:val="Odstavecseseznamem"/>
        <w:numPr>
          <w:ilvl w:val="0"/>
          <w:numId w:val="3"/>
        </w:numPr>
        <w:rPr>
          <w:rFonts w:eastAsia="Times New Roman"/>
        </w:rPr>
      </w:pPr>
      <w:r w:rsidRPr="00E82B4B">
        <w:rPr>
          <w:rFonts w:eastAsia="Times New Roman"/>
        </w:rPr>
        <w:t>Zámecká čp. 196, Bystré  ( objekt Zátiší )</w:t>
      </w:r>
    </w:p>
    <w:p w14:paraId="10E11ACF" w14:textId="516AE1E7" w:rsidR="008620E7" w:rsidRPr="00E82B4B" w:rsidRDefault="008620E7" w:rsidP="00E82B4B">
      <w:pPr>
        <w:pStyle w:val="Odstavecseseznamem"/>
        <w:numPr>
          <w:ilvl w:val="0"/>
          <w:numId w:val="3"/>
        </w:numPr>
        <w:rPr>
          <w:rFonts w:eastAsia="Times New Roman"/>
        </w:rPr>
      </w:pPr>
      <w:r w:rsidRPr="00E82B4B">
        <w:rPr>
          <w:rFonts w:eastAsia="Times New Roman"/>
        </w:rPr>
        <w:t>Zámecká čp. 192, Bystré   (objekt „ domeček“)</w:t>
      </w:r>
    </w:p>
    <w:p w14:paraId="77893D40" w14:textId="3F79DC44" w:rsidR="008620E7" w:rsidRPr="00E82B4B" w:rsidRDefault="008620E7" w:rsidP="00E82B4B">
      <w:pPr>
        <w:pStyle w:val="Odstavecseseznamem"/>
        <w:numPr>
          <w:ilvl w:val="0"/>
          <w:numId w:val="3"/>
        </w:numPr>
        <w:rPr>
          <w:rFonts w:eastAsia="Times New Roman"/>
        </w:rPr>
      </w:pPr>
      <w:r w:rsidRPr="00E82B4B">
        <w:rPr>
          <w:rFonts w:eastAsia="Times New Roman"/>
        </w:rPr>
        <w:t>Zámecká čp. 198, Bystré  ( objekt Hájenka)</w:t>
      </w:r>
    </w:p>
    <w:p w14:paraId="4103FF75" w14:textId="190649A5" w:rsidR="008620E7" w:rsidRPr="00E82B4B" w:rsidRDefault="008620E7" w:rsidP="00E82B4B">
      <w:pPr>
        <w:pStyle w:val="Odstavecseseznamem"/>
        <w:numPr>
          <w:ilvl w:val="0"/>
          <w:numId w:val="3"/>
        </w:numPr>
        <w:rPr>
          <w:rFonts w:eastAsia="Times New Roman"/>
        </w:rPr>
      </w:pPr>
      <w:r w:rsidRPr="00E82B4B">
        <w:rPr>
          <w:rFonts w:eastAsia="Times New Roman"/>
        </w:rPr>
        <w:t>Školní čp. 319, Bystré</w:t>
      </w:r>
    </w:p>
    <w:p w14:paraId="4FEBA097" w14:textId="217CD637" w:rsidR="008620E7" w:rsidRPr="00E82B4B" w:rsidRDefault="008620E7" w:rsidP="00E82B4B">
      <w:pPr>
        <w:pStyle w:val="Odstavecseseznamem"/>
        <w:numPr>
          <w:ilvl w:val="0"/>
          <w:numId w:val="3"/>
        </w:numPr>
        <w:rPr>
          <w:rFonts w:eastAsia="Times New Roman"/>
        </w:rPr>
      </w:pPr>
      <w:r w:rsidRPr="00E82B4B">
        <w:rPr>
          <w:rFonts w:eastAsia="Times New Roman"/>
        </w:rPr>
        <w:t>Vrchlického čp. 188, Bystré</w:t>
      </w:r>
    </w:p>
    <w:p w14:paraId="4D32D2D2" w14:textId="699E70F9" w:rsidR="008620E7" w:rsidRPr="00E82B4B" w:rsidRDefault="008620E7" w:rsidP="00E82B4B">
      <w:pPr>
        <w:pStyle w:val="Odstavecseseznamem"/>
        <w:numPr>
          <w:ilvl w:val="0"/>
          <w:numId w:val="3"/>
        </w:numPr>
        <w:rPr>
          <w:rFonts w:eastAsia="Times New Roman"/>
        </w:rPr>
      </w:pPr>
      <w:r w:rsidRPr="00E82B4B">
        <w:rPr>
          <w:rFonts w:eastAsia="Times New Roman"/>
        </w:rPr>
        <w:t>nám. Na podkově čp. 7, Bystré</w:t>
      </w:r>
    </w:p>
    <w:p w14:paraId="7E60EF7F" w14:textId="28008912" w:rsidR="008620E7" w:rsidRPr="00E82B4B" w:rsidRDefault="008620E7" w:rsidP="00E82B4B">
      <w:pPr>
        <w:pStyle w:val="Odstavecseseznamem"/>
        <w:numPr>
          <w:ilvl w:val="0"/>
          <w:numId w:val="3"/>
        </w:numPr>
        <w:rPr>
          <w:rFonts w:eastAsia="Times New Roman"/>
        </w:rPr>
      </w:pPr>
      <w:r w:rsidRPr="00E82B4B">
        <w:rPr>
          <w:rFonts w:eastAsia="Times New Roman"/>
        </w:rPr>
        <w:t>Smetanova čp. 508, Bystré</w:t>
      </w:r>
    </w:p>
    <w:p w14:paraId="37973D4C" w14:textId="6834691C" w:rsidR="008620E7" w:rsidRPr="00E82B4B" w:rsidRDefault="008620E7" w:rsidP="00E82B4B">
      <w:pPr>
        <w:pStyle w:val="Odstavecseseznamem"/>
        <w:numPr>
          <w:ilvl w:val="0"/>
          <w:numId w:val="3"/>
        </w:numPr>
        <w:rPr>
          <w:rFonts w:eastAsia="Times New Roman"/>
        </w:rPr>
      </w:pPr>
      <w:r w:rsidRPr="00E82B4B">
        <w:rPr>
          <w:rFonts w:eastAsia="Times New Roman"/>
        </w:rPr>
        <w:t>Wolkerova čp. 1166, Polička</w:t>
      </w:r>
    </w:p>
    <w:p w14:paraId="3DB1434B" w14:textId="5970E492" w:rsidR="008620E7" w:rsidRPr="00E82B4B" w:rsidRDefault="008620E7" w:rsidP="00E82B4B">
      <w:pPr>
        <w:pStyle w:val="Odstavecseseznamem"/>
        <w:numPr>
          <w:ilvl w:val="0"/>
          <w:numId w:val="3"/>
        </w:numPr>
        <w:rPr>
          <w:rFonts w:eastAsia="Times New Roman"/>
        </w:rPr>
      </w:pPr>
      <w:r w:rsidRPr="00E82B4B">
        <w:rPr>
          <w:rFonts w:eastAsia="Times New Roman"/>
        </w:rPr>
        <w:t>ČSA čp. 989, Polička</w:t>
      </w:r>
    </w:p>
    <w:p w14:paraId="552AE55E" w14:textId="5CB97525" w:rsidR="008620E7" w:rsidRPr="00E82B4B" w:rsidRDefault="008620E7" w:rsidP="00B64EC3">
      <w:pPr>
        <w:pStyle w:val="Odstavecseseznamem"/>
        <w:numPr>
          <w:ilvl w:val="0"/>
          <w:numId w:val="3"/>
        </w:numPr>
        <w:rPr>
          <w:rFonts w:eastAsia="Times New Roman"/>
        </w:rPr>
      </w:pPr>
      <w:r w:rsidRPr="00E82B4B">
        <w:rPr>
          <w:rFonts w:eastAsia="Times New Roman"/>
        </w:rPr>
        <w:t>J.V. Michla čp. 1183, Polička</w:t>
      </w:r>
    </w:p>
    <w:p w14:paraId="5D32D0FD" w14:textId="438F83B3" w:rsidR="00B64EC3" w:rsidRDefault="008620E7" w:rsidP="00B64EC3">
      <w:pPr>
        <w:rPr>
          <w:rFonts w:eastAsia="Times New Roman"/>
        </w:rPr>
      </w:pPr>
      <w:r>
        <w:rPr>
          <w:rFonts w:eastAsia="Times New Roman"/>
        </w:rPr>
        <w:t>D</w:t>
      </w:r>
      <w:r w:rsidR="00B64EC3">
        <w:rPr>
          <w:rFonts w:eastAsia="Times New Roman"/>
        </w:rPr>
        <w:t>oklad o kontrole bude vystaven zvlášť na každý dům a budou uváděna jednotlivá podlaží domu.</w:t>
      </w:r>
    </w:p>
    <w:p w14:paraId="38907913" w14:textId="77777777" w:rsidR="008620E7" w:rsidRDefault="008620E7" w:rsidP="00B64EC3">
      <w:pPr>
        <w:rPr>
          <w:rFonts w:eastAsia="Times New Roman"/>
        </w:rPr>
      </w:pPr>
      <w:r>
        <w:rPr>
          <w:rFonts w:eastAsia="Times New Roman"/>
        </w:rPr>
        <w:t xml:space="preserve">Objednatel se zavazuje: </w:t>
      </w:r>
    </w:p>
    <w:p w14:paraId="2C657C27" w14:textId="04E57159" w:rsidR="008620E7" w:rsidRDefault="008620E7" w:rsidP="008620E7">
      <w:pPr>
        <w:pStyle w:val="Odstavecseseznamem"/>
        <w:numPr>
          <w:ilvl w:val="0"/>
          <w:numId w:val="1"/>
        </w:numPr>
        <w:rPr>
          <w:rFonts w:eastAsia="Times New Roman"/>
        </w:rPr>
      </w:pPr>
      <w:r w:rsidRPr="008620E7">
        <w:rPr>
          <w:rFonts w:eastAsia="Times New Roman"/>
        </w:rPr>
        <w:t>poskytovatel potřebnou součinnost, informace a podklady pro výkon výše uvedených služeb</w:t>
      </w:r>
    </w:p>
    <w:p w14:paraId="713A2318" w14:textId="054FFA6A" w:rsidR="008620E7" w:rsidRDefault="008620E7" w:rsidP="008620E7">
      <w:pPr>
        <w:pStyle w:val="Odstavecseseznamem"/>
        <w:numPr>
          <w:ilvl w:val="0"/>
          <w:numId w:val="1"/>
        </w:numPr>
        <w:rPr>
          <w:rFonts w:eastAsia="Times New Roman"/>
        </w:rPr>
      </w:pPr>
      <w:r>
        <w:rPr>
          <w:rFonts w:eastAsia="Times New Roman"/>
        </w:rPr>
        <w:t>umožnit v pracovní době přístup do všech prostor</w:t>
      </w:r>
    </w:p>
    <w:p w14:paraId="68465D57" w14:textId="59899586" w:rsidR="008620E7" w:rsidRDefault="008620E7" w:rsidP="008620E7">
      <w:pPr>
        <w:rPr>
          <w:rFonts w:eastAsia="Times New Roman"/>
        </w:rPr>
      </w:pPr>
    </w:p>
    <w:p w14:paraId="0E3A0F5F" w14:textId="439D1C35" w:rsidR="008620E7" w:rsidRPr="008620E7" w:rsidRDefault="008620E7" w:rsidP="008620E7">
      <w:pPr>
        <w:jc w:val="center"/>
        <w:rPr>
          <w:rFonts w:eastAsia="Times New Roman"/>
          <w:b/>
          <w:bCs/>
        </w:rPr>
      </w:pPr>
      <w:r w:rsidRPr="008620E7">
        <w:rPr>
          <w:rFonts w:eastAsia="Times New Roman"/>
          <w:b/>
          <w:bCs/>
        </w:rPr>
        <w:t>Cena</w:t>
      </w:r>
      <w:r w:rsidR="00843330">
        <w:rPr>
          <w:rFonts w:eastAsia="Times New Roman"/>
          <w:b/>
          <w:bCs/>
        </w:rPr>
        <w:t xml:space="preserve"> v Kč /ks</w:t>
      </w:r>
    </w:p>
    <w:tbl>
      <w:tblPr>
        <w:tblStyle w:val="Mkatabulky"/>
        <w:tblW w:w="0" w:type="auto"/>
        <w:tblLook w:val="04A0" w:firstRow="1" w:lastRow="0" w:firstColumn="1" w:lastColumn="0" w:noHBand="0" w:noVBand="1"/>
      </w:tblPr>
      <w:tblGrid>
        <w:gridCol w:w="4531"/>
        <w:gridCol w:w="4531"/>
      </w:tblGrid>
      <w:tr w:rsidR="00843330" w14:paraId="5F5F3F93" w14:textId="77777777" w:rsidTr="00843330">
        <w:tc>
          <w:tcPr>
            <w:tcW w:w="4531" w:type="dxa"/>
          </w:tcPr>
          <w:p w14:paraId="6B32354E" w14:textId="11FA95F8" w:rsidR="00843330" w:rsidRDefault="00843330" w:rsidP="008620E7">
            <w:pPr>
              <w:rPr>
                <w:rFonts w:eastAsia="Times New Roman"/>
                <w:b/>
                <w:bCs/>
              </w:rPr>
            </w:pPr>
            <w:r>
              <w:rPr>
                <w:rFonts w:eastAsia="Times New Roman"/>
                <w:b/>
                <w:bCs/>
              </w:rPr>
              <w:t>Revize hasicího přístroje</w:t>
            </w:r>
          </w:p>
        </w:tc>
        <w:tc>
          <w:tcPr>
            <w:tcW w:w="4531" w:type="dxa"/>
          </w:tcPr>
          <w:p w14:paraId="0033D42C" w14:textId="0198D072" w:rsidR="00843330" w:rsidRDefault="00843330" w:rsidP="008620E7">
            <w:pPr>
              <w:rPr>
                <w:rFonts w:eastAsia="Times New Roman"/>
                <w:b/>
                <w:bCs/>
              </w:rPr>
            </w:pPr>
            <w:r>
              <w:rPr>
                <w:rFonts w:eastAsia="Times New Roman"/>
                <w:b/>
                <w:bCs/>
              </w:rPr>
              <w:t xml:space="preserve">50,- </w:t>
            </w:r>
          </w:p>
        </w:tc>
      </w:tr>
      <w:tr w:rsidR="00843330" w14:paraId="76557516" w14:textId="77777777" w:rsidTr="00843330">
        <w:tc>
          <w:tcPr>
            <w:tcW w:w="4531" w:type="dxa"/>
          </w:tcPr>
          <w:p w14:paraId="6416CEF5" w14:textId="6F3134F8" w:rsidR="00843330" w:rsidRDefault="00843330" w:rsidP="008620E7">
            <w:pPr>
              <w:rPr>
                <w:rFonts w:eastAsia="Times New Roman"/>
                <w:b/>
                <w:bCs/>
              </w:rPr>
            </w:pPr>
            <w:r>
              <w:rPr>
                <w:rFonts w:eastAsia="Times New Roman"/>
                <w:b/>
                <w:bCs/>
              </w:rPr>
              <w:t>Revize hydrantu</w:t>
            </w:r>
          </w:p>
        </w:tc>
        <w:tc>
          <w:tcPr>
            <w:tcW w:w="4531" w:type="dxa"/>
          </w:tcPr>
          <w:p w14:paraId="5A0E6C16" w14:textId="2C148BF6" w:rsidR="00843330" w:rsidRDefault="00843330" w:rsidP="008620E7">
            <w:pPr>
              <w:rPr>
                <w:rFonts w:eastAsia="Times New Roman"/>
                <w:b/>
                <w:bCs/>
              </w:rPr>
            </w:pPr>
            <w:r>
              <w:rPr>
                <w:rFonts w:eastAsia="Times New Roman"/>
                <w:b/>
                <w:bCs/>
              </w:rPr>
              <w:t>170,-</w:t>
            </w:r>
          </w:p>
        </w:tc>
      </w:tr>
      <w:tr w:rsidR="00843330" w14:paraId="4874F0BE" w14:textId="77777777" w:rsidTr="00843330">
        <w:tc>
          <w:tcPr>
            <w:tcW w:w="4531" w:type="dxa"/>
          </w:tcPr>
          <w:p w14:paraId="4779B8D0" w14:textId="740A290E" w:rsidR="00843330" w:rsidRDefault="00843330" w:rsidP="008620E7">
            <w:pPr>
              <w:rPr>
                <w:rFonts w:eastAsia="Times New Roman"/>
                <w:b/>
                <w:bCs/>
              </w:rPr>
            </w:pPr>
            <w:r>
              <w:rPr>
                <w:rFonts w:eastAsia="Times New Roman"/>
                <w:b/>
                <w:bCs/>
              </w:rPr>
              <w:t>Opravy hasicích přístrojů:</w:t>
            </w:r>
          </w:p>
        </w:tc>
        <w:tc>
          <w:tcPr>
            <w:tcW w:w="4531" w:type="dxa"/>
          </w:tcPr>
          <w:p w14:paraId="23B3EC17" w14:textId="77777777" w:rsidR="00843330" w:rsidRDefault="00843330" w:rsidP="008620E7">
            <w:pPr>
              <w:rPr>
                <w:rFonts w:eastAsia="Times New Roman"/>
                <w:b/>
                <w:bCs/>
              </w:rPr>
            </w:pPr>
          </w:p>
        </w:tc>
      </w:tr>
      <w:tr w:rsidR="00843330" w14:paraId="3FC5651C" w14:textId="77777777" w:rsidTr="00843330">
        <w:tc>
          <w:tcPr>
            <w:tcW w:w="4531" w:type="dxa"/>
          </w:tcPr>
          <w:p w14:paraId="49448051" w14:textId="46E221E7" w:rsidR="00843330" w:rsidRDefault="00843330" w:rsidP="008620E7">
            <w:pPr>
              <w:rPr>
                <w:rFonts w:eastAsia="Times New Roman"/>
                <w:b/>
                <w:bCs/>
              </w:rPr>
            </w:pPr>
            <w:r>
              <w:rPr>
                <w:rFonts w:eastAsia="Times New Roman"/>
                <w:b/>
                <w:bCs/>
              </w:rPr>
              <w:t>Práškové 6 kg</w:t>
            </w:r>
          </w:p>
        </w:tc>
        <w:tc>
          <w:tcPr>
            <w:tcW w:w="4531" w:type="dxa"/>
          </w:tcPr>
          <w:p w14:paraId="63FB6E5A" w14:textId="5A3A3ABA" w:rsidR="00843330" w:rsidRDefault="00843330" w:rsidP="008620E7">
            <w:pPr>
              <w:rPr>
                <w:rFonts w:eastAsia="Times New Roman"/>
                <w:b/>
                <w:bCs/>
              </w:rPr>
            </w:pPr>
            <w:r>
              <w:rPr>
                <w:rFonts w:eastAsia="Times New Roman"/>
                <w:b/>
                <w:bCs/>
              </w:rPr>
              <w:t>380,-</w:t>
            </w:r>
          </w:p>
        </w:tc>
      </w:tr>
      <w:tr w:rsidR="00843330" w14:paraId="738484C8" w14:textId="77777777" w:rsidTr="00843330">
        <w:tc>
          <w:tcPr>
            <w:tcW w:w="4531" w:type="dxa"/>
          </w:tcPr>
          <w:p w14:paraId="12C4CB07" w14:textId="1F6A7F1A" w:rsidR="00843330" w:rsidRDefault="00843330" w:rsidP="008620E7">
            <w:pPr>
              <w:rPr>
                <w:rFonts w:eastAsia="Times New Roman"/>
                <w:b/>
                <w:bCs/>
              </w:rPr>
            </w:pPr>
            <w:r>
              <w:rPr>
                <w:rFonts w:eastAsia="Times New Roman"/>
                <w:b/>
                <w:bCs/>
              </w:rPr>
              <w:t>Práškové 2 kg</w:t>
            </w:r>
          </w:p>
        </w:tc>
        <w:tc>
          <w:tcPr>
            <w:tcW w:w="4531" w:type="dxa"/>
          </w:tcPr>
          <w:p w14:paraId="22AD7594" w14:textId="244E3D34" w:rsidR="00843330" w:rsidRDefault="00843330" w:rsidP="008620E7">
            <w:pPr>
              <w:rPr>
                <w:rFonts w:eastAsia="Times New Roman"/>
                <w:b/>
                <w:bCs/>
              </w:rPr>
            </w:pPr>
            <w:r>
              <w:rPr>
                <w:rFonts w:eastAsia="Times New Roman"/>
                <w:b/>
                <w:bCs/>
              </w:rPr>
              <w:t>270,-</w:t>
            </w:r>
          </w:p>
        </w:tc>
      </w:tr>
      <w:tr w:rsidR="00843330" w14:paraId="560CE428" w14:textId="77777777" w:rsidTr="00843330">
        <w:tc>
          <w:tcPr>
            <w:tcW w:w="4531" w:type="dxa"/>
          </w:tcPr>
          <w:p w14:paraId="3DE6DA94" w14:textId="6455BA0C" w:rsidR="00843330" w:rsidRDefault="00843330" w:rsidP="008620E7">
            <w:pPr>
              <w:rPr>
                <w:rFonts w:eastAsia="Times New Roman"/>
                <w:b/>
                <w:bCs/>
              </w:rPr>
            </w:pPr>
            <w:r>
              <w:rPr>
                <w:rFonts w:eastAsia="Times New Roman"/>
                <w:b/>
                <w:bCs/>
              </w:rPr>
              <w:t>Sněhové 5 kg, 6 kg</w:t>
            </w:r>
          </w:p>
        </w:tc>
        <w:tc>
          <w:tcPr>
            <w:tcW w:w="4531" w:type="dxa"/>
          </w:tcPr>
          <w:p w14:paraId="5C5C2539" w14:textId="2A424C07" w:rsidR="00843330" w:rsidRDefault="00843330" w:rsidP="008620E7">
            <w:pPr>
              <w:rPr>
                <w:rFonts w:eastAsia="Times New Roman"/>
                <w:b/>
                <w:bCs/>
              </w:rPr>
            </w:pPr>
            <w:r>
              <w:rPr>
                <w:rFonts w:eastAsia="Times New Roman"/>
                <w:b/>
                <w:bCs/>
              </w:rPr>
              <w:t>350,-</w:t>
            </w:r>
          </w:p>
        </w:tc>
      </w:tr>
      <w:tr w:rsidR="00843330" w14:paraId="20C7DEE0" w14:textId="77777777" w:rsidTr="00843330">
        <w:tc>
          <w:tcPr>
            <w:tcW w:w="4531" w:type="dxa"/>
          </w:tcPr>
          <w:p w14:paraId="4799B450" w14:textId="6F8D374D" w:rsidR="00843330" w:rsidRDefault="00843330" w:rsidP="008620E7">
            <w:pPr>
              <w:rPr>
                <w:rFonts w:eastAsia="Times New Roman"/>
                <w:b/>
                <w:bCs/>
              </w:rPr>
            </w:pPr>
            <w:r>
              <w:rPr>
                <w:rFonts w:eastAsia="Times New Roman"/>
                <w:b/>
                <w:bCs/>
              </w:rPr>
              <w:t>Sněhové 2 kg</w:t>
            </w:r>
          </w:p>
        </w:tc>
        <w:tc>
          <w:tcPr>
            <w:tcW w:w="4531" w:type="dxa"/>
          </w:tcPr>
          <w:p w14:paraId="6EA73C79" w14:textId="72CF2EB4" w:rsidR="00843330" w:rsidRDefault="00843330" w:rsidP="008620E7">
            <w:pPr>
              <w:rPr>
                <w:rFonts w:eastAsia="Times New Roman"/>
                <w:b/>
                <w:bCs/>
              </w:rPr>
            </w:pPr>
            <w:r>
              <w:rPr>
                <w:rFonts w:eastAsia="Times New Roman"/>
                <w:b/>
                <w:bCs/>
              </w:rPr>
              <w:t>280,-</w:t>
            </w:r>
          </w:p>
        </w:tc>
      </w:tr>
      <w:tr w:rsidR="00843330" w14:paraId="31666AEE" w14:textId="77777777" w:rsidTr="00843330">
        <w:tc>
          <w:tcPr>
            <w:tcW w:w="4531" w:type="dxa"/>
          </w:tcPr>
          <w:p w14:paraId="2EBE0706" w14:textId="4835AAF2" w:rsidR="00843330" w:rsidRDefault="00843330" w:rsidP="008620E7">
            <w:pPr>
              <w:rPr>
                <w:rFonts w:eastAsia="Times New Roman"/>
                <w:b/>
                <w:bCs/>
              </w:rPr>
            </w:pPr>
            <w:r>
              <w:rPr>
                <w:rFonts w:eastAsia="Times New Roman"/>
                <w:b/>
                <w:bCs/>
              </w:rPr>
              <w:t>Vodní 9 l</w:t>
            </w:r>
          </w:p>
        </w:tc>
        <w:tc>
          <w:tcPr>
            <w:tcW w:w="4531" w:type="dxa"/>
          </w:tcPr>
          <w:p w14:paraId="4B204E3E" w14:textId="1055CEF0" w:rsidR="00843330" w:rsidRDefault="00843330" w:rsidP="008620E7">
            <w:pPr>
              <w:rPr>
                <w:rFonts w:eastAsia="Times New Roman"/>
                <w:b/>
                <w:bCs/>
              </w:rPr>
            </w:pPr>
            <w:r>
              <w:rPr>
                <w:rFonts w:eastAsia="Times New Roman"/>
                <w:b/>
                <w:bCs/>
              </w:rPr>
              <w:t>380,-</w:t>
            </w:r>
          </w:p>
        </w:tc>
      </w:tr>
    </w:tbl>
    <w:p w14:paraId="5CE8BBE2" w14:textId="77777777" w:rsidR="00843330" w:rsidRDefault="00843330" w:rsidP="00843330">
      <w:pPr>
        <w:rPr>
          <w:rFonts w:eastAsia="Times New Roman"/>
          <w:b/>
          <w:bCs/>
        </w:rPr>
      </w:pPr>
    </w:p>
    <w:p w14:paraId="3D135105" w14:textId="2C33DE6D" w:rsidR="008620E7" w:rsidRPr="008620E7" w:rsidRDefault="00843330" w:rsidP="00843330">
      <w:pPr>
        <w:rPr>
          <w:rFonts w:eastAsia="Times New Roman"/>
          <w:b/>
          <w:bCs/>
        </w:rPr>
      </w:pPr>
      <w:r>
        <w:rPr>
          <w:rFonts w:eastAsia="Times New Roman"/>
          <w:b/>
          <w:bCs/>
        </w:rPr>
        <w:t>Cestovné: 6,- Kč/ km</w:t>
      </w:r>
    </w:p>
    <w:p w14:paraId="38FCC519" w14:textId="77777777" w:rsidR="00843330" w:rsidRDefault="00843330" w:rsidP="008620E7">
      <w:pPr>
        <w:jc w:val="center"/>
        <w:rPr>
          <w:rFonts w:eastAsia="Times New Roman"/>
          <w:b/>
          <w:bCs/>
        </w:rPr>
      </w:pPr>
    </w:p>
    <w:p w14:paraId="13267849" w14:textId="677CC775" w:rsidR="008620E7" w:rsidRPr="008620E7" w:rsidRDefault="008620E7" w:rsidP="008620E7">
      <w:pPr>
        <w:jc w:val="center"/>
        <w:rPr>
          <w:rFonts w:eastAsia="Times New Roman"/>
          <w:b/>
          <w:bCs/>
        </w:rPr>
      </w:pPr>
      <w:r w:rsidRPr="008620E7">
        <w:rPr>
          <w:rFonts w:eastAsia="Times New Roman"/>
          <w:b/>
          <w:bCs/>
        </w:rPr>
        <w:t>Platební podmínky</w:t>
      </w:r>
    </w:p>
    <w:p w14:paraId="37BE66EC" w14:textId="7D2D540C" w:rsidR="00843330" w:rsidRPr="008E21C2" w:rsidRDefault="00843330" w:rsidP="00843330">
      <w:pPr>
        <w:pStyle w:val="Bezmezer"/>
        <w:spacing w:line="276" w:lineRule="auto"/>
        <w:jc w:val="both"/>
        <w:rPr>
          <w:rFonts w:asciiTheme="minorHAnsi" w:hAnsiTheme="minorHAnsi" w:cstheme="minorHAnsi"/>
        </w:rPr>
      </w:pPr>
      <w:r w:rsidRPr="008E21C2">
        <w:rPr>
          <w:rFonts w:asciiTheme="minorHAnsi" w:hAnsiTheme="minorHAnsi" w:cstheme="minorHAnsi"/>
        </w:rPr>
        <w:t>Cena díla bude uhrazena na účet Zhotovitele č</w:t>
      </w:r>
      <w:r w:rsidR="00B46292">
        <w:rPr>
          <w:rFonts w:asciiTheme="minorHAnsi" w:hAnsiTheme="minorHAnsi" w:cstheme="minorHAnsi"/>
        </w:rPr>
        <w:t xml:space="preserve">.    </w:t>
      </w:r>
      <w:r w:rsidRPr="008E21C2">
        <w:rPr>
          <w:rFonts w:asciiTheme="minorHAnsi" w:hAnsiTheme="minorHAnsi" w:cstheme="minorHAnsi"/>
        </w:rPr>
        <w:t xml:space="preserve">vedený u </w:t>
      </w:r>
      <w:r w:rsidR="00B46292">
        <w:rPr>
          <w:rFonts w:asciiTheme="minorHAnsi" w:hAnsiTheme="minorHAnsi" w:cstheme="minorHAnsi"/>
        </w:rPr>
        <w:t xml:space="preserve">                     </w:t>
      </w:r>
      <w:r w:rsidRPr="008E21C2">
        <w:rPr>
          <w:rFonts w:asciiTheme="minorHAnsi" w:hAnsiTheme="minorHAnsi" w:cstheme="minorHAnsi"/>
        </w:rPr>
        <w:t xml:space="preserve"> na základě faktury vystavené dodavatelem.</w:t>
      </w:r>
    </w:p>
    <w:p w14:paraId="1E7F4A12" w14:textId="77777777" w:rsidR="00843330" w:rsidRPr="008E21C2" w:rsidRDefault="00843330" w:rsidP="00843330">
      <w:pPr>
        <w:pStyle w:val="Bezmezer"/>
        <w:spacing w:line="276" w:lineRule="auto"/>
        <w:jc w:val="both"/>
        <w:rPr>
          <w:rFonts w:asciiTheme="minorHAnsi" w:hAnsiTheme="minorHAnsi" w:cstheme="minorHAnsi"/>
        </w:rPr>
      </w:pPr>
    </w:p>
    <w:p w14:paraId="14496251" w14:textId="77777777" w:rsidR="00843330" w:rsidRPr="008E21C2" w:rsidRDefault="00843330" w:rsidP="00843330">
      <w:pPr>
        <w:pStyle w:val="Bezmezer"/>
        <w:spacing w:line="276" w:lineRule="auto"/>
        <w:jc w:val="both"/>
        <w:rPr>
          <w:rFonts w:asciiTheme="minorHAnsi" w:hAnsiTheme="minorHAnsi" w:cstheme="minorHAnsi"/>
        </w:rPr>
      </w:pPr>
      <w:r w:rsidRPr="008E21C2">
        <w:rPr>
          <w:rFonts w:asciiTheme="minorHAnsi" w:hAnsiTheme="minorHAnsi" w:cstheme="minorHAnsi"/>
        </w:rPr>
        <w:t xml:space="preserve">Faktura bude mít náležitosti podle zákona č. 235/2004 Sb. o dani z přidané hodnoty v platném znění. Splatnost vystavených faktur bude 15 dní ode dne jejich doručení objednateli. </w:t>
      </w:r>
    </w:p>
    <w:p w14:paraId="425A5483" w14:textId="77777777" w:rsidR="008620E7" w:rsidRPr="008E21C2" w:rsidRDefault="008620E7" w:rsidP="008620E7">
      <w:pPr>
        <w:jc w:val="center"/>
        <w:rPr>
          <w:rFonts w:eastAsia="Times New Roman" w:cstheme="minorHAnsi"/>
          <w:b/>
          <w:bCs/>
        </w:rPr>
      </w:pPr>
    </w:p>
    <w:p w14:paraId="75C7A6DB" w14:textId="0BD6A461" w:rsidR="008E21C2" w:rsidRPr="008E21C2" w:rsidRDefault="00843330" w:rsidP="008E21C2">
      <w:pPr>
        <w:keepNext/>
        <w:spacing w:after="120"/>
        <w:ind w:right="-23"/>
        <w:jc w:val="center"/>
        <w:rPr>
          <w:rFonts w:cstheme="minorHAnsi"/>
          <w:b/>
        </w:rPr>
      </w:pPr>
      <w:r w:rsidRPr="008E21C2">
        <w:rPr>
          <w:rFonts w:cstheme="minorHAnsi"/>
          <w:b/>
        </w:rPr>
        <w:t>Závěrečná ustanovení</w:t>
      </w:r>
    </w:p>
    <w:p w14:paraId="1F16BC91" w14:textId="011227AC" w:rsidR="008E21C2" w:rsidRDefault="008E21C2" w:rsidP="00843330">
      <w:pPr>
        <w:numPr>
          <w:ilvl w:val="0"/>
          <w:numId w:val="2"/>
        </w:numPr>
        <w:spacing w:after="120" w:line="240" w:lineRule="auto"/>
        <w:ind w:left="284" w:hanging="284"/>
        <w:jc w:val="both"/>
        <w:rPr>
          <w:rFonts w:cstheme="minorHAnsi"/>
        </w:rPr>
      </w:pPr>
      <w:r>
        <w:rPr>
          <w:rFonts w:cstheme="minorHAnsi"/>
        </w:rPr>
        <w:t>Tato smlouva se uzavírá na dobu určitou do 31.12.2025.</w:t>
      </w:r>
    </w:p>
    <w:p w14:paraId="3E408319" w14:textId="5CA2414E" w:rsidR="00843330" w:rsidRPr="008E21C2" w:rsidRDefault="00843330" w:rsidP="00843330">
      <w:pPr>
        <w:numPr>
          <w:ilvl w:val="0"/>
          <w:numId w:val="2"/>
        </w:numPr>
        <w:spacing w:after="120" w:line="240" w:lineRule="auto"/>
        <w:ind w:left="284" w:hanging="284"/>
        <w:jc w:val="both"/>
        <w:rPr>
          <w:rFonts w:cstheme="minorHAnsi"/>
        </w:rPr>
      </w:pPr>
      <w:r w:rsidRPr="008E21C2">
        <w:rPr>
          <w:rFonts w:cstheme="minorHAnsi"/>
        </w:rPr>
        <w:t>Tato smlouva nabývá platnosti okamžikem jejího podepsání poslední ze smluvních stran a účinnosti dnem jejího uveřejnění v registru smluv</w:t>
      </w:r>
      <w:r w:rsidR="008E21C2">
        <w:rPr>
          <w:rFonts w:cstheme="minorHAnsi"/>
        </w:rPr>
        <w:t xml:space="preserve"> (pokud splňuje podmínky pro zveřejnění). </w:t>
      </w:r>
      <w:r w:rsidRPr="008E21C2">
        <w:rPr>
          <w:rFonts w:cstheme="minorHAnsi"/>
        </w:rPr>
        <w:t xml:space="preserve"> Smluvní strany </w:t>
      </w:r>
      <w:r w:rsidRPr="008E21C2">
        <w:rPr>
          <w:rFonts w:cstheme="minorHAnsi"/>
        </w:rPr>
        <w:lastRenderedPageBreak/>
        <w:t>berou na vědomí, že nebude-li smlouva zveřejněna ani devadesátý den od jejího uzavření, je následujícím dnem zrušena od počátku.</w:t>
      </w:r>
    </w:p>
    <w:p w14:paraId="4BF234A4" w14:textId="77777777" w:rsidR="00843330" w:rsidRPr="008E21C2" w:rsidRDefault="00843330" w:rsidP="00843330">
      <w:pPr>
        <w:numPr>
          <w:ilvl w:val="0"/>
          <w:numId w:val="2"/>
        </w:numPr>
        <w:spacing w:after="120" w:line="240" w:lineRule="auto"/>
        <w:ind w:left="284" w:hanging="284"/>
        <w:jc w:val="both"/>
        <w:rPr>
          <w:rFonts w:cstheme="minorHAnsi"/>
        </w:rPr>
      </w:pPr>
      <w:r w:rsidRPr="008E21C2">
        <w:rPr>
          <w:rFonts w:cstheme="minorHAnsi"/>
        </w:rPr>
        <w:t xml:space="preserve">S ohledem na povinnosti plynoucí ze zákona č. 340/2015 Sb., o registru smluv ujednávají smluvní strany, že tuto smlouvu odešle ke zveřejnění v registru smluv vedeném Ministerstvem vnitra ČR bezprostředně po jejím uzavření objednatel. Smluvní strany prohlašují, že žádná část smlouvy nenaplňuje znaky obchodního tajemství ve smyslu </w:t>
      </w:r>
      <w:proofErr w:type="spellStart"/>
      <w:r w:rsidRPr="008E21C2">
        <w:rPr>
          <w:rFonts w:cstheme="minorHAnsi"/>
        </w:rPr>
        <w:t>ust</w:t>
      </w:r>
      <w:proofErr w:type="spellEnd"/>
      <w:r w:rsidRPr="008E21C2">
        <w:rPr>
          <w:rFonts w:cstheme="minorHAnsi"/>
        </w:rPr>
        <w:t>. § 504 občanského zákoníku.</w:t>
      </w:r>
    </w:p>
    <w:p w14:paraId="25DA5A43" w14:textId="77777777" w:rsidR="00843330" w:rsidRPr="008E21C2" w:rsidRDefault="00843330" w:rsidP="00843330">
      <w:pPr>
        <w:numPr>
          <w:ilvl w:val="0"/>
          <w:numId w:val="2"/>
        </w:numPr>
        <w:spacing w:after="120" w:line="240" w:lineRule="auto"/>
        <w:ind w:left="284" w:hanging="284"/>
        <w:jc w:val="both"/>
        <w:rPr>
          <w:rFonts w:cstheme="minorHAnsi"/>
        </w:rPr>
      </w:pPr>
      <w:r w:rsidRPr="008E21C2">
        <w:rPr>
          <w:rFonts w:cstheme="minorHAnsi"/>
          <w:iCs/>
        </w:rPr>
        <w:t xml:space="preserve">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Osobní údaje uvedené v této smlouvě, budou použity výhradně pro účely plnění této smlouvy nebo při plnění zákonem stanovených povinností. Podrobné informace o ochraně osobních údajů jsou dostupné na oficiálních stránkách Centra sociálních služeb Bystré </w:t>
      </w:r>
      <w:hyperlink r:id="rId5" w:history="1">
        <w:r w:rsidRPr="008E21C2">
          <w:rPr>
            <w:rStyle w:val="Hypertextovodkaz"/>
            <w:rFonts w:cstheme="minorHAnsi"/>
            <w:iCs/>
          </w:rPr>
          <w:t>www.cssbystre.cz</w:t>
        </w:r>
      </w:hyperlink>
      <w:r w:rsidRPr="008E21C2">
        <w:rPr>
          <w:rStyle w:val="Hypertextovodkaz"/>
          <w:rFonts w:cstheme="minorHAnsi"/>
          <w:iCs/>
        </w:rPr>
        <w:t>.</w:t>
      </w:r>
    </w:p>
    <w:p w14:paraId="44C57848" w14:textId="77777777" w:rsidR="00843330" w:rsidRPr="008E21C2" w:rsidRDefault="00843330" w:rsidP="00843330">
      <w:pPr>
        <w:numPr>
          <w:ilvl w:val="0"/>
          <w:numId w:val="2"/>
        </w:numPr>
        <w:autoSpaceDE w:val="0"/>
        <w:autoSpaceDN w:val="0"/>
        <w:adjustRightInd w:val="0"/>
        <w:spacing w:after="120" w:line="240" w:lineRule="auto"/>
        <w:ind w:left="284" w:hanging="284"/>
        <w:jc w:val="both"/>
        <w:rPr>
          <w:rFonts w:cstheme="minorHAnsi"/>
        </w:rPr>
      </w:pPr>
      <w:r w:rsidRPr="008E21C2">
        <w:rPr>
          <w:rFonts w:cstheme="minorHAnsi"/>
        </w:rPr>
        <w:t>Změny této smlouvy lze činit pouze písemně, a to formou vzestupně číslovaných dodatků odsouhlasených a podepsaných oprávněnými zástupci obou smluvních stran. To neplatí v případě změn údajů uvedených v záhlaví smlouvy (např. kontaktních údajů smluvních stran nebo jednajících osob), které lze provést na základě oznámení příslušné smluvní strany. Toto oznámení učiní příslušná smluvní strana písemně nejpozději do 10 dnů ode dne, kdy ke změně došlo.</w:t>
      </w:r>
    </w:p>
    <w:p w14:paraId="66A447FB" w14:textId="77777777" w:rsidR="00843330" w:rsidRPr="008E21C2" w:rsidRDefault="00843330" w:rsidP="00843330">
      <w:pPr>
        <w:numPr>
          <w:ilvl w:val="0"/>
          <w:numId w:val="2"/>
        </w:numPr>
        <w:autoSpaceDE w:val="0"/>
        <w:autoSpaceDN w:val="0"/>
        <w:adjustRightInd w:val="0"/>
        <w:spacing w:after="120" w:line="240" w:lineRule="auto"/>
        <w:ind w:left="284" w:hanging="284"/>
        <w:jc w:val="both"/>
        <w:rPr>
          <w:rFonts w:cstheme="minorHAnsi"/>
        </w:rPr>
      </w:pPr>
      <w:r w:rsidRPr="008E21C2">
        <w:rPr>
          <w:rFonts w:cstheme="minorHAnsi"/>
        </w:rPr>
        <w:t>Neplatnost, neúčinnost nebo nevynutitelnost jakéhokoliv ustanovení smlouvy nemá vliv na platnost, účinnost nebo vynutitelnost ostatních ustanovení smlouvy. Smluvní strany mají povinnost takové ujednání okamžitě nahradit smluvním ujednáním bezvadným.</w:t>
      </w:r>
    </w:p>
    <w:p w14:paraId="476A629E" w14:textId="77777777" w:rsidR="00843330" w:rsidRPr="008E21C2" w:rsidRDefault="00843330" w:rsidP="00843330">
      <w:pPr>
        <w:numPr>
          <w:ilvl w:val="0"/>
          <w:numId w:val="2"/>
        </w:numPr>
        <w:autoSpaceDE w:val="0"/>
        <w:autoSpaceDN w:val="0"/>
        <w:adjustRightInd w:val="0"/>
        <w:spacing w:after="120" w:line="240" w:lineRule="auto"/>
        <w:ind w:left="284" w:hanging="284"/>
        <w:jc w:val="both"/>
        <w:rPr>
          <w:rFonts w:cstheme="minorHAnsi"/>
        </w:rPr>
      </w:pPr>
      <w:r w:rsidRPr="008E21C2">
        <w:rPr>
          <w:rFonts w:cstheme="minorHAnsi"/>
        </w:rPr>
        <w:t>Veškeré spory vzniklé z této smlouvy budou rozhodovány ve shodě s českým právním řádem obecnými soudy.</w:t>
      </w:r>
    </w:p>
    <w:p w14:paraId="57561998" w14:textId="3C5D8EE5" w:rsidR="00843330" w:rsidRPr="008E21C2" w:rsidRDefault="00843330" w:rsidP="00843330">
      <w:pPr>
        <w:numPr>
          <w:ilvl w:val="0"/>
          <w:numId w:val="2"/>
        </w:numPr>
        <w:autoSpaceDE w:val="0"/>
        <w:autoSpaceDN w:val="0"/>
        <w:adjustRightInd w:val="0"/>
        <w:spacing w:after="120" w:line="240" w:lineRule="auto"/>
        <w:ind w:left="284" w:hanging="426"/>
        <w:jc w:val="both"/>
        <w:rPr>
          <w:rFonts w:cstheme="minorHAnsi"/>
        </w:rPr>
      </w:pPr>
      <w:r w:rsidRPr="008E21C2">
        <w:rPr>
          <w:rFonts w:cstheme="minorHAnsi"/>
        </w:rPr>
        <w:t xml:space="preserve">Tato smlouva je vyhotovena ve dvou stejnopisech, každého s platností originálu, z nichž </w:t>
      </w:r>
      <w:r w:rsidR="00982D26">
        <w:rPr>
          <w:rFonts w:cstheme="minorHAnsi"/>
        </w:rPr>
        <w:t xml:space="preserve">každá strana </w:t>
      </w:r>
      <w:r w:rsidRPr="008E21C2">
        <w:rPr>
          <w:rFonts w:cstheme="minorHAnsi"/>
        </w:rPr>
        <w:t xml:space="preserve">obdrží </w:t>
      </w:r>
      <w:r w:rsidR="00982D26">
        <w:rPr>
          <w:rFonts w:cstheme="minorHAnsi"/>
        </w:rPr>
        <w:t>po jednom</w:t>
      </w:r>
      <w:r w:rsidRPr="008E21C2">
        <w:rPr>
          <w:rFonts w:cstheme="minorHAnsi"/>
        </w:rPr>
        <w:t xml:space="preserve"> vyhotovení.</w:t>
      </w:r>
    </w:p>
    <w:p w14:paraId="1D20C007" w14:textId="77777777" w:rsidR="00843330" w:rsidRPr="008E21C2" w:rsidRDefault="00843330" w:rsidP="00843330">
      <w:pPr>
        <w:numPr>
          <w:ilvl w:val="0"/>
          <w:numId w:val="2"/>
        </w:numPr>
        <w:autoSpaceDE w:val="0"/>
        <w:autoSpaceDN w:val="0"/>
        <w:adjustRightInd w:val="0"/>
        <w:spacing w:after="120" w:line="240" w:lineRule="auto"/>
        <w:ind w:left="284" w:hanging="426"/>
        <w:jc w:val="both"/>
        <w:rPr>
          <w:rFonts w:cstheme="minorHAnsi"/>
        </w:rPr>
      </w:pPr>
      <w:r w:rsidRPr="008E21C2">
        <w:rPr>
          <w:rFonts w:cstheme="minorHAnsi"/>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14:paraId="0C737DED" w14:textId="77777777" w:rsidR="00843330" w:rsidRPr="008E21C2" w:rsidRDefault="00843330" w:rsidP="00843330">
      <w:pPr>
        <w:tabs>
          <w:tab w:val="num" w:pos="360"/>
        </w:tabs>
        <w:autoSpaceDE w:val="0"/>
        <w:autoSpaceDN w:val="0"/>
        <w:adjustRightInd w:val="0"/>
        <w:rPr>
          <w:rFonts w:cstheme="minorHAnsi"/>
          <w:color w:val="000000"/>
        </w:rPr>
      </w:pPr>
    </w:p>
    <w:p w14:paraId="3438DE05" w14:textId="1CE912D7" w:rsidR="00843330" w:rsidRPr="008E21C2" w:rsidRDefault="00843330" w:rsidP="008E21C2">
      <w:pPr>
        <w:ind w:right="-766"/>
        <w:jc w:val="both"/>
        <w:rPr>
          <w:rFonts w:cstheme="minorHAnsi"/>
        </w:rPr>
      </w:pPr>
      <w:r w:rsidRPr="008E21C2">
        <w:rPr>
          <w:rFonts w:cstheme="minorHAnsi"/>
        </w:rPr>
        <w:t>V Bystrém dne: 23.12. 2024</w:t>
      </w:r>
    </w:p>
    <w:p w14:paraId="04AA4774" w14:textId="780E02B6" w:rsidR="00843330" w:rsidRPr="008E21C2" w:rsidRDefault="00843330" w:rsidP="00843330">
      <w:pPr>
        <w:ind w:right="-766"/>
        <w:jc w:val="both"/>
        <w:rPr>
          <w:rFonts w:cstheme="minorHAnsi"/>
        </w:rPr>
      </w:pPr>
      <w:r w:rsidRPr="008E21C2">
        <w:rPr>
          <w:rFonts w:cstheme="minorHAnsi"/>
        </w:rPr>
        <w:t>Za objednatele</w:t>
      </w:r>
      <w:r w:rsidRPr="008E21C2">
        <w:rPr>
          <w:rFonts w:cstheme="minorHAnsi"/>
        </w:rPr>
        <w:tab/>
      </w:r>
      <w:r w:rsidRPr="008E21C2">
        <w:rPr>
          <w:rFonts w:cstheme="minorHAnsi"/>
        </w:rPr>
        <w:tab/>
      </w:r>
      <w:r w:rsidRPr="008E21C2">
        <w:rPr>
          <w:rFonts w:cstheme="minorHAnsi"/>
        </w:rPr>
        <w:tab/>
      </w:r>
      <w:r w:rsidRPr="008E21C2">
        <w:rPr>
          <w:rFonts w:cstheme="minorHAnsi"/>
        </w:rPr>
        <w:tab/>
      </w:r>
      <w:r w:rsidRPr="008E21C2">
        <w:rPr>
          <w:rFonts w:cstheme="minorHAnsi"/>
        </w:rPr>
        <w:tab/>
      </w:r>
      <w:r w:rsidRPr="008E21C2">
        <w:rPr>
          <w:rFonts w:cstheme="minorHAnsi"/>
        </w:rPr>
        <w:tab/>
      </w:r>
      <w:r w:rsidRPr="008E21C2">
        <w:rPr>
          <w:rFonts w:cstheme="minorHAnsi"/>
        </w:rPr>
        <w:tab/>
      </w:r>
      <w:r w:rsidR="008E21C2">
        <w:rPr>
          <w:rFonts w:cstheme="minorHAnsi"/>
        </w:rPr>
        <w:t xml:space="preserve">            </w:t>
      </w:r>
      <w:r w:rsidRPr="008E21C2">
        <w:rPr>
          <w:rFonts w:cstheme="minorHAnsi"/>
        </w:rPr>
        <w:t xml:space="preserve">za </w:t>
      </w:r>
      <w:r w:rsidR="001D3B1F">
        <w:rPr>
          <w:rFonts w:cstheme="minorHAnsi"/>
        </w:rPr>
        <w:t>poskytova</w:t>
      </w:r>
      <w:r w:rsidRPr="008E21C2">
        <w:rPr>
          <w:rFonts w:cstheme="minorHAnsi"/>
        </w:rPr>
        <w:t>tele</w:t>
      </w:r>
    </w:p>
    <w:p w14:paraId="1DB44EF9" w14:textId="77777777" w:rsidR="00843330" w:rsidRPr="008E21C2" w:rsidRDefault="00843330" w:rsidP="00843330">
      <w:pPr>
        <w:ind w:right="-766"/>
        <w:jc w:val="both"/>
        <w:rPr>
          <w:rFonts w:cstheme="minorHAnsi"/>
        </w:rPr>
      </w:pPr>
    </w:p>
    <w:p w14:paraId="0B7371CF" w14:textId="69FF1F41" w:rsidR="00843330" w:rsidRPr="008E21C2" w:rsidRDefault="00843330" w:rsidP="00843330">
      <w:pPr>
        <w:ind w:right="-766"/>
        <w:jc w:val="both"/>
        <w:rPr>
          <w:rFonts w:cstheme="minorHAnsi"/>
        </w:rPr>
      </w:pPr>
      <w:r w:rsidRPr="008E21C2">
        <w:rPr>
          <w:rFonts w:cstheme="minorHAnsi"/>
        </w:rPr>
        <w:t>-----------------------------------------------</w:t>
      </w:r>
      <w:r w:rsidRPr="008E21C2">
        <w:rPr>
          <w:rFonts w:cstheme="minorHAnsi"/>
        </w:rPr>
        <w:tab/>
      </w:r>
      <w:r w:rsidRPr="008E21C2">
        <w:rPr>
          <w:rFonts w:cstheme="minorHAnsi"/>
        </w:rPr>
        <w:tab/>
      </w:r>
      <w:r w:rsidRPr="008E21C2">
        <w:rPr>
          <w:rFonts w:cstheme="minorHAnsi"/>
        </w:rPr>
        <w:tab/>
      </w:r>
      <w:r w:rsidR="001D3B1F">
        <w:rPr>
          <w:rFonts w:cstheme="minorHAnsi"/>
        </w:rPr>
        <w:t xml:space="preserve">   </w:t>
      </w:r>
      <w:r w:rsidRPr="008E21C2">
        <w:rPr>
          <w:rFonts w:cstheme="minorHAnsi"/>
        </w:rPr>
        <w:tab/>
      </w:r>
      <w:r w:rsidR="001D3B1F">
        <w:rPr>
          <w:rFonts w:cstheme="minorHAnsi"/>
        </w:rPr>
        <w:t xml:space="preserve">        </w:t>
      </w:r>
      <w:r w:rsidRPr="008E21C2">
        <w:rPr>
          <w:rFonts w:cstheme="minorHAnsi"/>
        </w:rPr>
        <w:t>------------------------------------</w:t>
      </w:r>
    </w:p>
    <w:p w14:paraId="66E1CFB7" w14:textId="15200D14" w:rsidR="00843330" w:rsidRPr="008E21C2" w:rsidRDefault="00843330" w:rsidP="00843330">
      <w:pPr>
        <w:ind w:right="-766"/>
        <w:jc w:val="both"/>
        <w:rPr>
          <w:rFonts w:cstheme="minorHAnsi"/>
        </w:rPr>
      </w:pPr>
      <w:r w:rsidRPr="008E21C2">
        <w:rPr>
          <w:rFonts w:cstheme="minorHAnsi"/>
        </w:rPr>
        <w:t xml:space="preserve">                Mgr. Ivo Musil,</w:t>
      </w:r>
      <w:r w:rsidRPr="008E21C2">
        <w:rPr>
          <w:rFonts w:cstheme="minorHAnsi"/>
        </w:rPr>
        <w:tab/>
      </w:r>
      <w:r w:rsidRPr="008E21C2">
        <w:rPr>
          <w:rFonts w:cstheme="minorHAnsi"/>
        </w:rPr>
        <w:tab/>
      </w:r>
      <w:r w:rsidRPr="008E21C2">
        <w:rPr>
          <w:rFonts w:cstheme="minorHAnsi"/>
        </w:rPr>
        <w:tab/>
      </w:r>
      <w:r w:rsidRPr="008E21C2">
        <w:rPr>
          <w:rFonts w:cstheme="minorHAnsi"/>
        </w:rPr>
        <w:tab/>
      </w:r>
      <w:r w:rsidRPr="008E21C2">
        <w:rPr>
          <w:rFonts w:cstheme="minorHAnsi"/>
        </w:rPr>
        <w:tab/>
      </w:r>
      <w:proofErr w:type="gramStart"/>
      <w:r w:rsidRPr="008E21C2">
        <w:rPr>
          <w:rFonts w:cstheme="minorHAnsi"/>
        </w:rPr>
        <w:tab/>
        <w:t xml:space="preserve">  </w:t>
      </w:r>
      <w:r w:rsidR="008E21C2" w:rsidRPr="008E21C2">
        <w:rPr>
          <w:rFonts w:cstheme="minorHAnsi"/>
        </w:rPr>
        <w:t>Ing.</w:t>
      </w:r>
      <w:proofErr w:type="gramEnd"/>
      <w:r w:rsidR="008E21C2" w:rsidRPr="008E21C2">
        <w:rPr>
          <w:rFonts w:cstheme="minorHAnsi"/>
        </w:rPr>
        <w:t xml:space="preserve"> Pavel Kopecký</w:t>
      </w:r>
      <w:r w:rsidRPr="008E21C2">
        <w:rPr>
          <w:rFonts w:cstheme="minorHAnsi"/>
        </w:rPr>
        <w:t xml:space="preserve"> </w:t>
      </w:r>
    </w:p>
    <w:p w14:paraId="7FEA7E30" w14:textId="2B9BE881" w:rsidR="00843330" w:rsidRPr="008E21C2" w:rsidRDefault="00843330" w:rsidP="00843330">
      <w:pPr>
        <w:ind w:right="-766"/>
        <w:jc w:val="both"/>
        <w:rPr>
          <w:rFonts w:cstheme="minorHAnsi"/>
        </w:rPr>
      </w:pPr>
      <w:r w:rsidRPr="008E21C2">
        <w:rPr>
          <w:rFonts w:cstheme="minorHAnsi"/>
        </w:rPr>
        <w:t xml:space="preserve">                     Ředitel</w:t>
      </w:r>
      <w:r w:rsidRPr="008E21C2">
        <w:rPr>
          <w:rFonts w:cstheme="minorHAnsi"/>
        </w:rPr>
        <w:tab/>
      </w:r>
      <w:r w:rsidRPr="008E21C2">
        <w:rPr>
          <w:rFonts w:cstheme="minorHAnsi"/>
        </w:rPr>
        <w:tab/>
      </w:r>
      <w:r w:rsidRPr="008E21C2">
        <w:rPr>
          <w:rFonts w:cstheme="minorHAnsi"/>
        </w:rPr>
        <w:tab/>
      </w:r>
      <w:r w:rsidRPr="008E21C2">
        <w:rPr>
          <w:rFonts w:cstheme="minorHAnsi"/>
        </w:rPr>
        <w:tab/>
      </w:r>
      <w:r w:rsidRPr="008E21C2">
        <w:rPr>
          <w:rFonts w:cstheme="minorHAnsi"/>
        </w:rPr>
        <w:tab/>
      </w:r>
      <w:r w:rsidRPr="008E21C2">
        <w:rPr>
          <w:rFonts w:cstheme="minorHAnsi"/>
        </w:rPr>
        <w:tab/>
      </w:r>
      <w:r w:rsidRPr="008E21C2">
        <w:rPr>
          <w:rFonts w:cstheme="minorHAnsi"/>
        </w:rPr>
        <w:tab/>
      </w:r>
      <w:r w:rsidR="008E21C2">
        <w:rPr>
          <w:rFonts w:cstheme="minorHAnsi"/>
        </w:rPr>
        <w:t xml:space="preserve"> </w:t>
      </w:r>
      <w:r w:rsidRPr="008E21C2">
        <w:rPr>
          <w:rFonts w:cstheme="minorHAnsi"/>
        </w:rPr>
        <w:t xml:space="preserve">  </w:t>
      </w:r>
      <w:r w:rsidR="001D3B1F">
        <w:rPr>
          <w:rFonts w:cstheme="minorHAnsi"/>
        </w:rPr>
        <w:t>jednatel</w:t>
      </w:r>
      <w:r w:rsidRPr="008E21C2">
        <w:rPr>
          <w:rFonts w:cstheme="minorHAnsi"/>
        </w:rPr>
        <w:tab/>
      </w:r>
    </w:p>
    <w:p w14:paraId="1F76E4FC" w14:textId="58A63878" w:rsidR="00B64EC3" w:rsidRPr="008E21C2" w:rsidRDefault="00843330" w:rsidP="008E21C2">
      <w:pPr>
        <w:ind w:right="-766"/>
        <w:jc w:val="both"/>
        <w:rPr>
          <w:rFonts w:cstheme="minorHAnsi"/>
        </w:rPr>
      </w:pPr>
      <w:r w:rsidRPr="008E21C2">
        <w:rPr>
          <w:rFonts w:cstheme="minorHAnsi"/>
        </w:rPr>
        <w:t>Centrum sociálních služeb Bystré</w:t>
      </w:r>
    </w:p>
    <w:sectPr w:rsidR="00B64EC3" w:rsidRPr="008E21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C4A5D"/>
    <w:multiLevelType w:val="hybridMultilevel"/>
    <w:tmpl w:val="06600D5C"/>
    <w:lvl w:ilvl="0" w:tplc="259C329E">
      <w:start w:val="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F1B62EA"/>
    <w:multiLevelType w:val="hybridMultilevel"/>
    <w:tmpl w:val="555C4270"/>
    <w:lvl w:ilvl="0" w:tplc="817AA14C">
      <w:start w:val="1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94102969">
    <w:abstractNumId w:val="2"/>
  </w:num>
  <w:num w:numId="2" w16cid:durableId="285965350">
    <w:abstractNumId w:val="1"/>
  </w:num>
  <w:num w:numId="3" w16cid:durableId="1077283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C3"/>
    <w:rsid w:val="00141199"/>
    <w:rsid w:val="001D3B1F"/>
    <w:rsid w:val="00262D1C"/>
    <w:rsid w:val="00512A6B"/>
    <w:rsid w:val="00843330"/>
    <w:rsid w:val="008620E7"/>
    <w:rsid w:val="008E21C2"/>
    <w:rsid w:val="00982D26"/>
    <w:rsid w:val="00B46292"/>
    <w:rsid w:val="00B61F2C"/>
    <w:rsid w:val="00B64EC3"/>
    <w:rsid w:val="00E82B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F94C"/>
  <w15:chartTrackingRefBased/>
  <w15:docId w15:val="{6B7080A5-08B7-45DB-88FA-C11D2B6E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620E7"/>
    <w:pPr>
      <w:ind w:left="720"/>
      <w:contextualSpacing/>
    </w:pPr>
  </w:style>
  <w:style w:type="table" w:styleId="Mkatabulky">
    <w:name w:val="Table Grid"/>
    <w:basedOn w:val="Normlntabulka"/>
    <w:uiPriority w:val="39"/>
    <w:rsid w:val="00843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843330"/>
    <w:pPr>
      <w:spacing w:after="0" w:line="240" w:lineRule="auto"/>
      <w:contextualSpacing/>
    </w:pPr>
    <w:rPr>
      <w:rFonts w:ascii="Arial" w:eastAsiaTheme="minorEastAsia" w:hAnsi="Arial"/>
      <w:lang w:eastAsia="cs-CZ"/>
    </w:rPr>
  </w:style>
  <w:style w:type="character" w:styleId="Hypertextovodkaz">
    <w:name w:val="Hyperlink"/>
    <w:unhideWhenUsed/>
    <w:rsid w:val="008433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61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ssbystr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766</Words>
  <Characters>4524</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Vlasta Mgr. MACHATOVÁ</dc:creator>
  <cp:keywords/>
  <dc:description/>
  <cp:lastModifiedBy>Vlasta Mgr. MACHATOVÁ</cp:lastModifiedBy>
  <cp:revision>5</cp:revision>
  <dcterms:created xsi:type="dcterms:W3CDTF">2024-12-23T07:26:00Z</dcterms:created>
  <dcterms:modified xsi:type="dcterms:W3CDTF">2026-02-19T11:28:00Z</dcterms:modified>
</cp:coreProperties>
</file>