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95424" w14:textId="77777777" w:rsidR="003A045F" w:rsidRPr="00EF3CDF" w:rsidRDefault="003A045F" w:rsidP="008B63D9">
      <w:pPr>
        <w:spacing w:after="0" w:line="240" w:lineRule="auto"/>
        <w:ind w:left="284" w:right="260"/>
        <w:jc w:val="both"/>
        <w:rPr>
          <w:rFonts w:cs="Arial"/>
          <w:b/>
        </w:rPr>
      </w:pPr>
      <w:r w:rsidRPr="00EF3CDF">
        <w:rPr>
          <w:rFonts w:cs="Arial"/>
          <w:b/>
        </w:rPr>
        <w:t>Nakladatelství C. H. Beck, s.r.o.,</w:t>
      </w:r>
    </w:p>
    <w:p w14:paraId="523DD832" w14:textId="77777777" w:rsidR="008109B4" w:rsidRPr="00EF3CDF" w:rsidRDefault="003A045F" w:rsidP="008B63D9">
      <w:pPr>
        <w:spacing w:after="0" w:line="240" w:lineRule="auto"/>
        <w:ind w:left="284" w:right="260"/>
        <w:jc w:val="both"/>
        <w:rPr>
          <w:rFonts w:cs="Arial"/>
        </w:rPr>
      </w:pPr>
      <w:r w:rsidRPr="00EF3CDF">
        <w:rPr>
          <w:rFonts w:cs="Arial"/>
        </w:rPr>
        <w:t>se sídlem Jungmannova 750/34, Praha 1, PSČ 110 00,</w:t>
      </w:r>
    </w:p>
    <w:p w14:paraId="299BDE51" w14:textId="77777777" w:rsidR="003A045F" w:rsidRPr="00EF3CDF" w:rsidRDefault="003A045F" w:rsidP="008B63D9">
      <w:pPr>
        <w:spacing w:after="0" w:line="240" w:lineRule="auto"/>
        <w:ind w:left="284" w:right="260"/>
        <w:jc w:val="both"/>
        <w:rPr>
          <w:rFonts w:cs="Arial"/>
        </w:rPr>
      </w:pPr>
      <w:r w:rsidRPr="00EF3CDF">
        <w:rPr>
          <w:rFonts w:cs="Arial"/>
        </w:rPr>
        <w:t>IČ: 24146978, DIČ: CZ24146978,</w:t>
      </w:r>
    </w:p>
    <w:p w14:paraId="5BAC8F55" w14:textId="37A501DA" w:rsidR="003A045F" w:rsidRPr="00EF3CDF" w:rsidRDefault="003A045F" w:rsidP="008B63D9">
      <w:pPr>
        <w:spacing w:after="0" w:line="240" w:lineRule="auto"/>
        <w:ind w:left="284" w:right="260"/>
        <w:jc w:val="both"/>
        <w:rPr>
          <w:rFonts w:cs="Arial"/>
        </w:rPr>
      </w:pPr>
      <w:r w:rsidRPr="00EF3CDF">
        <w:rPr>
          <w:rFonts w:cs="Arial"/>
        </w:rPr>
        <w:t xml:space="preserve">zastoupena </w:t>
      </w:r>
      <w:r w:rsidR="00364F76" w:rsidRPr="00364F76">
        <w:rPr>
          <w:rFonts w:cs="Arial"/>
          <w:highlight w:val="black"/>
        </w:rPr>
        <w:t>XXXXXXXXXXXXXXX</w:t>
      </w:r>
      <w:r w:rsidRPr="00EF3CDF">
        <w:rPr>
          <w:rFonts w:cs="Arial"/>
        </w:rPr>
        <w:t>, jednatelem,</w:t>
      </w:r>
      <w:r w:rsidR="008109B4" w:rsidRPr="00EF3CDF">
        <w:rPr>
          <w:rFonts w:cs="Arial"/>
        </w:rPr>
        <w:t xml:space="preserve"> </w:t>
      </w:r>
    </w:p>
    <w:p w14:paraId="06039BC8" w14:textId="09C1B328" w:rsidR="00960A36" w:rsidRPr="00EF3CDF" w:rsidRDefault="00960A36" w:rsidP="008B63D9">
      <w:pPr>
        <w:spacing w:after="0" w:line="240" w:lineRule="auto"/>
        <w:ind w:left="284" w:right="260"/>
        <w:jc w:val="both"/>
        <w:rPr>
          <w:rFonts w:cs="Arial"/>
        </w:rPr>
      </w:pPr>
      <w:r w:rsidRPr="00EF3CDF">
        <w:rPr>
          <w:rFonts w:cs="Arial"/>
        </w:rPr>
        <w:t xml:space="preserve">bankovní spojení: </w:t>
      </w:r>
      <w:r w:rsidR="008C545C" w:rsidRPr="008C545C">
        <w:rPr>
          <w:rStyle w:val="platne1"/>
          <w:rFonts w:cs="Arial"/>
          <w:highlight w:val="black"/>
        </w:rPr>
        <w:t>XXXXXXXXXXXXXXX</w:t>
      </w:r>
      <w:r w:rsidRPr="00EF3CDF">
        <w:rPr>
          <w:rStyle w:val="platne1"/>
          <w:rFonts w:cs="Arial"/>
        </w:rPr>
        <w:t xml:space="preserve">, </w:t>
      </w:r>
      <w:r w:rsidR="008C545C" w:rsidRPr="008C545C">
        <w:rPr>
          <w:rStyle w:val="platne1"/>
          <w:rFonts w:cs="Arial"/>
          <w:highlight w:val="black"/>
        </w:rPr>
        <w:t>XXXXXXXXXXXXXXXXXXXXXXXXXXXXX</w:t>
      </w:r>
      <w:r w:rsidRPr="00EF3CDF">
        <w:rPr>
          <w:rStyle w:val="platne1"/>
          <w:rFonts w:cs="Arial"/>
        </w:rPr>
        <w:t xml:space="preserve">, </w:t>
      </w:r>
    </w:p>
    <w:p w14:paraId="537BEA59" w14:textId="77777777" w:rsidR="003A045F" w:rsidRPr="00EF3CDF" w:rsidRDefault="003A045F" w:rsidP="008B63D9">
      <w:pPr>
        <w:spacing w:after="0" w:line="240" w:lineRule="auto"/>
        <w:ind w:left="284" w:right="260"/>
        <w:jc w:val="both"/>
        <w:rPr>
          <w:rFonts w:cs="Arial"/>
        </w:rPr>
      </w:pPr>
      <w:r w:rsidRPr="00EF3CDF">
        <w:rPr>
          <w:rFonts w:cs="Arial"/>
        </w:rPr>
        <w:t xml:space="preserve">zapsané v obchodním rejstříku vedeném Městským soudem v Praze, odd. C, </w:t>
      </w:r>
      <w:proofErr w:type="spellStart"/>
      <w:r w:rsidRPr="00EF3CDF">
        <w:rPr>
          <w:rFonts w:cs="Arial"/>
        </w:rPr>
        <w:t>vl</w:t>
      </w:r>
      <w:proofErr w:type="spellEnd"/>
      <w:r w:rsidRPr="00EF3CDF">
        <w:rPr>
          <w:rFonts w:cs="Arial"/>
        </w:rPr>
        <w:t>. 182960,</w:t>
      </w:r>
    </w:p>
    <w:p w14:paraId="53DA35FE" w14:textId="77777777" w:rsidR="003A045F" w:rsidRPr="00EF3CDF" w:rsidRDefault="003A045F" w:rsidP="008B63D9">
      <w:pPr>
        <w:spacing w:after="0" w:line="240" w:lineRule="auto"/>
        <w:ind w:left="284" w:right="260"/>
        <w:jc w:val="both"/>
        <w:rPr>
          <w:rFonts w:cs="Arial"/>
          <w:b/>
        </w:rPr>
      </w:pPr>
      <w:r w:rsidRPr="00EF3CDF">
        <w:rPr>
          <w:rFonts w:cs="Arial"/>
        </w:rPr>
        <w:t xml:space="preserve">dále jen </w:t>
      </w:r>
      <w:r w:rsidRPr="00EF3CDF">
        <w:rPr>
          <w:rFonts w:cs="Arial"/>
          <w:b/>
        </w:rPr>
        <w:t>„poskytovatel“</w:t>
      </w:r>
    </w:p>
    <w:p w14:paraId="75562D0F" w14:textId="77777777" w:rsidR="003A045F" w:rsidRPr="00EF3CDF" w:rsidRDefault="003A045F" w:rsidP="008B63D9">
      <w:pPr>
        <w:spacing w:before="240" w:after="0" w:line="240" w:lineRule="auto"/>
        <w:ind w:left="284" w:right="260"/>
        <w:jc w:val="both"/>
        <w:rPr>
          <w:rFonts w:cs="Arial"/>
        </w:rPr>
      </w:pPr>
      <w:r w:rsidRPr="00EF3CDF">
        <w:rPr>
          <w:rFonts w:cs="Arial"/>
        </w:rPr>
        <w:t>a</w:t>
      </w:r>
    </w:p>
    <w:p w14:paraId="060B85D9" w14:textId="063180AB" w:rsidR="00A007AF" w:rsidRDefault="004924F3" w:rsidP="00A007AF">
      <w:pPr>
        <w:spacing w:before="240" w:after="0"/>
        <w:ind w:left="284" w:right="260"/>
        <w:jc w:val="both"/>
        <w:rPr>
          <w:b/>
        </w:rPr>
      </w:pPr>
      <w:bookmarkStart w:id="0" w:name="jmeno_firmy"/>
      <w:bookmarkEnd w:id="0"/>
      <w:r w:rsidRPr="004924F3">
        <w:rPr>
          <w:b/>
        </w:rPr>
        <w:t>Vězeňská služba České republiky</w:t>
      </w:r>
    </w:p>
    <w:p w14:paraId="031A90CE" w14:textId="2EDB6B3A" w:rsidR="00A007AF" w:rsidRDefault="00A007AF" w:rsidP="00A007AF">
      <w:pPr>
        <w:spacing w:after="0"/>
        <w:ind w:left="284" w:right="260"/>
        <w:jc w:val="both"/>
      </w:pPr>
      <w:r>
        <w:rPr>
          <w:rFonts w:cs="Arial"/>
        </w:rPr>
        <w:t xml:space="preserve">se sídlem </w:t>
      </w:r>
      <w:bookmarkStart w:id="1" w:name="ulice"/>
      <w:bookmarkEnd w:id="1"/>
      <w:r w:rsidR="004924F3">
        <w:rPr>
          <w:rFonts w:cs="Arial"/>
        </w:rPr>
        <w:t>Soudní 1672/</w:t>
      </w:r>
      <w:proofErr w:type="gramStart"/>
      <w:r w:rsidR="004924F3">
        <w:rPr>
          <w:rFonts w:cs="Arial"/>
        </w:rPr>
        <w:t>1a</w:t>
      </w:r>
      <w:proofErr w:type="gramEnd"/>
      <w:r w:rsidR="001E2375">
        <w:rPr>
          <w:rFonts w:cs="Arial"/>
        </w:rPr>
        <w:t xml:space="preserve">, </w:t>
      </w:r>
      <w:bookmarkStart w:id="2" w:name="mesto"/>
      <w:bookmarkEnd w:id="2"/>
      <w:r w:rsidR="004924F3">
        <w:rPr>
          <w:rFonts w:cs="Arial"/>
        </w:rPr>
        <w:t>Praha 4</w:t>
      </w:r>
      <w:r>
        <w:rPr>
          <w:rFonts w:cs="Arial"/>
        </w:rPr>
        <w:t>,</w:t>
      </w:r>
      <w:r w:rsidR="00E90F55">
        <w:rPr>
          <w:rFonts w:cs="Arial"/>
        </w:rPr>
        <w:t xml:space="preserve"> PSČ</w:t>
      </w:r>
      <w:r>
        <w:rPr>
          <w:rFonts w:cs="Arial"/>
        </w:rPr>
        <w:t xml:space="preserve"> </w:t>
      </w:r>
      <w:bookmarkStart w:id="3" w:name="psc"/>
      <w:bookmarkEnd w:id="3"/>
      <w:r w:rsidR="004924F3">
        <w:rPr>
          <w:rFonts w:cs="Arial"/>
        </w:rPr>
        <w:t>140 00</w:t>
      </w:r>
      <w:r>
        <w:rPr>
          <w:rFonts w:cs="Arial"/>
        </w:rPr>
        <w:t>,</w:t>
      </w:r>
    </w:p>
    <w:p w14:paraId="2D31E071" w14:textId="6DC7EBD9" w:rsidR="00A007AF" w:rsidRDefault="00A007AF" w:rsidP="00A007AF">
      <w:pPr>
        <w:spacing w:after="0"/>
        <w:ind w:left="284" w:right="260"/>
        <w:jc w:val="both"/>
      </w:pPr>
      <w:r>
        <w:rPr>
          <w:rFonts w:cs="Arial"/>
        </w:rPr>
        <w:t xml:space="preserve">IČ: </w:t>
      </w:r>
      <w:bookmarkStart w:id="4" w:name="ico"/>
      <w:bookmarkEnd w:id="4"/>
      <w:r w:rsidR="004924F3">
        <w:rPr>
          <w:rFonts w:cs="Arial"/>
        </w:rPr>
        <w:t>00212423</w:t>
      </w:r>
      <w:r>
        <w:rPr>
          <w:rFonts w:cs="Arial"/>
        </w:rPr>
        <w:t>, DIČ:</w:t>
      </w:r>
      <w:r>
        <w:t xml:space="preserve"> </w:t>
      </w:r>
      <w:bookmarkStart w:id="5" w:name="dic"/>
      <w:bookmarkEnd w:id="5"/>
      <w:r w:rsidR="004924F3">
        <w:t>CZ</w:t>
      </w:r>
      <w:r w:rsidR="004924F3">
        <w:rPr>
          <w:rFonts w:cs="Arial"/>
        </w:rPr>
        <w:t>00212423</w:t>
      </w:r>
      <w:r w:rsidR="001E2375">
        <w:t>,</w:t>
      </w:r>
    </w:p>
    <w:p w14:paraId="6D7C0BF8" w14:textId="0AD33FDF" w:rsidR="00A007AF" w:rsidRDefault="00021922" w:rsidP="002B5624">
      <w:pPr>
        <w:spacing w:after="0" w:line="240" w:lineRule="auto"/>
        <w:ind w:left="284" w:right="260"/>
        <w:jc w:val="both"/>
        <w:rPr>
          <w:rFonts w:cs="Arial"/>
        </w:rPr>
      </w:pPr>
      <w:r>
        <w:rPr>
          <w:rFonts w:cs="Arial"/>
        </w:rPr>
        <w:t>Z</w:t>
      </w:r>
      <w:r w:rsidR="00A007AF">
        <w:rPr>
          <w:rFonts w:cs="Arial"/>
        </w:rPr>
        <w:t>astoupena</w:t>
      </w:r>
      <w:bookmarkStart w:id="6" w:name="osoba"/>
      <w:bookmarkEnd w:id="6"/>
      <w:r>
        <w:rPr>
          <w:rFonts w:cs="Arial"/>
        </w:rPr>
        <w:t xml:space="preserve"> Mgr. Jindřichem Říhou</w:t>
      </w:r>
      <w:r w:rsidR="002B5624">
        <w:rPr>
          <w:rFonts w:cs="Arial"/>
        </w:rPr>
        <w:t xml:space="preserve">, </w:t>
      </w:r>
      <w:r w:rsidR="002B5624" w:rsidRPr="002B5624">
        <w:rPr>
          <w:rFonts w:cs="Arial"/>
        </w:rPr>
        <w:t>ředitel odboru informatiky</w:t>
      </w:r>
    </w:p>
    <w:p w14:paraId="29E3CA78" w14:textId="77777777" w:rsidR="00A007AF" w:rsidRDefault="00A007AF" w:rsidP="00A007AF">
      <w:pPr>
        <w:spacing w:after="0" w:line="240" w:lineRule="auto"/>
        <w:ind w:left="284" w:right="260"/>
        <w:jc w:val="both"/>
        <w:rPr>
          <w:rFonts w:cs="Arial"/>
          <w:b/>
        </w:rPr>
      </w:pPr>
      <w:r>
        <w:rPr>
          <w:rFonts w:cs="Arial"/>
        </w:rPr>
        <w:t xml:space="preserve">dále jen </w:t>
      </w:r>
      <w:r>
        <w:rPr>
          <w:rFonts w:cs="Arial"/>
          <w:b/>
        </w:rPr>
        <w:t>„uživatel“</w:t>
      </w:r>
    </w:p>
    <w:p w14:paraId="22DB1617" w14:textId="77777777" w:rsidR="00A007AF" w:rsidRDefault="00A007AF" w:rsidP="00A007AF">
      <w:pPr>
        <w:spacing w:after="0" w:line="240" w:lineRule="auto"/>
        <w:ind w:left="284" w:right="260"/>
        <w:jc w:val="both"/>
        <w:rPr>
          <w:rFonts w:cs="Arial"/>
        </w:rPr>
      </w:pPr>
    </w:p>
    <w:p w14:paraId="49EB488C" w14:textId="77777777" w:rsidR="00E11940" w:rsidRDefault="00E11940" w:rsidP="00E11940">
      <w:pPr>
        <w:spacing w:after="0" w:line="240" w:lineRule="auto"/>
        <w:ind w:left="284" w:right="260"/>
        <w:jc w:val="both"/>
        <w:rPr>
          <w:rFonts w:cs="Arial"/>
        </w:rPr>
      </w:pPr>
      <w:r>
        <w:rPr>
          <w:rFonts w:cs="Arial"/>
        </w:rPr>
        <w:t>uzavírají tuto smlouvu:</w:t>
      </w:r>
    </w:p>
    <w:p w14:paraId="624AF4AE" w14:textId="77777777" w:rsidR="00E11940" w:rsidRDefault="00E11940" w:rsidP="00E11940">
      <w:pPr>
        <w:spacing w:after="0" w:line="240" w:lineRule="auto"/>
        <w:ind w:left="284" w:right="260"/>
        <w:jc w:val="both"/>
        <w:rPr>
          <w:rFonts w:cs="Arial"/>
        </w:rPr>
      </w:pPr>
    </w:p>
    <w:p w14:paraId="70999E89" w14:textId="77777777" w:rsidR="00E11940" w:rsidRDefault="00E11940" w:rsidP="00E11940">
      <w:pPr>
        <w:pStyle w:val="Odstavecseseznamem"/>
        <w:numPr>
          <w:ilvl w:val="0"/>
          <w:numId w:val="10"/>
        </w:numPr>
        <w:spacing w:before="120" w:after="100" w:afterAutospacing="1" w:line="240" w:lineRule="auto"/>
        <w:ind w:left="709" w:right="260" w:hanging="425"/>
        <w:jc w:val="both"/>
        <w:rPr>
          <w:rFonts w:cs="Arial"/>
          <w:b/>
        </w:rPr>
      </w:pPr>
      <w:r>
        <w:rPr>
          <w:rFonts w:cs="Arial"/>
          <w:b/>
        </w:rPr>
        <w:t>Úvodní ustanovení</w:t>
      </w:r>
    </w:p>
    <w:p w14:paraId="5063DA1D" w14:textId="77777777" w:rsidR="00E11940" w:rsidRDefault="00E11940" w:rsidP="00E11940">
      <w:pPr>
        <w:pStyle w:val="Odstavecseseznamem"/>
        <w:numPr>
          <w:ilvl w:val="1"/>
          <w:numId w:val="11"/>
        </w:numPr>
        <w:spacing w:before="120" w:after="0" w:line="240" w:lineRule="auto"/>
        <w:ind w:left="709" w:right="260" w:hanging="425"/>
        <w:jc w:val="both"/>
        <w:rPr>
          <w:rFonts w:cs="Arial"/>
        </w:rPr>
      </w:pPr>
      <w:r>
        <w:rPr>
          <w:rFonts w:cs="Arial"/>
        </w:rPr>
        <w:t xml:space="preserve">Poskytovatel provozuje právní informační systém Beck-online, který sestává z jednotlivých poskytovatelem vytvořených databází odborných informací a vyhledávacího programového vybavení (software) a který je přístupný prostřednictvím sítě internet (online) na internetové adrese </w:t>
      </w:r>
      <w:hyperlink r:id="rId8" w:history="1">
        <w:r>
          <w:rPr>
            <w:rStyle w:val="Hypertextovodkaz"/>
            <w:rFonts w:cs="Arial"/>
          </w:rPr>
          <w:t>www.beck-online.cz</w:t>
        </w:r>
      </w:hyperlink>
      <w:r>
        <w:rPr>
          <w:rFonts w:cs="Arial"/>
        </w:rPr>
        <w:t xml:space="preserve"> (dále jen </w:t>
      </w:r>
      <w:r>
        <w:rPr>
          <w:rFonts w:cs="Arial"/>
          <w:b/>
        </w:rPr>
        <w:t>„Beck-online“</w:t>
      </w:r>
      <w:r>
        <w:rPr>
          <w:rFonts w:cs="Arial"/>
        </w:rPr>
        <w:t>).</w:t>
      </w:r>
    </w:p>
    <w:p w14:paraId="21B37D8D" w14:textId="431DDA4F"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Právní vztahy mezi uživatelem a poskytovatelem se řídí touto smlouvou a všeobecnými obchodními p</w:t>
      </w:r>
      <w:r w:rsidR="00727E2B">
        <w:rPr>
          <w:rFonts w:cs="Arial"/>
        </w:rPr>
        <w:t>odmínkami poskytovatele, verze 5</w:t>
      </w:r>
      <w:r>
        <w:rPr>
          <w:rFonts w:cs="Arial"/>
        </w:rPr>
        <w:t>/20</w:t>
      </w:r>
      <w:r w:rsidR="00727E2B">
        <w:rPr>
          <w:rFonts w:cs="Arial"/>
        </w:rPr>
        <w:t>22</w:t>
      </w:r>
      <w:r>
        <w:rPr>
          <w:rFonts w:cs="Arial"/>
        </w:rPr>
        <w:t xml:space="preserve"> (dále jen </w:t>
      </w:r>
      <w:r>
        <w:rPr>
          <w:rFonts w:cs="Arial"/>
          <w:b/>
        </w:rPr>
        <w:t>„VOP“</w:t>
      </w:r>
      <w:r>
        <w:rPr>
          <w:rFonts w:cs="Arial"/>
        </w:rPr>
        <w:t xml:space="preserve">) a „Informacemi o zpracování osobních údajů“ (dále jen </w:t>
      </w:r>
      <w:r w:rsidR="00BF7554">
        <w:rPr>
          <w:rFonts w:cs="Arial"/>
          <w:b/>
        </w:rPr>
        <w:t>„IZ</w:t>
      </w:r>
      <w:r>
        <w:rPr>
          <w:rFonts w:cs="Arial"/>
          <w:b/>
        </w:rPr>
        <w:t>OÚ“</w:t>
      </w:r>
      <w:r>
        <w:rPr>
          <w:rFonts w:cs="Arial"/>
        </w:rPr>
        <w:t>). Ve VOP jsou mj. upraveny technické podmínky pro přístup do Beck-online, garantovaná dostupnost Beck-online, odpovědnost za užití obsahu Beck-online, možnost odstoupení od smlouvy, rozhodné právo a způsob řešení sporů. Obchodní zvyklosti se nepoužijí. Uživatel prohlašuje, že se před uzavřením této smlouvy s VOP řádně seznámil. VOP jsou dostupné na internetové stránce Beck-online.</w:t>
      </w:r>
    </w:p>
    <w:p w14:paraId="7DE45D17" w14:textId="77777777" w:rsidR="00E11940" w:rsidRDefault="00E11940" w:rsidP="00E11940">
      <w:pPr>
        <w:pStyle w:val="Odstavecseseznamem"/>
        <w:spacing w:before="100" w:beforeAutospacing="1" w:after="100" w:afterAutospacing="1" w:line="240" w:lineRule="auto"/>
        <w:ind w:left="851" w:right="260" w:hanging="567"/>
        <w:jc w:val="both"/>
        <w:rPr>
          <w:rFonts w:cs="Arial"/>
        </w:rPr>
      </w:pPr>
      <w:r>
        <w:rPr>
          <w:rFonts w:cs="Arial"/>
        </w:rPr>
        <w:t xml:space="preserve"> </w:t>
      </w:r>
    </w:p>
    <w:p w14:paraId="3CD43783" w14:textId="77777777" w:rsidR="00E11940" w:rsidRDefault="00E11940" w:rsidP="00E11940">
      <w:pPr>
        <w:pStyle w:val="Odstavecseseznamem"/>
        <w:numPr>
          <w:ilvl w:val="0"/>
          <w:numId w:val="11"/>
        </w:numPr>
        <w:spacing w:before="240" w:after="100" w:afterAutospacing="1" w:line="240" w:lineRule="auto"/>
        <w:ind w:left="709" w:right="260" w:hanging="425"/>
        <w:jc w:val="both"/>
        <w:rPr>
          <w:rFonts w:cs="Arial"/>
          <w:b/>
        </w:rPr>
      </w:pPr>
      <w:r>
        <w:rPr>
          <w:rFonts w:cs="Arial"/>
          <w:b/>
        </w:rPr>
        <w:t>Předmět smlouvy</w:t>
      </w:r>
    </w:p>
    <w:p w14:paraId="346275AE" w14:textId="77777777" w:rsidR="00E11940" w:rsidRDefault="00E11940" w:rsidP="00E11940">
      <w:pPr>
        <w:pStyle w:val="Odstavecseseznamem"/>
        <w:numPr>
          <w:ilvl w:val="1"/>
          <w:numId w:val="11"/>
        </w:numPr>
        <w:spacing w:before="100" w:beforeAutospacing="1" w:after="100" w:afterAutospacing="1" w:line="240" w:lineRule="auto"/>
        <w:ind w:left="709" w:right="260" w:hanging="425"/>
        <w:jc w:val="both"/>
        <w:rPr>
          <w:rFonts w:cs="Arial"/>
        </w:rPr>
      </w:pPr>
      <w:r>
        <w:rPr>
          <w:rFonts w:cs="Arial"/>
        </w:rPr>
        <w:t xml:space="preserve">Poskytovatel poskytuje uživateli právo na přístup do Beck-online a právo Beck-online užívat (dále jen </w:t>
      </w:r>
      <w:r>
        <w:rPr>
          <w:rFonts w:cs="Arial"/>
          <w:b/>
        </w:rPr>
        <w:t>„licence“</w:t>
      </w:r>
      <w:r>
        <w:rPr>
          <w:rFonts w:cs="Arial"/>
        </w:rPr>
        <w:t>) a uživatel se zavazuje za užívání Beck-online platit poskytovateli odměnu stanovenou v Příloze, která je nedílnou součástí této smlouvy.</w:t>
      </w:r>
    </w:p>
    <w:p w14:paraId="40496CED" w14:textId="77777777"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 xml:space="preserve">Uživatel je oprávněn k Beck-online přistupovat a užívat ho výlučně prostřednictvím uživatelského účtu zřizovaného uživateli poskytovatelem, a to na základě uživatelského jména a hesla uživatele (dále jen </w:t>
      </w:r>
      <w:r>
        <w:rPr>
          <w:rFonts w:cs="Arial"/>
          <w:b/>
        </w:rPr>
        <w:t>„uživatelský účet“</w:t>
      </w:r>
      <w:r>
        <w:rPr>
          <w:rFonts w:cs="Arial"/>
        </w:rPr>
        <w:t xml:space="preserve">). </w:t>
      </w:r>
    </w:p>
    <w:p w14:paraId="5BE49C55" w14:textId="77777777"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Poskytovatel se zavazuje zřídit uživateli uživatelský účet nejpozději k prvnímu dni prvního období, avšak nikoli dříve, než mu byla uhrazena v plné výši odměna za první období.</w:t>
      </w:r>
    </w:p>
    <w:p w14:paraId="6C4E59B8" w14:textId="30B3752C"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Rozsah licence specifikuje Příloha, přičemž další podmínky užívání licence jsou upraveny ve VOP.</w:t>
      </w:r>
    </w:p>
    <w:p w14:paraId="6FA2DD04" w14:textId="77777777" w:rsidR="00862F0D" w:rsidRDefault="00862F0D" w:rsidP="00862F0D">
      <w:pPr>
        <w:pStyle w:val="Odstavecseseznamem"/>
        <w:spacing w:before="80" w:after="0" w:line="240" w:lineRule="auto"/>
        <w:ind w:left="709" w:right="260"/>
        <w:jc w:val="both"/>
        <w:rPr>
          <w:rFonts w:cs="Arial"/>
        </w:rPr>
      </w:pPr>
    </w:p>
    <w:p w14:paraId="14D4D6D1" w14:textId="77777777" w:rsidR="00E11940" w:rsidRDefault="00E11940" w:rsidP="00E11940">
      <w:pPr>
        <w:pStyle w:val="Odstavecseseznamem"/>
        <w:numPr>
          <w:ilvl w:val="0"/>
          <w:numId w:val="11"/>
        </w:numPr>
        <w:spacing w:before="240" w:after="100" w:afterAutospacing="1" w:line="240" w:lineRule="auto"/>
        <w:ind w:left="709" w:right="260" w:hanging="425"/>
        <w:jc w:val="both"/>
        <w:rPr>
          <w:rFonts w:cs="Arial"/>
          <w:b/>
        </w:rPr>
      </w:pPr>
      <w:r>
        <w:rPr>
          <w:rFonts w:cs="Arial"/>
          <w:b/>
        </w:rPr>
        <w:t>Platební podmínky</w:t>
      </w:r>
    </w:p>
    <w:p w14:paraId="4441C3DA" w14:textId="77777777" w:rsidR="00E11940" w:rsidRDefault="00E11940" w:rsidP="00E11940">
      <w:pPr>
        <w:pStyle w:val="Odstavecseseznamem"/>
        <w:numPr>
          <w:ilvl w:val="1"/>
          <w:numId w:val="11"/>
        </w:numPr>
        <w:spacing w:after="0" w:line="240" w:lineRule="auto"/>
        <w:ind w:left="709" w:right="260" w:hanging="425"/>
        <w:jc w:val="both"/>
        <w:rPr>
          <w:rFonts w:cs="Arial"/>
        </w:rPr>
      </w:pPr>
      <w:r>
        <w:rPr>
          <w:rFonts w:cs="Arial"/>
        </w:rPr>
        <w:t xml:space="preserve">Za užívání Beck-online se uživatel zavazuje platit poskytovateli odměnu, jejíž výše se odvíjí od rozsahu licence uvedeného v Příloze (dále jen </w:t>
      </w:r>
      <w:r>
        <w:rPr>
          <w:rFonts w:cs="Arial"/>
          <w:b/>
        </w:rPr>
        <w:t>„odměna“</w:t>
      </w:r>
      <w:r>
        <w:rPr>
          <w:rFonts w:cs="Arial"/>
        </w:rPr>
        <w:t>).</w:t>
      </w:r>
    </w:p>
    <w:p w14:paraId="2A035751" w14:textId="4AC8C6BD"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 xml:space="preserve">Fakturu je poskytovatel oprávněn vystavit nejdříve dva měsíce před začátkem období. Elektronická faktura bude zasílána na email: </w:t>
      </w:r>
      <w:r w:rsidR="008C545C" w:rsidRPr="008C545C">
        <w:rPr>
          <w:rFonts w:cs="Arial"/>
          <w:highlight w:val="black"/>
        </w:rPr>
        <w:t>XXXXXXXXXXXXXXXXXXX</w:t>
      </w:r>
      <w:r w:rsidR="002B5624">
        <w:rPr>
          <w:rFonts w:cs="Arial"/>
        </w:rPr>
        <w:t>.</w:t>
      </w:r>
      <w:r>
        <w:rPr>
          <w:rFonts w:cs="Arial"/>
        </w:rPr>
        <w:t xml:space="preserve"> O případné změně emailové adresy je uživatel povinen poskytovatele bezodkladně písemnou formou informovat. </w:t>
      </w:r>
    </w:p>
    <w:p w14:paraId="5D397F16" w14:textId="261B5BC8"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 xml:space="preserve">Faktura je splatná do </w:t>
      </w:r>
      <w:bookmarkStart w:id="7" w:name="splatnost"/>
      <w:bookmarkEnd w:id="7"/>
      <w:r w:rsidR="00E22F9A">
        <w:rPr>
          <w:rFonts w:cs="Arial"/>
        </w:rPr>
        <w:t>90</w:t>
      </w:r>
      <w:r>
        <w:rPr>
          <w:rFonts w:cs="Arial"/>
        </w:rPr>
        <w:t xml:space="preserve"> dnů od jejího doručení uživateli. Při prodlení s úhradou faktury je poskytovatel oprávněn přístup k Beck-online přerušit až do vyrovnání pohledávky. Pozastavením přístupu do </w:t>
      </w:r>
      <w:r>
        <w:rPr>
          <w:rFonts w:cs="Arial"/>
        </w:rPr>
        <w:br/>
        <w:t>Beck-online však nezaniká právo Poskytovatele na úhradu Odměny i za dobu, během které nebyla tato služba poskytována.</w:t>
      </w:r>
    </w:p>
    <w:p w14:paraId="01CD65D5" w14:textId="2E52993D" w:rsidR="000768C5" w:rsidRDefault="000768C5">
      <w:pPr>
        <w:spacing w:after="0" w:line="240" w:lineRule="auto"/>
        <w:rPr>
          <w:rFonts w:cs="Arial"/>
        </w:rPr>
      </w:pPr>
      <w:r>
        <w:rPr>
          <w:rFonts w:cs="Arial"/>
        </w:rPr>
        <w:br w:type="page"/>
      </w:r>
    </w:p>
    <w:p w14:paraId="31CD8B5C" w14:textId="77777777" w:rsidR="00E11940" w:rsidRDefault="00E11940" w:rsidP="00E11940">
      <w:pPr>
        <w:pStyle w:val="Odstavecseseznamem"/>
        <w:spacing w:before="100" w:beforeAutospacing="1" w:after="100" w:afterAutospacing="1" w:line="240" w:lineRule="auto"/>
        <w:ind w:left="709" w:right="260" w:hanging="425"/>
        <w:jc w:val="both"/>
        <w:rPr>
          <w:rFonts w:cs="Arial"/>
        </w:rPr>
      </w:pPr>
    </w:p>
    <w:p w14:paraId="032510CE" w14:textId="77777777" w:rsidR="00E11940" w:rsidRDefault="00E11940" w:rsidP="00E11940">
      <w:pPr>
        <w:pStyle w:val="Odstavecseseznamem"/>
        <w:numPr>
          <w:ilvl w:val="0"/>
          <w:numId w:val="11"/>
        </w:numPr>
        <w:spacing w:before="240" w:after="100" w:afterAutospacing="1" w:line="240" w:lineRule="auto"/>
        <w:ind w:left="709" w:right="260" w:hanging="425"/>
        <w:jc w:val="both"/>
        <w:rPr>
          <w:rFonts w:cs="Arial"/>
          <w:b/>
        </w:rPr>
      </w:pPr>
      <w:r>
        <w:rPr>
          <w:rFonts w:cs="Arial"/>
          <w:b/>
        </w:rPr>
        <w:t>Doba trvání smlouvy</w:t>
      </w:r>
    </w:p>
    <w:p w14:paraId="4FC7CE12" w14:textId="77777777" w:rsidR="0007566B" w:rsidRDefault="0007566B" w:rsidP="0007566B">
      <w:pPr>
        <w:pStyle w:val="Odstavecseseznamem"/>
        <w:numPr>
          <w:ilvl w:val="1"/>
          <w:numId w:val="11"/>
        </w:numPr>
        <w:spacing w:after="0" w:line="240" w:lineRule="auto"/>
        <w:ind w:left="709" w:right="260" w:hanging="425"/>
        <w:jc w:val="both"/>
        <w:rPr>
          <w:rFonts w:cs="Arial"/>
        </w:rPr>
      </w:pPr>
      <w:r w:rsidRPr="00957B29">
        <w:rPr>
          <w:rFonts w:cs="Arial"/>
        </w:rPr>
        <w:t>Tato smlouva nabývá platnosti dnem jejího podpisu oběma smluvními stranami a účinnosti dnem zveřejnění v registru smluv dle zákona č. 340/2015 Sb.,</w:t>
      </w:r>
      <w:r>
        <w:rPr>
          <w:rFonts w:cs="Arial"/>
        </w:rPr>
        <w:t xml:space="preserve"> </w:t>
      </w:r>
      <w:r>
        <w:rPr>
          <w:rStyle w:val="s14"/>
        </w:rPr>
        <w:t>o zvláštních podmínkách účinnosti některých smluv, uveřejňování těchto smluv a o registru smluv (zákon o registru smluv)</w:t>
      </w:r>
      <w:r w:rsidRPr="00957B29">
        <w:rPr>
          <w:rFonts w:cs="Arial"/>
        </w:rPr>
        <w:t>, ve znění pozdějších předpisů</w:t>
      </w:r>
      <w:r>
        <w:rPr>
          <w:rFonts w:cs="Arial"/>
        </w:rPr>
        <w:t>.</w:t>
      </w:r>
    </w:p>
    <w:p w14:paraId="36F283B2" w14:textId="1FCE8ABF"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Smlouva se uzavírá na dobu</w:t>
      </w:r>
      <w:r>
        <w:rPr>
          <w:rFonts w:cs="Arial"/>
          <w:b/>
        </w:rPr>
        <w:t xml:space="preserve"> </w:t>
      </w:r>
      <w:bookmarkStart w:id="8" w:name="doba_trvani"/>
      <w:bookmarkEnd w:id="8"/>
      <w:r w:rsidR="00E96841">
        <w:rPr>
          <w:rFonts w:cs="Arial"/>
          <w:b/>
        </w:rPr>
        <w:t>určitou, a to do</w:t>
      </w:r>
      <w:r w:rsidR="000768C5">
        <w:rPr>
          <w:rFonts w:cs="Arial"/>
          <w:b/>
        </w:rPr>
        <w:t xml:space="preserve"> </w:t>
      </w:r>
      <w:r w:rsidR="00E22F9A">
        <w:rPr>
          <w:rFonts w:cs="Arial"/>
          <w:b/>
        </w:rPr>
        <w:t>28. 2</w:t>
      </w:r>
      <w:r w:rsidR="000768C5">
        <w:rPr>
          <w:rFonts w:cs="Arial"/>
          <w:b/>
        </w:rPr>
        <w:t>.</w:t>
      </w:r>
      <w:r w:rsidR="00E22F9A">
        <w:rPr>
          <w:rFonts w:cs="Arial"/>
          <w:b/>
        </w:rPr>
        <w:t xml:space="preserve"> </w:t>
      </w:r>
      <w:r w:rsidR="000768C5">
        <w:rPr>
          <w:rFonts w:cs="Arial"/>
          <w:b/>
        </w:rPr>
        <w:t>202</w:t>
      </w:r>
      <w:r w:rsidR="00AB3CC9">
        <w:rPr>
          <w:rFonts w:cs="Arial"/>
          <w:b/>
        </w:rPr>
        <w:t>7</w:t>
      </w:r>
      <w:r>
        <w:rPr>
          <w:rFonts w:cs="Arial"/>
        </w:rPr>
        <w:t>. Licence je uživateli udělena na dobu trvání této smlouvy.</w:t>
      </w:r>
    </w:p>
    <w:p w14:paraId="10B3066E" w14:textId="77777777" w:rsidR="00E11940" w:rsidRDefault="00E11940" w:rsidP="00E11940">
      <w:pPr>
        <w:pStyle w:val="Odstavecseseznamem"/>
        <w:spacing w:before="100" w:beforeAutospacing="1" w:after="100" w:afterAutospacing="1" w:line="240" w:lineRule="auto"/>
        <w:ind w:left="709" w:right="118" w:hanging="425"/>
        <w:jc w:val="both"/>
        <w:rPr>
          <w:rFonts w:cs="Arial"/>
        </w:rPr>
      </w:pPr>
    </w:p>
    <w:p w14:paraId="3F0A575E" w14:textId="50C15CAB" w:rsidR="00E11940" w:rsidRDefault="00E11940" w:rsidP="00E11940">
      <w:pPr>
        <w:pStyle w:val="Odstavecseseznamem"/>
        <w:numPr>
          <w:ilvl w:val="0"/>
          <w:numId w:val="11"/>
        </w:numPr>
        <w:spacing w:before="240" w:after="100" w:afterAutospacing="1" w:line="240" w:lineRule="auto"/>
        <w:ind w:left="709" w:right="118" w:hanging="425"/>
        <w:jc w:val="both"/>
        <w:rPr>
          <w:rFonts w:cs="Arial"/>
          <w:b/>
        </w:rPr>
      </w:pPr>
      <w:r>
        <w:rPr>
          <w:rFonts w:cs="Arial"/>
          <w:b/>
        </w:rPr>
        <w:t>Školení</w:t>
      </w:r>
      <w:r w:rsidR="000161B0">
        <w:rPr>
          <w:rFonts w:cs="Arial"/>
          <w:b/>
        </w:rPr>
        <w:t xml:space="preserve"> a podpora uživatelů</w:t>
      </w:r>
    </w:p>
    <w:p w14:paraId="0AC68DD7" w14:textId="77777777" w:rsidR="00E11940" w:rsidRDefault="00E11940" w:rsidP="00E11940">
      <w:pPr>
        <w:pStyle w:val="Odstavecseseznamem"/>
        <w:numPr>
          <w:ilvl w:val="1"/>
          <w:numId w:val="11"/>
        </w:numPr>
        <w:spacing w:after="100" w:afterAutospacing="1" w:line="240" w:lineRule="auto"/>
        <w:ind w:left="709" w:right="260" w:hanging="425"/>
        <w:jc w:val="both"/>
        <w:rPr>
          <w:rFonts w:cs="Arial"/>
        </w:rPr>
      </w:pPr>
      <w:r>
        <w:rPr>
          <w:rFonts w:cs="Arial"/>
        </w:rPr>
        <w:t>Poskytovatel pořádá školení na užívání Beck-online výlučně prostřednictvím svých vyškolených lektorů (dále jen „</w:t>
      </w:r>
      <w:r>
        <w:rPr>
          <w:rFonts w:cs="Arial"/>
          <w:b/>
        </w:rPr>
        <w:t>školení</w:t>
      </w:r>
      <w:r>
        <w:rPr>
          <w:rFonts w:cs="Arial"/>
        </w:rPr>
        <w:t>“).</w:t>
      </w:r>
    </w:p>
    <w:p w14:paraId="7E3C18AA" w14:textId="77777777"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 xml:space="preserve">Účast na školení je zpoplatněna. Cena a aktuální termíny jsou zveřejněny na stránce </w:t>
      </w:r>
      <w:r>
        <w:rPr>
          <w:rFonts w:cs="Arial"/>
        </w:rPr>
        <w:br/>
      </w:r>
      <w:hyperlink r:id="rId9" w:history="1">
        <w:r>
          <w:rPr>
            <w:rStyle w:val="Hypertextovodkaz"/>
            <w:rFonts w:cs="Arial"/>
          </w:rPr>
          <w:t>www.beck-online.cz</w:t>
        </w:r>
      </w:hyperlink>
      <w:r>
        <w:rPr>
          <w:rFonts w:cs="Arial"/>
        </w:rPr>
        <w:t>.</w:t>
      </w:r>
    </w:p>
    <w:p w14:paraId="628B2E5D" w14:textId="77777777"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V případě zájmu uživatele lze se zástupcem poskytovatele dohodnout individuálně školení mimo veřejné termíny.</w:t>
      </w:r>
    </w:p>
    <w:p w14:paraId="605A6A24" w14:textId="1940F706" w:rsidR="00E11940" w:rsidRDefault="00E11940" w:rsidP="00E11940">
      <w:pPr>
        <w:pStyle w:val="Odstavecseseznamem"/>
        <w:numPr>
          <w:ilvl w:val="1"/>
          <w:numId w:val="11"/>
        </w:numPr>
        <w:spacing w:before="120" w:after="0" w:line="240" w:lineRule="auto"/>
        <w:ind w:left="709" w:right="260" w:hanging="425"/>
        <w:jc w:val="both"/>
        <w:rPr>
          <w:rFonts w:cs="Arial"/>
        </w:rPr>
      </w:pPr>
      <w:r>
        <w:rPr>
          <w:rFonts w:cs="Arial"/>
        </w:rPr>
        <w:t>Úvodní zaškolení musí povinně absolvovat všechny osoby v režimu pilotního provozu, a to nejpozději do</w:t>
      </w:r>
      <w:r w:rsidR="0050486E">
        <w:rPr>
          <w:rFonts w:cs="Arial"/>
        </w:rPr>
        <w:t xml:space="preserve"> dvou</w:t>
      </w:r>
      <w:r>
        <w:rPr>
          <w:rFonts w:cs="Arial"/>
        </w:rPr>
        <w:t xml:space="preserve"> měsíců od začátku předplaceného období. </w:t>
      </w:r>
      <w:r w:rsidR="00862F0D">
        <w:rPr>
          <w:rFonts w:cs="Arial"/>
        </w:rPr>
        <w:t>Toto zaškolení provede poskytovatel zdarma.</w:t>
      </w:r>
    </w:p>
    <w:p w14:paraId="011C492A" w14:textId="77777777" w:rsidR="00CD40EF" w:rsidRDefault="00CD40EF" w:rsidP="00CD40EF">
      <w:pPr>
        <w:pStyle w:val="Odstavecseseznamem"/>
        <w:numPr>
          <w:ilvl w:val="1"/>
          <w:numId w:val="11"/>
        </w:numPr>
        <w:spacing w:before="120" w:after="0" w:line="240" w:lineRule="auto"/>
        <w:ind w:left="709" w:right="260" w:hanging="425"/>
        <w:jc w:val="both"/>
        <w:rPr>
          <w:rFonts w:cs="Arial"/>
        </w:rPr>
      </w:pPr>
      <w:r>
        <w:rPr>
          <w:rFonts w:cs="Arial"/>
        </w:rPr>
        <w:t>Služby podpory dle čl. 6.1. VOP budou poskytovány zdarma.</w:t>
      </w:r>
    </w:p>
    <w:p w14:paraId="07A6C591" w14:textId="77777777" w:rsidR="00E11940" w:rsidRDefault="00E11940" w:rsidP="00E11940">
      <w:pPr>
        <w:pStyle w:val="Odstavecseseznamem"/>
        <w:spacing w:after="100" w:afterAutospacing="1" w:line="240" w:lineRule="auto"/>
        <w:ind w:left="709" w:right="260" w:hanging="425"/>
        <w:jc w:val="both"/>
        <w:rPr>
          <w:rFonts w:cs="Arial"/>
          <w:b/>
        </w:rPr>
      </w:pPr>
    </w:p>
    <w:p w14:paraId="23F60107" w14:textId="77777777" w:rsidR="00E11940" w:rsidRDefault="00E11940" w:rsidP="00E11940">
      <w:pPr>
        <w:pStyle w:val="Odstavecseseznamem"/>
        <w:numPr>
          <w:ilvl w:val="0"/>
          <w:numId w:val="11"/>
        </w:numPr>
        <w:spacing w:before="240" w:after="100" w:afterAutospacing="1" w:line="240" w:lineRule="auto"/>
        <w:ind w:left="709" w:right="260" w:hanging="425"/>
        <w:jc w:val="both"/>
        <w:rPr>
          <w:rFonts w:cs="Arial"/>
          <w:b/>
        </w:rPr>
      </w:pPr>
      <w:r>
        <w:rPr>
          <w:rFonts w:cs="Arial"/>
          <w:b/>
        </w:rPr>
        <w:t>Odpovědnost poskytovatele za škodu</w:t>
      </w:r>
    </w:p>
    <w:p w14:paraId="2F92299C" w14:textId="5605DFF5" w:rsidR="00E11940" w:rsidRDefault="00E11940" w:rsidP="00E11940">
      <w:pPr>
        <w:pStyle w:val="Odstavecseseznamem"/>
        <w:numPr>
          <w:ilvl w:val="1"/>
          <w:numId w:val="11"/>
        </w:numPr>
        <w:spacing w:after="0" w:line="240" w:lineRule="auto"/>
        <w:ind w:left="709" w:right="260" w:hanging="425"/>
        <w:jc w:val="both"/>
        <w:rPr>
          <w:rFonts w:cs="Arial"/>
        </w:rPr>
      </w:pPr>
      <w:r>
        <w:rPr>
          <w:rFonts w:cs="Arial"/>
        </w:rPr>
        <w:t>Smluvní strany sjednávají, že poskytovatel uživateli odpovídá pouze za takovou majetkovou újmu (škodu), která vznikne zaviněným porušením této smlouvy ze strany poskytovatele. Výše náhrady škody je omezena na částku rovnající se odměně poskytovatele z této smlouvy za předplatné období (jak je vymezeno v Příloze), ve kterém došlo k porušení smlouvy. Smluvní strany sjednávají, že jakékoli nároky vzniklé v případě, že by Beck-online neodpovídal sjednaným vlastnostem, budou považovány výlučně za nárok na náhradu škody.</w:t>
      </w:r>
    </w:p>
    <w:p w14:paraId="3A6D9D6F" w14:textId="77777777" w:rsidR="00862F0D" w:rsidRDefault="00862F0D" w:rsidP="00862F0D">
      <w:pPr>
        <w:pStyle w:val="Odstavecseseznamem"/>
        <w:spacing w:after="0" w:line="240" w:lineRule="auto"/>
        <w:ind w:left="709" w:right="260"/>
        <w:jc w:val="both"/>
        <w:rPr>
          <w:rFonts w:cs="Arial"/>
        </w:rPr>
      </w:pPr>
    </w:p>
    <w:p w14:paraId="155304C4" w14:textId="77777777" w:rsidR="00E11940" w:rsidRDefault="00E11940" w:rsidP="00E11940">
      <w:pPr>
        <w:pStyle w:val="Odstavecseseznamem"/>
        <w:numPr>
          <w:ilvl w:val="0"/>
          <w:numId w:val="11"/>
        </w:numPr>
        <w:spacing w:before="240" w:after="100" w:afterAutospacing="1" w:line="240" w:lineRule="auto"/>
        <w:ind w:left="709" w:right="260" w:hanging="425"/>
        <w:jc w:val="both"/>
        <w:rPr>
          <w:rFonts w:cs="Arial"/>
          <w:b/>
        </w:rPr>
      </w:pPr>
      <w:r>
        <w:rPr>
          <w:rFonts w:cs="Arial"/>
          <w:b/>
        </w:rPr>
        <w:t>Závěrečná ustanovení</w:t>
      </w:r>
    </w:p>
    <w:p w14:paraId="2CEA846F" w14:textId="5F531C60" w:rsidR="00E11940" w:rsidRDefault="00E11940" w:rsidP="00E11940">
      <w:pPr>
        <w:pStyle w:val="Odstavecseseznamem"/>
        <w:numPr>
          <w:ilvl w:val="1"/>
          <w:numId w:val="11"/>
        </w:numPr>
        <w:spacing w:after="0" w:line="240" w:lineRule="auto"/>
        <w:ind w:left="709" w:right="260" w:hanging="425"/>
        <w:jc w:val="both"/>
        <w:rPr>
          <w:rFonts w:cs="Arial"/>
        </w:rPr>
      </w:pPr>
      <w:r>
        <w:rPr>
          <w:rFonts w:cs="Arial"/>
        </w:rPr>
        <w:t>Tato smlouva je uzavřena písemně ve dvou (2) vyhotoveních, z nichž poskytovatel a uživatel obdrží každý po jednom (1).</w:t>
      </w:r>
      <w:r w:rsidR="00E22F9A">
        <w:rPr>
          <w:rFonts w:cs="Arial"/>
        </w:rPr>
        <w:t xml:space="preserve"> Toto ustanovení se nepoužije, pokud bude smlouva podepsána elektronicky.</w:t>
      </w:r>
    </w:p>
    <w:p w14:paraId="3BE756C3" w14:textId="77777777"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Nevykonání kteréhokoliv práva dle této smlouvy nelze vykládat jako vzdání se takovéhoto práva.</w:t>
      </w:r>
    </w:p>
    <w:p w14:paraId="34F858C6" w14:textId="77777777"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Práva a povinnosti vyplývající z této smlouvy přecházejí na právní nástupce smluvních stran.</w:t>
      </w:r>
    </w:p>
    <w:p w14:paraId="367266EB" w14:textId="77777777" w:rsidR="00E11940" w:rsidRDefault="00E11940" w:rsidP="00E11940">
      <w:pPr>
        <w:pStyle w:val="Odstavecseseznamem"/>
        <w:numPr>
          <w:ilvl w:val="1"/>
          <w:numId w:val="11"/>
        </w:numPr>
        <w:spacing w:before="80" w:after="0" w:line="240" w:lineRule="auto"/>
        <w:ind w:left="709" w:right="260" w:hanging="425"/>
        <w:jc w:val="both"/>
        <w:rPr>
          <w:rFonts w:cs="Arial"/>
        </w:rPr>
      </w:pPr>
      <w:r>
        <w:rPr>
          <w:rFonts w:cs="Arial"/>
        </w:rPr>
        <w:t>Tuto smlouvu je možné změnit nebo doplnit pouze uzavřením číslovaných písemných dodatků.</w:t>
      </w:r>
    </w:p>
    <w:p w14:paraId="5DE307AE" w14:textId="77777777" w:rsidR="00E11940" w:rsidRDefault="00E11940" w:rsidP="00E11940">
      <w:pPr>
        <w:tabs>
          <w:tab w:val="left" w:pos="6096"/>
        </w:tabs>
        <w:spacing w:before="240" w:after="0" w:line="240" w:lineRule="auto"/>
        <w:ind w:left="284" w:right="260"/>
        <w:jc w:val="both"/>
        <w:rPr>
          <w:rFonts w:cs="Arial"/>
        </w:rPr>
      </w:pPr>
    </w:p>
    <w:p w14:paraId="501F0A9A" w14:textId="6B86B64B" w:rsidR="00E11940" w:rsidRDefault="00E11940" w:rsidP="00AB3CC9">
      <w:pPr>
        <w:tabs>
          <w:tab w:val="left" w:pos="5387"/>
        </w:tabs>
        <w:spacing w:before="240" w:after="0" w:line="240" w:lineRule="auto"/>
        <w:ind w:left="284" w:right="260"/>
        <w:jc w:val="both"/>
        <w:rPr>
          <w:rFonts w:cs="Arial"/>
        </w:rPr>
      </w:pPr>
      <w:r>
        <w:rPr>
          <w:rFonts w:cs="Arial"/>
        </w:rPr>
        <w:t>V Praze dne</w:t>
      </w:r>
      <w:r w:rsidR="00976754">
        <w:rPr>
          <w:rFonts w:cs="Arial"/>
        </w:rPr>
        <w:t xml:space="preserve"> el. podpisu</w:t>
      </w:r>
      <w:r>
        <w:rPr>
          <w:rFonts w:cs="Arial"/>
        </w:rPr>
        <w:tab/>
      </w:r>
      <w:r w:rsidR="00AB3CC9">
        <w:rPr>
          <w:rFonts w:cs="Arial"/>
        </w:rPr>
        <w:t>V Praze dne</w:t>
      </w:r>
      <w:r w:rsidR="00976754">
        <w:rPr>
          <w:rFonts w:cs="Arial"/>
        </w:rPr>
        <w:t xml:space="preserve"> el. podpisu</w:t>
      </w:r>
    </w:p>
    <w:p w14:paraId="1C25513E" w14:textId="77777777" w:rsidR="00AB3CC9" w:rsidRDefault="00AB3CC9" w:rsidP="00AB3CC9">
      <w:pPr>
        <w:tabs>
          <w:tab w:val="left" w:pos="5387"/>
        </w:tabs>
        <w:spacing w:before="240" w:after="0" w:line="240" w:lineRule="auto"/>
        <w:ind w:left="284" w:right="260"/>
        <w:jc w:val="both"/>
        <w:rPr>
          <w:rFonts w:cs="Arial"/>
        </w:rPr>
      </w:pPr>
    </w:p>
    <w:p w14:paraId="51E6A7FC" w14:textId="77777777" w:rsidR="00E11940" w:rsidRDefault="00E11940" w:rsidP="00E11940">
      <w:pPr>
        <w:tabs>
          <w:tab w:val="left" w:pos="5387"/>
        </w:tabs>
        <w:spacing w:after="0" w:line="240" w:lineRule="auto"/>
        <w:ind w:left="284" w:right="118"/>
        <w:jc w:val="both"/>
        <w:rPr>
          <w:rFonts w:cs="Arial"/>
        </w:rPr>
      </w:pPr>
    </w:p>
    <w:p w14:paraId="4A4DC282" w14:textId="77777777" w:rsidR="000768C5" w:rsidRDefault="000768C5" w:rsidP="00E11940">
      <w:pPr>
        <w:tabs>
          <w:tab w:val="left" w:pos="5387"/>
        </w:tabs>
        <w:spacing w:after="0" w:line="240" w:lineRule="auto"/>
        <w:ind w:left="284" w:right="118"/>
        <w:jc w:val="both"/>
        <w:rPr>
          <w:rFonts w:cs="Arial"/>
        </w:rPr>
      </w:pPr>
    </w:p>
    <w:p w14:paraId="4009CCF8" w14:textId="77777777" w:rsidR="000768C5" w:rsidRDefault="000768C5" w:rsidP="00E11940">
      <w:pPr>
        <w:tabs>
          <w:tab w:val="left" w:pos="5387"/>
        </w:tabs>
        <w:spacing w:after="0" w:line="240" w:lineRule="auto"/>
        <w:ind w:left="284" w:right="118"/>
        <w:jc w:val="both"/>
        <w:rPr>
          <w:rFonts w:cs="Arial"/>
        </w:rPr>
      </w:pPr>
    </w:p>
    <w:p w14:paraId="18C759EC" w14:textId="77777777" w:rsidR="00E11940" w:rsidRDefault="00E11940" w:rsidP="00E11940">
      <w:pPr>
        <w:tabs>
          <w:tab w:val="left" w:pos="5387"/>
        </w:tabs>
        <w:spacing w:after="0" w:line="240" w:lineRule="auto"/>
        <w:ind w:left="284" w:right="118"/>
        <w:jc w:val="both"/>
        <w:rPr>
          <w:rFonts w:cs="Arial"/>
        </w:rPr>
      </w:pPr>
      <w:r>
        <w:rPr>
          <w:rFonts w:cs="Arial"/>
        </w:rPr>
        <w:t>_____________________________</w:t>
      </w:r>
      <w:r>
        <w:rPr>
          <w:rFonts w:cs="Arial"/>
        </w:rPr>
        <w:tab/>
        <w:t>_____________________________</w:t>
      </w:r>
    </w:p>
    <w:p w14:paraId="32D17160" w14:textId="3C9C85C3" w:rsidR="00E11940" w:rsidRDefault="00E11940" w:rsidP="00E11940">
      <w:pPr>
        <w:tabs>
          <w:tab w:val="left" w:pos="5387"/>
        </w:tabs>
        <w:spacing w:after="0" w:line="240" w:lineRule="auto"/>
        <w:ind w:right="118"/>
        <w:jc w:val="both"/>
        <w:rPr>
          <w:rFonts w:cs="Arial"/>
          <w:b/>
        </w:rPr>
      </w:pPr>
      <w:r>
        <w:rPr>
          <w:rFonts w:cs="Arial"/>
          <w:b/>
        </w:rPr>
        <w:t xml:space="preserve">     Nakladatelství </w:t>
      </w:r>
      <w:proofErr w:type="spellStart"/>
      <w:r>
        <w:rPr>
          <w:rFonts w:cs="Arial"/>
          <w:b/>
        </w:rPr>
        <w:t>C.H.Beck</w:t>
      </w:r>
      <w:proofErr w:type="spellEnd"/>
      <w:r>
        <w:rPr>
          <w:rFonts w:cs="Arial"/>
          <w:b/>
        </w:rPr>
        <w:t>, s.r.o.</w:t>
      </w:r>
      <w:r>
        <w:rPr>
          <w:rFonts w:cs="Arial"/>
          <w:b/>
        </w:rPr>
        <w:tab/>
      </w:r>
      <w:bookmarkStart w:id="9" w:name="jmeno_firmy2"/>
      <w:bookmarkEnd w:id="9"/>
      <w:r w:rsidR="00E96841">
        <w:rPr>
          <w:rFonts w:cs="Arial"/>
          <w:b/>
        </w:rPr>
        <w:t xml:space="preserve">Vězeňská služba </w:t>
      </w:r>
      <w:r w:rsidR="00AB3CC9" w:rsidRPr="00AB3CC9">
        <w:rPr>
          <w:rFonts w:cs="Arial"/>
          <w:b/>
        </w:rPr>
        <w:t>České republiky</w:t>
      </w:r>
      <w:r w:rsidR="00E96841">
        <w:rPr>
          <w:rFonts w:cs="Arial"/>
          <w:b/>
        </w:rPr>
        <w:t xml:space="preserve"> </w:t>
      </w:r>
    </w:p>
    <w:p w14:paraId="27F74405" w14:textId="0ABF088F" w:rsidR="00E11940" w:rsidRDefault="00E11940" w:rsidP="00E11940">
      <w:pPr>
        <w:tabs>
          <w:tab w:val="left" w:pos="5387"/>
        </w:tabs>
        <w:spacing w:after="0" w:line="240" w:lineRule="auto"/>
        <w:ind w:right="118"/>
        <w:jc w:val="both"/>
        <w:rPr>
          <w:rFonts w:cs="Arial"/>
        </w:rPr>
      </w:pPr>
      <w:r>
        <w:rPr>
          <w:rFonts w:cs="Arial"/>
        </w:rPr>
        <w:t xml:space="preserve">     </w:t>
      </w:r>
      <w:r w:rsidR="00364F76" w:rsidRPr="00364F76">
        <w:rPr>
          <w:rFonts w:cs="Arial"/>
          <w:highlight w:val="black"/>
        </w:rPr>
        <w:t>XXXXXXXXXXXXXXXXXX</w:t>
      </w:r>
      <w:r>
        <w:rPr>
          <w:rFonts w:cs="Arial"/>
        </w:rPr>
        <w:tab/>
      </w:r>
      <w:r w:rsidR="002B5624">
        <w:t>Mgr. Jindřich Říha</w:t>
      </w:r>
    </w:p>
    <w:p w14:paraId="53F94CFB" w14:textId="77777777" w:rsidR="003224DD" w:rsidRDefault="00E11940" w:rsidP="003224DD">
      <w:pPr>
        <w:spacing w:after="0" w:line="240" w:lineRule="auto"/>
        <w:ind w:left="284"/>
        <w:rPr>
          <w:rFonts w:cs="Arial"/>
          <w:b/>
        </w:rPr>
      </w:pPr>
      <w:r>
        <w:rPr>
          <w:rFonts w:cs="Arial"/>
          <w:b/>
        </w:rPr>
        <w:br w:type="page"/>
      </w:r>
      <w:r w:rsidR="003224DD">
        <w:rPr>
          <w:rFonts w:cs="Arial"/>
          <w:b/>
        </w:rPr>
        <w:lastRenderedPageBreak/>
        <w:t>PŘÍLOHA: Rozsah licence v průběhu pilotního provozu</w:t>
      </w:r>
      <w:r w:rsidR="003224DD">
        <w:rPr>
          <w:rFonts w:cs="Arial"/>
          <w:b/>
        </w:rPr>
        <w:tab/>
      </w:r>
    </w:p>
    <w:p w14:paraId="1E0B18DF" w14:textId="77777777" w:rsidR="003224DD" w:rsidRDefault="003224DD" w:rsidP="003224DD">
      <w:pPr>
        <w:pStyle w:val="Odstavecseseznamem"/>
        <w:tabs>
          <w:tab w:val="left" w:pos="6360"/>
        </w:tabs>
        <w:spacing w:after="0" w:line="240" w:lineRule="auto"/>
        <w:ind w:left="567" w:right="260"/>
        <w:jc w:val="both"/>
        <w:rPr>
          <w:rFonts w:cs="Arial"/>
        </w:rPr>
      </w:pPr>
      <w:r>
        <w:rPr>
          <w:rFonts w:cs="Arial"/>
        </w:rPr>
        <w:tab/>
      </w:r>
    </w:p>
    <w:p w14:paraId="2AC5D4C4" w14:textId="77777777" w:rsidR="003224DD" w:rsidRDefault="003224DD" w:rsidP="003224DD">
      <w:pPr>
        <w:pStyle w:val="Odstavecseseznamem"/>
        <w:numPr>
          <w:ilvl w:val="0"/>
          <w:numId w:val="12"/>
        </w:numPr>
        <w:spacing w:after="0" w:line="240" w:lineRule="auto"/>
        <w:ind w:left="709" w:right="-24" w:hanging="425"/>
        <w:jc w:val="both"/>
        <w:rPr>
          <w:rFonts w:cs="Arial"/>
          <w:b/>
        </w:rPr>
      </w:pPr>
      <w:r>
        <w:rPr>
          <w:rFonts w:cs="Arial"/>
          <w:b/>
        </w:rPr>
        <w:t>Specifikace obsahu a počtu licencí</w:t>
      </w:r>
    </w:p>
    <w:p w14:paraId="02802E10" w14:textId="37EFBA4F" w:rsidR="003224DD" w:rsidRDefault="003224DD" w:rsidP="003224DD">
      <w:pPr>
        <w:spacing w:after="0" w:line="240" w:lineRule="auto"/>
        <w:ind w:left="709" w:right="260"/>
        <w:jc w:val="both"/>
        <w:rPr>
          <w:rFonts w:cs="Arial"/>
        </w:rPr>
      </w:pPr>
      <w:r>
        <w:rPr>
          <w:rFonts w:cs="Arial"/>
        </w:rPr>
        <w:t>Prostřednictvím uživatelského účtu bude uživatel oprávněn přistupovat a užívat následující databáze (moduly) Beck-onlin</w:t>
      </w:r>
      <w:r w:rsidR="00E22F9A">
        <w:rPr>
          <w:rFonts w:cs="Arial"/>
        </w:rPr>
        <w:t>e</w:t>
      </w:r>
      <w:r>
        <w:rPr>
          <w:rFonts w:cs="Arial"/>
        </w:rPr>
        <w:t>:</w:t>
      </w:r>
    </w:p>
    <w:p w14:paraId="0A73BA89" w14:textId="77777777" w:rsidR="003224DD" w:rsidRDefault="003224DD" w:rsidP="003224DD">
      <w:pPr>
        <w:spacing w:after="0" w:line="240" w:lineRule="auto"/>
        <w:ind w:left="567" w:right="260" w:hanging="426"/>
        <w:contextualSpacing/>
        <w:jc w:val="both"/>
        <w:rPr>
          <w:rFonts w:cs="Arial"/>
          <w:b/>
        </w:rPr>
      </w:pPr>
    </w:p>
    <w:p w14:paraId="14C7DF62" w14:textId="77777777" w:rsidR="003224DD" w:rsidRDefault="003224DD" w:rsidP="003224DD">
      <w:pPr>
        <w:rPr>
          <w:color w:val="76923C"/>
        </w:rPr>
      </w:pPr>
    </w:p>
    <w:tbl>
      <w:tblPr>
        <w:tblW w:w="4820" w:type="dxa"/>
        <w:tblInd w:w="567" w:type="dxa"/>
        <w:tblBorders>
          <w:bottom w:val="single" w:sz="4" w:space="0" w:color="auto"/>
        </w:tblBorders>
        <w:tblLook w:val="04A0" w:firstRow="1" w:lastRow="0" w:firstColumn="1" w:lastColumn="0" w:noHBand="0" w:noVBand="1"/>
      </w:tblPr>
      <w:tblGrid>
        <w:gridCol w:w="4820"/>
      </w:tblGrid>
      <w:tr w:rsidR="00E22F9A" w:rsidRPr="00F53E0F" w14:paraId="4426D21E" w14:textId="77777777" w:rsidTr="00E22F9A">
        <w:trPr>
          <w:trHeight w:val="254"/>
        </w:trPr>
        <w:tc>
          <w:tcPr>
            <w:tcW w:w="4820" w:type="dxa"/>
            <w:tcBorders>
              <w:bottom w:val="single" w:sz="4" w:space="0" w:color="auto"/>
            </w:tcBorders>
            <w:hideMark/>
          </w:tcPr>
          <w:p w14:paraId="52D17341" w14:textId="275A1C76" w:rsidR="00E22F9A" w:rsidRPr="00F53E0F" w:rsidRDefault="00E22F9A">
            <w:pPr>
              <w:spacing w:after="0" w:line="240" w:lineRule="auto"/>
              <w:ind w:left="33"/>
              <w:rPr>
                <w:b/>
                <w:bCs/>
              </w:rPr>
            </w:pPr>
            <w:bookmarkStart w:id="10" w:name="sl1"/>
            <w:bookmarkStart w:id="11" w:name="sl3" w:colFirst="1" w:colLast="1"/>
            <w:bookmarkEnd w:id="10"/>
            <w:r w:rsidRPr="00F53E0F">
              <w:rPr>
                <w:b/>
                <w:bCs/>
              </w:rPr>
              <w:t>Modul</w:t>
            </w:r>
          </w:p>
        </w:tc>
        <w:bookmarkStart w:id="12" w:name="sl2"/>
        <w:bookmarkEnd w:id="12"/>
      </w:tr>
      <w:tr w:rsidR="00E22F9A" w:rsidRPr="000768C5" w14:paraId="53B552AE" w14:textId="77777777" w:rsidTr="00E22F9A">
        <w:trPr>
          <w:trHeight w:val="254"/>
        </w:trPr>
        <w:tc>
          <w:tcPr>
            <w:tcW w:w="4820" w:type="dxa"/>
            <w:tcBorders>
              <w:top w:val="single" w:sz="4" w:space="0" w:color="auto"/>
              <w:bottom w:val="nil"/>
            </w:tcBorders>
          </w:tcPr>
          <w:p w14:paraId="34497D3F" w14:textId="77777777" w:rsidR="00E22F9A" w:rsidRPr="000768C5" w:rsidRDefault="00E22F9A">
            <w:pPr>
              <w:spacing w:after="0" w:line="240" w:lineRule="auto"/>
              <w:ind w:left="33"/>
            </w:pPr>
            <w:r w:rsidRPr="000768C5">
              <w:t>Beck-online PRO</w:t>
            </w:r>
          </w:p>
        </w:tc>
      </w:tr>
      <w:tr w:rsidR="00E22F9A" w:rsidRPr="000768C5" w14:paraId="502384DD" w14:textId="77777777" w:rsidTr="00E22F9A">
        <w:trPr>
          <w:trHeight w:val="254"/>
        </w:trPr>
        <w:tc>
          <w:tcPr>
            <w:tcW w:w="4820" w:type="dxa"/>
            <w:tcBorders>
              <w:bottom w:val="nil"/>
            </w:tcBorders>
          </w:tcPr>
          <w:p w14:paraId="6E31C536" w14:textId="77777777" w:rsidR="00E22F9A" w:rsidRPr="000768C5" w:rsidRDefault="00E22F9A">
            <w:pPr>
              <w:spacing w:after="0" w:line="240" w:lineRule="auto"/>
              <w:ind w:left="33"/>
            </w:pPr>
            <w:r w:rsidRPr="000768C5">
              <w:t>Daňové právo</w:t>
            </w:r>
          </w:p>
        </w:tc>
      </w:tr>
      <w:tr w:rsidR="00E22F9A" w:rsidRPr="000768C5" w14:paraId="08A0441F" w14:textId="77777777" w:rsidTr="00E22F9A">
        <w:trPr>
          <w:trHeight w:val="254"/>
        </w:trPr>
        <w:tc>
          <w:tcPr>
            <w:tcW w:w="4820" w:type="dxa"/>
            <w:tcBorders>
              <w:bottom w:val="nil"/>
            </w:tcBorders>
          </w:tcPr>
          <w:p w14:paraId="7DACE959" w14:textId="77777777" w:rsidR="00E22F9A" w:rsidRPr="000768C5" w:rsidRDefault="00E22F9A">
            <w:pPr>
              <w:spacing w:after="0" w:line="240" w:lineRule="auto"/>
              <w:ind w:left="33"/>
            </w:pPr>
            <w:r w:rsidRPr="000768C5">
              <w:t>Duševní vlastnictví</w:t>
            </w:r>
          </w:p>
        </w:tc>
      </w:tr>
      <w:tr w:rsidR="00E22F9A" w:rsidRPr="000768C5" w14:paraId="4C651D2F" w14:textId="77777777" w:rsidTr="00E22F9A">
        <w:trPr>
          <w:trHeight w:val="254"/>
        </w:trPr>
        <w:tc>
          <w:tcPr>
            <w:tcW w:w="4820" w:type="dxa"/>
            <w:tcBorders>
              <w:bottom w:val="nil"/>
            </w:tcBorders>
          </w:tcPr>
          <w:p w14:paraId="076220AC" w14:textId="77777777" w:rsidR="00E22F9A" w:rsidRPr="000768C5" w:rsidRDefault="00E22F9A">
            <w:pPr>
              <w:spacing w:after="0" w:line="240" w:lineRule="auto"/>
              <w:ind w:left="33"/>
            </w:pPr>
            <w:r w:rsidRPr="000768C5">
              <w:t>Finanční právo</w:t>
            </w:r>
          </w:p>
        </w:tc>
      </w:tr>
      <w:tr w:rsidR="00E22F9A" w:rsidRPr="000768C5" w14:paraId="14341118" w14:textId="77777777" w:rsidTr="00E22F9A">
        <w:trPr>
          <w:trHeight w:val="254"/>
        </w:trPr>
        <w:tc>
          <w:tcPr>
            <w:tcW w:w="4820" w:type="dxa"/>
            <w:tcBorders>
              <w:bottom w:val="nil"/>
            </w:tcBorders>
          </w:tcPr>
          <w:p w14:paraId="5E1D793A" w14:textId="77777777" w:rsidR="00E22F9A" w:rsidRPr="000768C5" w:rsidRDefault="00E22F9A">
            <w:pPr>
              <w:spacing w:after="0" w:line="240" w:lineRule="auto"/>
              <w:ind w:left="33"/>
            </w:pPr>
            <w:r w:rsidRPr="000768C5">
              <w:t>Justiční a procesní právo PLUS</w:t>
            </w:r>
          </w:p>
        </w:tc>
      </w:tr>
      <w:tr w:rsidR="00E22F9A" w:rsidRPr="000768C5" w14:paraId="6EB00582" w14:textId="77777777" w:rsidTr="00E22F9A">
        <w:trPr>
          <w:trHeight w:val="254"/>
        </w:trPr>
        <w:tc>
          <w:tcPr>
            <w:tcW w:w="4820" w:type="dxa"/>
            <w:tcBorders>
              <w:bottom w:val="nil"/>
            </w:tcBorders>
          </w:tcPr>
          <w:p w14:paraId="2C807FCA" w14:textId="77777777" w:rsidR="00E22F9A" w:rsidRPr="000768C5" w:rsidRDefault="00E22F9A">
            <w:pPr>
              <w:spacing w:after="0" w:line="240" w:lineRule="auto"/>
              <w:ind w:left="33"/>
            </w:pPr>
            <w:r w:rsidRPr="000768C5">
              <w:t>Občanské právo PLUS</w:t>
            </w:r>
          </w:p>
        </w:tc>
      </w:tr>
      <w:tr w:rsidR="00E22F9A" w:rsidRPr="000768C5" w14:paraId="5E6FE022" w14:textId="77777777" w:rsidTr="00E22F9A">
        <w:trPr>
          <w:trHeight w:val="254"/>
        </w:trPr>
        <w:tc>
          <w:tcPr>
            <w:tcW w:w="4820" w:type="dxa"/>
            <w:tcBorders>
              <w:bottom w:val="nil"/>
            </w:tcBorders>
          </w:tcPr>
          <w:p w14:paraId="71D03B6B" w14:textId="77777777" w:rsidR="00E22F9A" w:rsidRPr="000768C5" w:rsidRDefault="00E22F9A">
            <w:pPr>
              <w:spacing w:after="0" w:line="240" w:lineRule="auto"/>
              <w:ind w:left="33"/>
            </w:pPr>
            <w:r w:rsidRPr="000768C5">
              <w:t>Obchodní korporace PLUS</w:t>
            </w:r>
          </w:p>
        </w:tc>
      </w:tr>
      <w:tr w:rsidR="00E22F9A" w:rsidRPr="000768C5" w14:paraId="64B67B48" w14:textId="77777777" w:rsidTr="00E22F9A">
        <w:trPr>
          <w:trHeight w:val="254"/>
        </w:trPr>
        <w:tc>
          <w:tcPr>
            <w:tcW w:w="4820" w:type="dxa"/>
            <w:tcBorders>
              <w:bottom w:val="nil"/>
            </w:tcBorders>
          </w:tcPr>
          <w:p w14:paraId="04F66B98" w14:textId="77777777" w:rsidR="00E22F9A" w:rsidRPr="000768C5" w:rsidRDefault="00E22F9A">
            <w:pPr>
              <w:spacing w:after="0" w:line="240" w:lineRule="auto"/>
              <w:ind w:left="33"/>
            </w:pPr>
            <w:r w:rsidRPr="000768C5">
              <w:t>Pracovní a sociální právo PLUS</w:t>
            </w:r>
          </w:p>
        </w:tc>
      </w:tr>
      <w:tr w:rsidR="00E22F9A" w:rsidRPr="000768C5" w14:paraId="077AA1A8" w14:textId="77777777" w:rsidTr="00E22F9A">
        <w:trPr>
          <w:trHeight w:val="254"/>
        </w:trPr>
        <w:tc>
          <w:tcPr>
            <w:tcW w:w="4820" w:type="dxa"/>
            <w:tcBorders>
              <w:bottom w:val="nil"/>
            </w:tcBorders>
          </w:tcPr>
          <w:p w14:paraId="47A4534B" w14:textId="77777777" w:rsidR="00E22F9A" w:rsidRPr="000768C5" w:rsidRDefault="00E22F9A" w:rsidP="00E22F9A">
            <w:pPr>
              <w:spacing w:after="0" w:line="240" w:lineRule="auto"/>
              <w:ind w:left="33"/>
            </w:pPr>
            <w:r w:rsidRPr="000768C5">
              <w:t>Soutěžní právo</w:t>
            </w:r>
          </w:p>
        </w:tc>
      </w:tr>
      <w:tr w:rsidR="00E22F9A" w:rsidRPr="000768C5" w14:paraId="275B1AB5" w14:textId="77777777" w:rsidTr="00E22F9A">
        <w:trPr>
          <w:trHeight w:val="254"/>
        </w:trPr>
        <w:tc>
          <w:tcPr>
            <w:tcW w:w="4820" w:type="dxa"/>
            <w:tcBorders>
              <w:bottom w:val="nil"/>
            </w:tcBorders>
          </w:tcPr>
          <w:p w14:paraId="06985365" w14:textId="77777777" w:rsidR="00E22F9A" w:rsidRPr="000768C5" w:rsidRDefault="00E22F9A" w:rsidP="00E22F9A">
            <w:pPr>
              <w:spacing w:after="0" w:line="240" w:lineRule="auto"/>
              <w:ind w:left="33"/>
            </w:pPr>
            <w:r w:rsidRPr="000768C5">
              <w:t>Správní a ústavní právo</w:t>
            </w:r>
          </w:p>
        </w:tc>
      </w:tr>
      <w:tr w:rsidR="00E22F9A" w:rsidRPr="000768C5" w14:paraId="3F84B5FD" w14:textId="77777777" w:rsidTr="00E22F9A">
        <w:trPr>
          <w:trHeight w:val="254"/>
        </w:trPr>
        <w:tc>
          <w:tcPr>
            <w:tcW w:w="4820" w:type="dxa"/>
            <w:tcBorders>
              <w:bottom w:val="nil"/>
            </w:tcBorders>
          </w:tcPr>
          <w:p w14:paraId="6D1C53C3" w14:textId="77777777" w:rsidR="00E22F9A" w:rsidRPr="000768C5" w:rsidRDefault="00E22F9A" w:rsidP="00E22F9A">
            <w:pPr>
              <w:spacing w:after="0" w:line="240" w:lineRule="auto"/>
              <w:ind w:left="33"/>
            </w:pPr>
            <w:r w:rsidRPr="000768C5">
              <w:t xml:space="preserve">Správní </w:t>
            </w:r>
            <w:proofErr w:type="gramStart"/>
            <w:r w:rsidRPr="000768C5">
              <w:t>právo - obce</w:t>
            </w:r>
            <w:proofErr w:type="gramEnd"/>
            <w:r w:rsidRPr="000768C5">
              <w:t xml:space="preserve"> a kraje</w:t>
            </w:r>
          </w:p>
        </w:tc>
      </w:tr>
      <w:tr w:rsidR="00E22F9A" w:rsidRPr="000768C5" w14:paraId="783E7E5D" w14:textId="77777777" w:rsidTr="00E22F9A">
        <w:trPr>
          <w:trHeight w:val="254"/>
        </w:trPr>
        <w:tc>
          <w:tcPr>
            <w:tcW w:w="4820" w:type="dxa"/>
            <w:tcBorders>
              <w:bottom w:val="nil"/>
            </w:tcBorders>
          </w:tcPr>
          <w:p w14:paraId="6146752A" w14:textId="77777777" w:rsidR="00E22F9A" w:rsidRPr="000768C5" w:rsidRDefault="00E22F9A" w:rsidP="00E22F9A">
            <w:pPr>
              <w:spacing w:after="0" w:line="240" w:lineRule="auto"/>
              <w:ind w:left="33"/>
            </w:pPr>
            <w:r w:rsidRPr="000768C5">
              <w:t xml:space="preserve">Správní </w:t>
            </w:r>
            <w:proofErr w:type="gramStart"/>
            <w:r w:rsidRPr="000768C5">
              <w:t>právo - stavební</w:t>
            </w:r>
            <w:proofErr w:type="gramEnd"/>
            <w:r w:rsidRPr="000768C5">
              <w:t xml:space="preserve"> právo</w:t>
            </w:r>
          </w:p>
        </w:tc>
      </w:tr>
      <w:tr w:rsidR="00E22F9A" w:rsidRPr="000768C5" w14:paraId="5C8B7E37" w14:textId="77777777" w:rsidTr="00E22F9A">
        <w:trPr>
          <w:trHeight w:val="254"/>
        </w:trPr>
        <w:tc>
          <w:tcPr>
            <w:tcW w:w="4820" w:type="dxa"/>
            <w:tcBorders>
              <w:bottom w:val="nil"/>
            </w:tcBorders>
          </w:tcPr>
          <w:p w14:paraId="1082A92E" w14:textId="77777777" w:rsidR="00E22F9A" w:rsidRPr="000768C5" w:rsidRDefault="00E22F9A" w:rsidP="00E22F9A">
            <w:pPr>
              <w:spacing w:after="0" w:line="240" w:lineRule="auto"/>
              <w:ind w:left="33"/>
            </w:pPr>
            <w:r w:rsidRPr="000768C5">
              <w:t xml:space="preserve">Správní </w:t>
            </w:r>
            <w:proofErr w:type="gramStart"/>
            <w:r w:rsidRPr="000768C5">
              <w:t>právo - zvláštní</w:t>
            </w:r>
            <w:proofErr w:type="gramEnd"/>
            <w:r w:rsidRPr="000768C5">
              <w:t xml:space="preserve"> předpisy</w:t>
            </w:r>
          </w:p>
        </w:tc>
      </w:tr>
      <w:tr w:rsidR="00E22F9A" w:rsidRPr="000768C5" w14:paraId="13385F29" w14:textId="77777777" w:rsidTr="00E22F9A">
        <w:trPr>
          <w:trHeight w:val="254"/>
        </w:trPr>
        <w:tc>
          <w:tcPr>
            <w:tcW w:w="4820" w:type="dxa"/>
            <w:tcBorders>
              <w:bottom w:val="nil"/>
            </w:tcBorders>
          </w:tcPr>
          <w:p w14:paraId="6E75DF04" w14:textId="77777777" w:rsidR="00E22F9A" w:rsidRPr="000768C5" w:rsidRDefault="00E22F9A" w:rsidP="00E22F9A">
            <w:pPr>
              <w:spacing w:after="0" w:line="240" w:lineRule="auto"/>
              <w:ind w:left="33"/>
            </w:pPr>
            <w:r w:rsidRPr="000768C5">
              <w:t>Trestní právo PLUS</w:t>
            </w:r>
          </w:p>
        </w:tc>
      </w:tr>
      <w:bookmarkEnd w:id="11"/>
    </w:tbl>
    <w:p w14:paraId="2057B0D4" w14:textId="77777777" w:rsidR="003224DD" w:rsidRDefault="003224DD" w:rsidP="003224DD">
      <w:pPr>
        <w:rPr>
          <w:color w:val="E36C0A"/>
        </w:rPr>
      </w:pPr>
    </w:p>
    <w:p w14:paraId="5F276604" w14:textId="77777777" w:rsidR="003224DD" w:rsidRDefault="003224DD" w:rsidP="003224DD">
      <w:pPr>
        <w:ind w:left="709" w:right="260"/>
        <w:jc w:val="both"/>
        <w:rPr>
          <w:rFonts w:cs="Arial"/>
        </w:rPr>
      </w:pPr>
    </w:p>
    <w:p w14:paraId="05819FB8" w14:textId="77777777" w:rsidR="003224DD" w:rsidRDefault="003224DD" w:rsidP="003224DD">
      <w:pPr>
        <w:ind w:left="709" w:right="260"/>
        <w:jc w:val="both"/>
        <w:rPr>
          <w:rFonts w:cs="Arial"/>
        </w:rPr>
      </w:pPr>
      <w:r>
        <w:rPr>
          <w:rFonts w:cs="Arial"/>
        </w:rPr>
        <w:t>Užívající osoby jsou součástí společnosti uživatele viz bod 3.2. VOP.</w:t>
      </w:r>
    </w:p>
    <w:p w14:paraId="58D8F769" w14:textId="77777777" w:rsidR="003224DD" w:rsidRDefault="003224DD" w:rsidP="003224DD">
      <w:pPr>
        <w:ind w:left="567" w:right="260"/>
        <w:jc w:val="both"/>
        <w:rPr>
          <w:rFonts w:cs="Arial"/>
        </w:rPr>
      </w:pPr>
    </w:p>
    <w:p w14:paraId="16985F5F" w14:textId="77777777" w:rsidR="003224DD" w:rsidRDefault="003224DD" w:rsidP="003224DD">
      <w:pPr>
        <w:pStyle w:val="Odstavecseseznamem"/>
        <w:numPr>
          <w:ilvl w:val="0"/>
          <w:numId w:val="12"/>
        </w:numPr>
        <w:spacing w:before="100" w:beforeAutospacing="1" w:after="100" w:afterAutospacing="1" w:line="240" w:lineRule="auto"/>
        <w:ind w:left="709" w:right="-24" w:hanging="425"/>
        <w:jc w:val="both"/>
        <w:rPr>
          <w:rFonts w:cs="Arial"/>
          <w:b/>
        </w:rPr>
      </w:pPr>
      <w:r>
        <w:rPr>
          <w:rFonts w:cs="Arial"/>
          <w:b/>
        </w:rPr>
        <w:t>Předplatné období a odměna</w:t>
      </w:r>
    </w:p>
    <w:p w14:paraId="6E8F8C63" w14:textId="233C29A9" w:rsidR="003224DD" w:rsidRDefault="003224DD" w:rsidP="003224DD">
      <w:pPr>
        <w:pStyle w:val="Odstavecseseznamem"/>
        <w:spacing w:before="120" w:after="0" w:line="240" w:lineRule="auto"/>
        <w:ind w:left="709" w:right="260"/>
        <w:jc w:val="both"/>
        <w:rPr>
          <w:rFonts w:cs="Arial"/>
        </w:rPr>
      </w:pPr>
      <w:r>
        <w:rPr>
          <w:rFonts w:cs="Arial"/>
        </w:rPr>
        <w:t xml:space="preserve">Odměna je sjednána pro období dvanácti po sobě jdoucích kalendářních měsíců (dále jen </w:t>
      </w:r>
      <w:r>
        <w:rPr>
          <w:rFonts w:cs="Arial"/>
          <w:b/>
        </w:rPr>
        <w:t>„období“</w:t>
      </w:r>
      <w:r>
        <w:rPr>
          <w:rFonts w:cs="Arial"/>
        </w:rPr>
        <w:t xml:space="preserve">). </w:t>
      </w:r>
      <w:r w:rsidR="00E22F9A">
        <w:rPr>
          <w:rFonts w:cs="Arial"/>
        </w:rPr>
        <w:t>Období</w:t>
      </w:r>
      <w:r>
        <w:rPr>
          <w:rFonts w:cs="Arial"/>
        </w:rPr>
        <w:t xml:space="preserve"> se sjednává od</w:t>
      </w:r>
      <w:r>
        <w:rPr>
          <w:rFonts w:cs="Arial"/>
          <w:b/>
        </w:rPr>
        <w:t xml:space="preserve"> </w:t>
      </w:r>
      <w:bookmarkStart w:id="13" w:name="datum_od"/>
      <w:bookmarkEnd w:id="13"/>
      <w:r w:rsidR="00E96841">
        <w:rPr>
          <w:rFonts w:cs="Arial"/>
          <w:b/>
        </w:rPr>
        <w:t xml:space="preserve">1. </w:t>
      </w:r>
      <w:r w:rsidR="00E22F9A">
        <w:rPr>
          <w:rFonts w:cs="Arial"/>
          <w:b/>
        </w:rPr>
        <w:t>3</w:t>
      </w:r>
      <w:r w:rsidR="00E96841">
        <w:rPr>
          <w:rFonts w:cs="Arial"/>
          <w:b/>
        </w:rPr>
        <w:t>. 202</w:t>
      </w:r>
      <w:r w:rsidR="00E15C0C">
        <w:rPr>
          <w:rFonts w:cs="Arial"/>
          <w:b/>
        </w:rPr>
        <w:t>6</w:t>
      </w:r>
      <w:r w:rsidR="000768C5">
        <w:rPr>
          <w:rFonts w:cs="Arial"/>
          <w:b/>
        </w:rPr>
        <w:t xml:space="preserve"> </w:t>
      </w:r>
      <w:r>
        <w:rPr>
          <w:rFonts w:cs="Arial"/>
        </w:rPr>
        <w:t xml:space="preserve">do </w:t>
      </w:r>
      <w:bookmarkStart w:id="14" w:name="datum_do"/>
      <w:bookmarkEnd w:id="14"/>
      <w:r w:rsidR="00E22F9A">
        <w:rPr>
          <w:rFonts w:cs="Arial"/>
          <w:b/>
        </w:rPr>
        <w:t>28</w:t>
      </w:r>
      <w:r w:rsidR="00E96841">
        <w:rPr>
          <w:rFonts w:cs="Arial"/>
          <w:b/>
        </w:rPr>
        <w:t>.</w:t>
      </w:r>
      <w:r w:rsidR="00E22F9A">
        <w:rPr>
          <w:rFonts w:cs="Arial"/>
          <w:b/>
        </w:rPr>
        <w:t xml:space="preserve"> 2.</w:t>
      </w:r>
      <w:r w:rsidR="00E96841">
        <w:rPr>
          <w:rFonts w:cs="Arial"/>
          <w:b/>
        </w:rPr>
        <w:t xml:space="preserve"> 202</w:t>
      </w:r>
      <w:r w:rsidR="00AB3CC9">
        <w:rPr>
          <w:rFonts w:cs="Arial"/>
          <w:b/>
        </w:rPr>
        <w:t>7</w:t>
      </w:r>
      <w:r>
        <w:rPr>
          <w:rFonts w:cs="Arial"/>
          <w:b/>
        </w:rPr>
        <w:t>.</w:t>
      </w:r>
    </w:p>
    <w:p w14:paraId="140999BE" w14:textId="27F6BB8A" w:rsidR="003224DD" w:rsidRDefault="003224DD" w:rsidP="003224DD">
      <w:pPr>
        <w:pStyle w:val="Odstavecseseznamem"/>
        <w:spacing w:before="120" w:after="0" w:line="240" w:lineRule="auto"/>
        <w:ind w:left="709" w:right="260"/>
        <w:jc w:val="both"/>
        <w:rPr>
          <w:rFonts w:cs="Arial"/>
        </w:rPr>
      </w:pPr>
      <w:r>
        <w:rPr>
          <w:rFonts w:cs="Arial"/>
        </w:rPr>
        <w:t xml:space="preserve">Odměna v průběhu </w:t>
      </w:r>
      <w:r w:rsidR="00E22F9A">
        <w:rPr>
          <w:rFonts w:cs="Arial"/>
        </w:rPr>
        <w:t>období</w:t>
      </w:r>
      <w:r>
        <w:rPr>
          <w:rFonts w:cs="Arial"/>
        </w:rPr>
        <w:t xml:space="preserve"> činí</w:t>
      </w:r>
      <w:r>
        <w:rPr>
          <w:rFonts w:cs="Arial"/>
          <w:b/>
        </w:rPr>
        <w:t xml:space="preserve"> </w:t>
      </w:r>
      <w:bookmarkStart w:id="15" w:name="cena"/>
      <w:bookmarkEnd w:id="15"/>
      <w:r w:rsidR="00E96841">
        <w:rPr>
          <w:rFonts w:cs="Arial"/>
          <w:b/>
        </w:rPr>
        <w:t>170</w:t>
      </w:r>
      <w:r w:rsidR="000768C5">
        <w:rPr>
          <w:rFonts w:cs="Arial"/>
          <w:b/>
        </w:rPr>
        <w:t> </w:t>
      </w:r>
      <w:r w:rsidR="00E96841">
        <w:rPr>
          <w:rFonts w:cs="Arial"/>
          <w:b/>
        </w:rPr>
        <w:t>000</w:t>
      </w:r>
      <w:r w:rsidR="000768C5">
        <w:rPr>
          <w:rFonts w:cs="Arial"/>
          <w:b/>
        </w:rPr>
        <w:t xml:space="preserve"> </w:t>
      </w:r>
      <w:r>
        <w:rPr>
          <w:rFonts w:cs="Arial"/>
          <w:b/>
        </w:rPr>
        <w:t>Kč bez DPH</w:t>
      </w:r>
      <w:r>
        <w:rPr>
          <w:rFonts w:cs="Arial"/>
        </w:rPr>
        <w:t xml:space="preserve"> (dále jen </w:t>
      </w:r>
      <w:r>
        <w:rPr>
          <w:rFonts w:cs="Arial"/>
          <w:b/>
        </w:rPr>
        <w:t>„odměna“</w:t>
      </w:r>
      <w:r>
        <w:rPr>
          <w:rFonts w:cs="Arial"/>
        </w:rPr>
        <w:t xml:space="preserve">). Uživatel se zavazuje zároveň s odměnou uhradit DPH v zákonné výši. </w:t>
      </w:r>
      <w:r w:rsidR="00E22F9A">
        <w:rPr>
          <w:rFonts w:cs="Arial"/>
        </w:rPr>
        <w:t xml:space="preserve">Odměna vychází z aktivity uživatelů </w:t>
      </w:r>
      <w:r w:rsidR="00B41C28">
        <w:rPr>
          <w:rFonts w:cs="Arial"/>
        </w:rPr>
        <w:t>v průběhu pilotního provozu.</w:t>
      </w:r>
    </w:p>
    <w:p w14:paraId="4F5BD787" w14:textId="77777777" w:rsidR="003224DD" w:rsidRDefault="003224DD" w:rsidP="003224DD">
      <w:pPr>
        <w:ind w:left="567" w:right="260"/>
        <w:jc w:val="both"/>
        <w:rPr>
          <w:rFonts w:cs="Arial"/>
        </w:rPr>
      </w:pPr>
    </w:p>
    <w:p w14:paraId="11683727" w14:textId="77777777" w:rsidR="004079FF" w:rsidRPr="00EF3CDF" w:rsidRDefault="004079FF" w:rsidP="003224DD">
      <w:pPr>
        <w:spacing w:after="0" w:line="240" w:lineRule="auto"/>
        <w:ind w:left="284"/>
        <w:rPr>
          <w:rFonts w:cs="Arial"/>
        </w:rPr>
      </w:pPr>
    </w:p>
    <w:sectPr w:rsidR="004079FF" w:rsidRPr="00EF3CDF" w:rsidSect="00AE0052">
      <w:headerReference w:type="default" r:id="rId10"/>
      <w:footerReference w:type="default" r:id="rId11"/>
      <w:headerReference w:type="first" r:id="rId12"/>
      <w:type w:val="continuous"/>
      <w:pgSz w:w="11906" w:h="16838"/>
      <w:pgMar w:top="1418" w:right="720" w:bottom="426" w:left="720" w:header="708" w:footer="5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EFF5C" w14:textId="77777777" w:rsidR="00B15077" w:rsidRDefault="00B15077" w:rsidP="00547186">
      <w:pPr>
        <w:spacing w:after="0" w:line="240" w:lineRule="auto"/>
      </w:pPr>
      <w:r>
        <w:separator/>
      </w:r>
    </w:p>
  </w:endnote>
  <w:endnote w:type="continuationSeparator" w:id="0">
    <w:p w14:paraId="38E1D904" w14:textId="77777777" w:rsidR="00B15077" w:rsidRDefault="00B15077" w:rsidP="00547186">
      <w:pPr>
        <w:spacing w:after="0" w:line="240" w:lineRule="auto"/>
      </w:pPr>
      <w:r>
        <w:continuationSeparator/>
      </w:r>
    </w:p>
  </w:endnote>
  <w:endnote w:type="continuationNotice" w:id="1">
    <w:p w14:paraId="386A9B63" w14:textId="77777777" w:rsidR="00B15077" w:rsidRDefault="00B150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E501A" w14:textId="77777777" w:rsidR="00690122" w:rsidRDefault="00690122" w:rsidP="00CA2C61">
    <w:pPr>
      <w:pStyle w:val="Zpat"/>
      <w:tabs>
        <w:tab w:val="clear" w:pos="9072"/>
        <w:tab w:val="right" w:pos="10065"/>
      </w:tabs>
      <w:ind w:left="426" w:right="401"/>
      <w:rPr>
        <w:rFonts w:ascii="Arial" w:hAnsi="Arial" w:cs="Arial"/>
        <w:sz w:val="18"/>
        <w:szCs w:val="18"/>
      </w:rPr>
    </w:pPr>
  </w:p>
  <w:p w14:paraId="61C3D188" w14:textId="77777777" w:rsidR="007433D6" w:rsidRPr="008B63D9" w:rsidRDefault="008B63D9" w:rsidP="008B63D9">
    <w:pPr>
      <w:pStyle w:val="Zpat"/>
      <w:tabs>
        <w:tab w:val="clear" w:pos="4536"/>
        <w:tab w:val="clear" w:pos="9072"/>
      </w:tabs>
      <w:ind w:left="284" w:right="401"/>
      <w:jc w:val="center"/>
      <w:rPr>
        <w:rFonts w:ascii="Arial" w:hAnsi="Arial" w:cs="Arial"/>
        <w:sz w:val="16"/>
        <w:szCs w:val="16"/>
      </w:rPr>
    </w:pPr>
    <w:r>
      <w:rPr>
        <w:rFonts w:ascii="Arial" w:hAnsi="Arial" w:cs="Arial"/>
        <w:b/>
        <w:bCs/>
        <w:sz w:val="18"/>
        <w:szCs w:val="18"/>
      </w:rPr>
      <w:fldChar w:fldCharType="begin"/>
    </w:r>
    <w:r>
      <w:rPr>
        <w:rFonts w:ascii="Arial" w:hAnsi="Arial" w:cs="Arial"/>
        <w:b/>
        <w:bCs/>
        <w:sz w:val="18"/>
        <w:szCs w:val="18"/>
      </w:rPr>
      <w:instrText xml:space="preserve"> PAGE   \* MERGEFORMAT </w:instrText>
    </w:r>
    <w:r>
      <w:rPr>
        <w:rFonts w:ascii="Arial" w:hAnsi="Arial" w:cs="Arial"/>
        <w:b/>
        <w:bCs/>
        <w:sz w:val="18"/>
        <w:szCs w:val="18"/>
      </w:rPr>
      <w:fldChar w:fldCharType="separate"/>
    </w:r>
    <w:r w:rsidR="00727E2B">
      <w:rPr>
        <w:rFonts w:ascii="Arial" w:hAnsi="Arial" w:cs="Arial"/>
        <w:b/>
        <w:bCs/>
        <w:noProof/>
        <w:sz w:val="18"/>
        <w:szCs w:val="18"/>
      </w:rPr>
      <w:t>3</w:t>
    </w:r>
    <w:r>
      <w:rPr>
        <w:rFonts w:ascii="Arial" w:hAnsi="Arial" w:cs="Arial"/>
        <w:b/>
        <w:bCs/>
        <w:sz w:val="18"/>
        <w:szCs w:val="18"/>
      </w:rPr>
      <w:fldChar w:fldCharType="end"/>
    </w:r>
    <w:r>
      <w:rPr>
        <w:rFonts w:ascii="Arial" w:hAnsi="Arial" w:cs="Arial"/>
        <w:b/>
        <w:bCs/>
        <w:sz w:val="18"/>
        <w:szCs w:val="18"/>
      </w:rPr>
      <w:t xml:space="preserve"> / </w:t>
    </w:r>
    <w:r>
      <w:rPr>
        <w:rFonts w:ascii="Arial" w:hAnsi="Arial" w:cs="Arial"/>
        <w:b/>
        <w:bCs/>
        <w:sz w:val="18"/>
        <w:szCs w:val="18"/>
      </w:rPr>
      <w:fldChar w:fldCharType="begin"/>
    </w:r>
    <w:r>
      <w:rPr>
        <w:rFonts w:ascii="Arial" w:hAnsi="Arial" w:cs="Arial"/>
        <w:b/>
        <w:bCs/>
        <w:sz w:val="18"/>
        <w:szCs w:val="18"/>
      </w:rPr>
      <w:instrText xml:space="preserve"> NUMPAGES   \* MERGEFORMAT </w:instrText>
    </w:r>
    <w:r>
      <w:rPr>
        <w:rFonts w:ascii="Arial" w:hAnsi="Arial" w:cs="Arial"/>
        <w:b/>
        <w:bCs/>
        <w:sz w:val="18"/>
        <w:szCs w:val="18"/>
      </w:rPr>
      <w:fldChar w:fldCharType="separate"/>
    </w:r>
    <w:r w:rsidR="00727E2B">
      <w:rPr>
        <w:rFonts w:ascii="Arial" w:hAnsi="Arial" w:cs="Arial"/>
        <w:b/>
        <w:bCs/>
        <w:noProof/>
        <w:sz w:val="18"/>
        <w:szCs w:val="18"/>
      </w:rPr>
      <w:t>3</w:t>
    </w:r>
    <w:r>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01954" w14:textId="77777777" w:rsidR="00B15077" w:rsidRDefault="00B15077" w:rsidP="00547186">
      <w:pPr>
        <w:spacing w:after="0" w:line="240" w:lineRule="auto"/>
      </w:pPr>
      <w:r>
        <w:separator/>
      </w:r>
    </w:p>
  </w:footnote>
  <w:footnote w:type="continuationSeparator" w:id="0">
    <w:p w14:paraId="10EF3BCB" w14:textId="77777777" w:rsidR="00B15077" w:rsidRDefault="00B15077" w:rsidP="00547186">
      <w:pPr>
        <w:spacing w:after="0" w:line="240" w:lineRule="auto"/>
      </w:pPr>
      <w:r>
        <w:continuationSeparator/>
      </w:r>
    </w:p>
  </w:footnote>
  <w:footnote w:type="continuationNotice" w:id="1">
    <w:p w14:paraId="4F1CF99F" w14:textId="77777777" w:rsidR="00B15077" w:rsidRDefault="00B150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3116" w14:textId="6C8DF924" w:rsidR="007E3026" w:rsidRDefault="00075B98" w:rsidP="007E3026">
    <w:pPr>
      <w:pStyle w:val="Zpat"/>
      <w:tabs>
        <w:tab w:val="clear" w:pos="9072"/>
        <w:tab w:val="left" w:pos="1680"/>
        <w:tab w:val="right" w:pos="10206"/>
      </w:tabs>
      <w:ind w:left="284" w:right="119"/>
      <w:rPr>
        <w:rFonts w:ascii="Calibri Light" w:hAnsi="Calibri Light" w:cs="Calibri Light"/>
      </w:rPr>
    </w:pPr>
    <w:r>
      <w:rPr>
        <w:noProof/>
        <w:lang w:eastAsia="cs-CZ"/>
      </w:rPr>
      <mc:AlternateContent>
        <mc:Choice Requires="wps">
          <w:drawing>
            <wp:anchor distT="4294967295" distB="4294967295" distL="114300" distR="114300" simplePos="0" relativeHeight="251657728" behindDoc="0" locked="0" layoutInCell="1" allowOverlap="1" wp14:anchorId="6359A744" wp14:editId="0172D9A9">
              <wp:simplePos x="0" y="0"/>
              <wp:positionH relativeFrom="column">
                <wp:posOffset>170815</wp:posOffset>
              </wp:positionH>
              <wp:positionV relativeFrom="paragraph">
                <wp:posOffset>207644</wp:posOffset>
              </wp:positionV>
              <wp:extent cx="6315075" cy="0"/>
              <wp:effectExtent l="0" t="0" r="9525"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50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3EAD12" id="Přímá spojnic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45pt,16.35pt" to="510.7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" strokecolor="windowText" strokeweight=".5pt">
              <v:stroke joinstyle="miter"/>
              <o:lock v:ext="edit" shapetype="f"/>
            </v:line>
          </w:pict>
        </mc:Fallback>
      </mc:AlternateContent>
    </w:r>
    <w:r w:rsidR="001A0561">
      <w:rPr>
        <w:rFonts w:ascii="Calibri Light" w:hAnsi="Calibri Light" w:cs="Calibri Light"/>
      </w:rPr>
      <w:t>SMLOUVA</w:t>
    </w:r>
    <w:r w:rsidR="007E3026">
      <w:rPr>
        <w:rFonts w:ascii="Calibri Light" w:hAnsi="Calibri Light" w:cs="Calibri Light"/>
      </w:rPr>
      <w:t xml:space="preserve"> O</w:t>
    </w:r>
    <w:r w:rsidR="00AB3CC9">
      <w:rPr>
        <w:rFonts w:ascii="Calibri Light" w:hAnsi="Calibri Light" w:cs="Calibri Light"/>
      </w:rPr>
      <w:t>PEN O</w:t>
    </w:r>
    <w:r w:rsidR="00C80E05">
      <w:rPr>
        <w:rFonts w:ascii="Calibri Light" w:hAnsi="Calibri Light" w:cs="Calibri Light"/>
      </w:rPr>
      <w:t xml:space="preserve"> </w:t>
    </w:r>
    <w:r w:rsidR="007E3026">
      <w:rPr>
        <w:rFonts w:ascii="Calibri Light" w:hAnsi="Calibri Light" w:cs="Calibri Light"/>
      </w:rPr>
      <w:t>UŽÍVÁNÍ SYSTÉMU BECK-ONLINE Č.</w:t>
    </w:r>
    <w:r w:rsidR="007E3026">
      <w:rPr>
        <w:rFonts w:ascii="Calibri Light" w:hAnsi="Calibri Light" w:cs="Calibri Light"/>
      </w:rPr>
      <w:tab/>
    </w:r>
    <w:bookmarkStart w:id="16" w:name="nazev_dokladu"/>
    <w:bookmarkEnd w:id="16"/>
    <w:r w:rsidR="00E96841">
      <w:rPr>
        <w:rFonts w:ascii="Calibri Light" w:hAnsi="Calibri Light" w:cs="Calibri Light"/>
      </w:rPr>
      <w:t>SML_1</w:t>
    </w:r>
    <w:r w:rsidR="004924F3">
      <w:rPr>
        <w:rFonts w:ascii="Calibri Light" w:hAnsi="Calibri Light" w:cs="Calibri Light"/>
      </w:rPr>
      <w:t>12955</w:t>
    </w:r>
    <w:r w:rsidR="007E3026">
      <w:rPr>
        <w:rFonts w:ascii="Calibri Light" w:hAnsi="Calibri Light" w:cs="Calibri Light"/>
      </w:rPr>
      <w:t>_</w:t>
    </w:r>
    <w:bookmarkStart w:id="17" w:name="smlouva_od"/>
    <w:bookmarkEnd w:id="17"/>
    <w:r w:rsidR="00E96841">
      <w:rPr>
        <w:rFonts w:ascii="Calibri Light" w:hAnsi="Calibri Light" w:cs="Calibri Light"/>
      </w:rPr>
      <w:t>202</w:t>
    </w:r>
    <w:r w:rsidR="004924F3">
      <w:rPr>
        <w:rFonts w:ascii="Calibri Light" w:hAnsi="Calibri Light" w:cs="Calibri Light"/>
      </w:rPr>
      <w:t>6</w:t>
    </w:r>
    <w:r w:rsidR="00E96841">
      <w:rPr>
        <w:rFonts w:ascii="Calibri Light" w:hAnsi="Calibri Light" w:cs="Calibri Light"/>
      </w:rPr>
      <w:t>0</w:t>
    </w:r>
    <w:r w:rsidR="00B41C28">
      <w:rPr>
        <w:rFonts w:ascii="Calibri Light" w:hAnsi="Calibri Light" w:cs="Calibri Light"/>
      </w:rPr>
      <w:t>3</w:t>
    </w:r>
    <w:r w:rsidR="00E96841">
      <w:rPr>
        <w:rFonts w:ascii="Calibri Light" w:hAnsi="Calibri Light" w:cs="Calibri Light"/>
      </w:rPr>
      <w:t>01</w:t>
    </w:r>
    <w:r w:rsidR="001E2375">
      <w:rPr>
        <w:rFonts w:ascii="Calibri Light" w:hAnsi="Calibri Light" w:cs="Calibri Light"/>
      </w:rPr>
      <w:t xml:space="preserve"> </w:t>
    </w:r>
  </w:p>
  <w:p w14:paraId="61DF1DC3" w14:textId="77777777" w:rsidR="00C961AB" w:rsidRPr="00AB4A05" w:rsidRDefault="00C961AB" w:rsidP="007E3026">
    <w:pPr>
      <w:pStyle w:val="Zpat"/>
      <w:tabs>
        <w:tab w:val="clear" w:pos="9072"/>
        <w:tab w:val="left" w:pos="1680"/>
        <w:tab w:val="right" w:pos="10206"/>
      </w:tabs>
      <w:ind w:left="284" w:right="119"/>
      <w:rPr>
        <w:rFonts w:ascii="Calibri Light" w:hAnsi="Calibri Light" w:cs="Calibri Ligh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9AE9" w14:textId="77777777" w:rsidR="00403FD0" w:rsidRDefault="00403FD0" w:rsidP="00403FD0">
    <w:pPr>
      <w:spacing w:after="0" w:line="240" w:lineRule="auto"/>
      <w:jc w:val="center"/>
      <w:rPr>
        <w:rFonts w:ascii="Arial" w:hAnsi="Arial" w:cs="Arial"/>
        <w:b/>
      </w:rPr>
    </w:pPr>
    <w:r w:rsidRPr="008109B4">
      <w:rPr>
        <w:rFonts w:ascii="Arial" w:hAnsi="Arial" w:cs="Arial"/>
        <w:b/>
      </w:rPr>
      <w:t>SMLOUVA O UŽÍVÁNÍ PRÁVNÍHO INFORMAČNÍHO SYSTÉMU BECK-ONLINE</w:t>
    </w:r>
  </w:p>
  <w:p w14:paraId="610DB61B" w14:textId="77777777" w:rsidR="00403FD0" w:rsidRDefault="00403F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E4903"/>
    <w:multiLevelType w:val="hybridMultilevel"/>
    <w:tmpl w:val="060A265C"/>
    <w:lvl w:ilvl="0" w:tplc="93BAD8C2">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15091C3D"/>
    <w:multiLevelType w:val="multilevel"/>
    <w:tmpl w:val="BB7040F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21E5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6E6D98"/>
    <w:multiLevelType w:val="multilevel"/>
    <w:tmpl w:val="DC3A5326"/>
    <w:lvl w:ilvl="0">
      <w:start w:val="4"/>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4" w15:restartNumberingAfterBreak="0">
    <w:nsid w:val="40721D65"/>
    <w:multiLevelType w:val="hybridMultilevel"/>
    <w:tmpl w:val="6BD07B52"/>
    <w:lvl w:ilvl="0" w:tplc="A22AA76C">
      <w:start w:val="2"/>
      <w:numFmt w:val="bullet"/>
      <w:lvlText w:val="-"/>
      <w:lvlJc w:val="left"/>
      <w:pPr>
        <w:ind w:left="1069" w:hanging="360"/>
      </w:pPr>
      <w:rPr>
        <w:rFonts w:ascii="Arial" w:eastAsia="Calibri"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4A210D90"/>
    <w:multiLevelType w:val="multilevel"/>
    <w:tmpl w:val="BB7040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1FE7CA6"/>
    <w:multiLevelType w:val="hybridMultilevel"/>
    <w:tmpl w:val="912A8806"/>
    <w:lvl w:ilvl="0" w:tplc="E6909DFE">
      <w:start w:val="1"/>
      <w:numFmt w:val="upp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73F00501"/>
    <w:multiLevelType w:val="multilevel"/>
    <w:tmpl w:val="C95C8298"/>
    <w:lvl w:ilvl="0">
      <w:start w:val="1"/>
      <w:numFmt w:val="decimal"/>
      <w:pStyle w:val="Numm1"/>
      <w:suff w:val="nothing"/>
      <w:lvlText w:val="Článek %1"/>
      <w:lvlJc w:val="left"/>
      <w:pPr>
        <w:ind w:left="1560"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75534B83"/>
    <w:multiLevelType w:val="hybridMultilevel"/>
    <w:tmpl w:val="6CC67AA4"/>
    <w:lvl w:ilvl="0" w:tplc="8CA87B8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3964149">
    <w:abstractNumId w:val="1"/>
  </w:num>
  <w:num w:numId="2" w16cid:durableId="2091927426">
    <w:abstractNumId w:val="2"/>
  </w:num>
  <w:num w:numId="3" w16cid:durableId="1386224411">
    <w:abstractNumId w:val="5"/>
  </w:num>
  <w:num w:numId="4" w16cid:durableId="1041593495">
    <w:abstractNumId w:val="4"/>
  </w:num>
  <w:num w:numId="5" w16cid:durableId="1736777382">
    <w:abstractNumId w:val="8"/>
  </w:num>
  <w:num w:numId="6" w16cid:durableId="1139297010">
    <w:abstractNumId w:val="7"/>
  </w:num>
  <w:num w:numId="7" w16cid:durableId="1576084681">
    <w:abstractNumId w:val="0"/>
  </w:num>
  <w:num w:numId="8" w16cid:durableId="125201709">
    <w:abstractNumId w:val="6"/>
  </w:num>
  <w:num w:numId="9" w16cid:durableId="972826493">
    <w:abstractNumId w:val="3"/>
  </w:num>
  <w:num w:numId="10" w16cid:durableId="18742236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9150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67710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5F"/>
    <w:rsid w:val="0000145D"/>
    <w:rsid w:val="0000655B"/>
    <w:rsid w:val="00006844"/>
    <w:rsid w:val="000161B0"/>
    <w:rsid w:val="00021922"/>
    <w:rsid w:val="000261F0"/>
    <w:rsid w:val="00044E55"/>
    <w:rsid w:val="0005315B"/>
    <w:rsid w:val="00060CE1"/>
    <w:rsid w:val="000646EE"/>
    <w:rsid w:val="00073CC1"/>
    <w:rsid w:val="0007402A"/>
    <w:rsid w:val="0007566B"/>
    <w:rsid w:val="00075B98"/>
    <w:rsid w:val="000768C5"/>
    <w:rsid w:val="00083006"/>
    <w:rsid w:val="0008358C"/>
    <w:rsid w:val="00087C1D"/>
    <w:rsid w:val="000958FA"/>
    <w:rsid w:val="000A32D4"/>
    <w:rsid w:val="000E1505"/>
    <w:rsid w:val="000F78FE"/>
    <w:rsid w:val="00123ED6"/>
    <w:rsid w:val="0012718F"/>
    <w:rsid w:val="00165A38"/>
    <w:rsid w:val="00185244"/>
    <w:rsid w:val="001A0561"/>
    <w:rsid w:val="001A5FC9"/>
    <w:rsid w:val="001B6172"/>
    <w:rsid w:val="001C2E48"/>
    <w:rsid w:val="001D4173"/>
    <w:rsid w:val="001D75FC"/>
    <w:rsid w:val="001E2375"/>
    <w:rsid w:val="00225323"/>
    <w:rsid w:val="002323F5"/>
    <w:rsid w:val="002364D6"/>
    <w:rsid w:val="0024353C"/>
    <w:rsid w:val="002537C0"/>
    <w:rsid w:val="0026351B"/>
    <w:rsid w:val="002671D7"/>
    <w:rsid w:val="00273172"/>
    <w:rsid w:val="00285F70"/>
    <w:rsid w:val="002A684C"/>
    <w:rsid w:val="002B3739"/>
    <w:rsid w:val="002B5624"/>
    <w:rsid w:val="002B75C2"/>
    <w:rsid w:val="002D1CD4"/>
    <w:rsid w:val="002D4D1C"/>
    <w:rsid w:val="002E5EF0"/>
    <w:rsid w:val="002F7BFF"/>
    <w:rsid w:val="003050C1"/>
    <w:rsid w:val="003058D5"/>
    <w:rsid w:val="00316444"/>
    <w:rsid w:val="003224DD"/>
    <w:rsid w:val="003251B5"/>
    <w:rsid w:val="00332D37"/>
    <w:rsid w:val="00337725"/>
    <w:rsid w:val="00337809"/>
    <w:rsid w:val="003404A2"/>
    <w:rsid w:val="00364F76"/>
    <w:rsid w:val="00385314"/>
    <w:rsid w:val="003A045F"/>
    <w:rsid w:val="003A1B08"/>
    <w:rsid w:val="003A22B2"/>
    <w:rsid w:val="003B2487"/>
    <w:rsid w:val="003E174B"/>
    <w:rsid w:val="003E3404"/>
    <w:rsid w:val="003F6C41"/>
    <w:rsid w:val="00403FD0"/>
    <w:rsid w:val="004079FF"/>
    <w:rsid w:val="00416EDE"/>
    <w:rsid w:val="00432847"/>
    <w:rsid w:val="00441449"/>
    <w:rsid w:val="00446DE6"/>
    <w:rsid w:val="00447B09"/>
    <w:rsid w:val="0045695C"/>
    <w:rsid w:val="004655B7"/>
    <w:rsid w:val="00465810"/>
    <w:rsid w:val="00470B4F"/>
    <w:rsid w:val="004731C5"/>
    <w:rsid w:val="004924F3"/>
    <w:rsid w:val="004A73FE"/>
    <w:rsid w:val="004B1AE6"/>
    <w:rsid w:val="004E1CB3"/>
    <w:rsid w:val="004E6303"/>
    <w:rsid w:val="004E6A28"/>
    <w:rsid w:val="004F17D0"/>
    <w:rsid w:val="00503A13"/>
    <w:rsid w:val="00503E20"/>
    <w:rsid w:val="0050486E"/>
    <w:rsid w:val="00511E65"/>
    <w:rsid w:val="005210EA"/>
    <w:rsid w:val="005233DA"/>
    <w:rsid w:val="00530C85"/>
    <w:rsid w:val="00531CD5"/>
    <w:rsid w:val="00537A77"/>
    <w:rsid w:val="005422FB"/>
    <w:rsid w:val="00543C55"/>
    <w:rsid w:val="00543C9C"/>
    <w:rsid w:val="00547186"/>
    <w:rsid w:val="00547F43"/>
    <w:rsid w:val="00561F00"/>
    <w:rsid w:val="0056217F"/>
    <w:rsid w:val="00565FD1"/>
    <w:rsid w:val="00567F36"/>
    <w:rsid w:val="005833B4"/>
    <w:rsid w:val="00591859"/>
    <w:rsid w:val="005A46FA"/>
    <w:rsid w:val="005A7E99"/>
    <w:rsid w:val="005B0FD1"/>
    <w:rsid w:val="005C5FDE"/>
    <w:rsid w:val="005D4DF6"/>
    <w:rsid w:val="005E0650"/>
    <w:rsid w:val="005E15A9"/>
    <w:rsid w:val="005F75F1"/>
    <w:rsid w:val="00620707"/>
    <w:rsid w:val="00622111"/>
    <w:rsid w:val="006235BA"/>
    <w:rsid w:val="006475B4"/>
    <w:rsid w:val="00650429"/>
    <w:rsid w:val="006576F0"/>
    <w:rsid w:val="00665C3B"/>
    <w:rsid w:val="00665C84"/>
    <w:rsid w:val="00670E60"/>
    <w:rsid w:val="0067317B"/>
    <w:rsid w:val="0068609C"/>
    <w:rsid w:val="00690122"/>
    <w:rsid w:val="006952EE"/>
    <w:rsid w:val="006A183E"/>
    <w:rsid w:val="006B19E0"/>
    <w:rsid w:val="006C42F3"/>
    <w:rsid w:val="006C58B8"/>
    <w:rsid w:val="006D0952"/>
    <w:rsid w:val="006D259F"/>
    <w:rsid w:val="006D2859"/>
    <w:rsid w:val="006D7CFA"/>
    <w:rsid w:val="006E0E24"/>
    <w:rsid w:val="006F7DF6"/>
    <w:rsid w:val="00714B39"/>
    <w:rsid w:val="0072498A"/>
    <w:rsid w:val="00727E2B"/>
    <w:rsid w:val="00737ABB"/>
    <w:rsid w:val="007433D6"/>
    <w:rsid w:val="00745ED1"/>
    <w:rsid w:val="0074621D"/>
    <w:rsid w:val="00761CD7"/>
    <w:rsid w:val="007703A4"/>
    <w:rsid w:val="00770D15"/>
    <w:rsid w:val="007B2A46"/>
    <w:rsid w:val="007C75B2"/>
    <w:rsid w:val="007D4A0D"/>
    <w:rsid w:val="007E3026"/>
    <w:rsid w:val="007E6F3D"/>
    <w:rsid w:val="007F5863"/>
    <w:rsid w:val="00804105"/>
    <w:rsid w:val="008109B4"/>
    <w:rsid w:val="00812F5E"/>
    <w:rsid w:val="00822301"/>
    <w:rsid w:val="0082259C"/>
    <w:rsid w:val="0083303D"/>
    <w:rsid w:val="00842E9B"/>
    <w:rsid w:val="00843332"/>
    <w:rsid w:val="008452EE"/>
    <w:rsid w:val="00850616"/>
    <w:rsid w:val="00850834"/>
    <w:rsid w:val="008607AE"/>
    <w:rsid w:val="0086100B"/>
    <w:rsid w:val="00862F0D"/>
    <w:rsid w:val="00863293"/>
    <w:rsid w:val="00865718"/>
    <w:rsid w:val="00870341"/>
    <w:rsid w:val="00877B9C"/>
    <w:rsid w:val="00890700"/>
    <w:rsid w:val="00892E12"/>
    <w:rsid w:val="00893F43"/>
    <w:rsid w:val="008949E6"/>
    <w:rsid w:val="008A4DD4"/>
    <w:rsid w:val="008A77E9"/>
    <w:rsid w:val="008B5365"/>
    <w:rsid w:val="008B5C8E"/>
    <w:rsid w:val="008B63D9"/>
    <w:rsid w:val="008C0362"/>
    <w:rsid w:val="008C436E"/>
    <w:rsid w:val="008C545C"/>
    <w:rsid w:val="008E6381"/>
    <w:rsid w:val="008F467C"/>
    <w:rsid w:val="008F6C81"/>
    <w:rsid w:val="00906DF0"/>
    <w:rsid w:val="00911035"/>
    <w:rsid w:val="00924B06"/>
    <w:rsid w:val="009344E2"/>
    <w:rsid w:val="00934D79"/>
    <w:rsid w:val="00941964"/>
    <w:rsid w:val="0095275E"/>
    <w:rsid w:val="00960A36"/>
    <w:rsid w:val="00967AF0"/>
    <w:rsid w:val="00972DB0"/>
    <w:rsid w:val="00974B34"/>
    <w:rsid w:val="00976754"/>
    <w:rsid w:val="0099383E"/>
    <w:rsid w:val="009B1ECD"/>
    <w:rsid w:val="009B7175"/>
    <w:rsid w:val="009C276F"/>
    <w:rsid w:val="009D37E0"/>
    <w:rsid w:val="009E3639"/>
    <w:rsid w:val="009F5AB5"/>
    <w:rsid w:val="009F7FF9"/>
    <w:rsid w:val="00A007AF"/>
    <w:rsid w:val="00A06019"/>
    <w:rsid w:val="00A14088"/>
    <w:rsid w:val="00A450EA"/>
    <w:rsid w:val="00A47FC6"/>
    <w:rsid w:val="00A51E0C"/>
    <w:rsid w:val="00A53ED8"/>
    <w:rsid w:val="00A60587"/>
    <w:rsid w:val="00A73906"/>
    <w:rsid w:val="00A8349D"/>
    <w:rsid w:val="00A84F96"/>
    <w:rsid w:val="00A90E77"/>
    <w:rsid w:val="00A928C1"/>
    <w:rsid w:val="00A94ACE"/>
    <w:rsid w:val="00AA05A6"/>
    <w:rsid w:val="00AA0EAF"/>
    <w:rsid w:val="00AA0FE3"/>
    <w:rsid w:val="00AA21C5"/>
    <w:rsid w:val="00AA5CD9"/>
    <w:rsid w:val="00AB3CC9"/>
    <w:rsid w:val="00AB4A05"/>
    <w:rsid w:val="00AC233F"/>
    <w:rsid w:val="00AE0052"/>
    <w:rsid w:val="00AF255F"/>
    <w:rsid w:val="00AF6F21"/>
    <w:rsid w:val="00B015EA"/>
    <w:rsid w:val="00B15077"/>
    <w:rsid w:val="00B41495"/>
    <w:rsid w:val="00B41C28"/>
    <w:rsid w:val="00B61FB2"/>
    <w:rsid w:val="00B67BA6"/>
    <w:rsid w:val="00B877BC"/>
    <w:rsid w:val="00B90234"/>
    <w:rsid w:val="00B93171"/>
    <w:rsid w:val="00BA6071"/>
    <w:rsid w:val="00BB4028"/>
    <w:rsid w:val="00BB4510"/>
    <w:rsid w:val="00BC421B"/>
    <w:rsid w:val="00BD6724"/>
    <w:rsid w:val="00BD6D90"/>
    <w:rsid w:val="00BD7DF5"/>
    <w:rsid w:val="00BE2829"/>
    <w:rsid w:val="00BE7B9C"/>
    <w:rsid w:val="00BF2030"/>
    <w:rsid w:val="00BF6B5E"/>
    <w:rsid w:val="00BF7513"/>
    <w:rsid w:val="00BF7554"/>
    <w:rsid w:val="00C13091"/>
    <w:rsid w:val="00C23EA3"/>
    <w:rsid w:val="00C344C2"/>
    <w:rsid w:val="00C35D51"/>
    <w:rsid w:val="00C41894"/>
    <w:rsid w:val="00C602EA"/>
    <w:rsid w:val="00C6256F"/>
    <w:rsid w:val="00C73B26"/>
    <w:rsid w:val="00C80E05"/>
    <w:rsid w:val="00C948D7"/>
    <w:rsid w:val="00C961AB"/>
    <w:rsid w:val="00C9638D"/>
    <w:rsid w:val="00CA2C61"/>
    <w:rsid w:val="00CA5E68"/>
    <w:rsid w:val="00CA66FD"/>
    <w:rsid w:val="00CD0709"/>
    <w:rsid w:val="00CD40EF"/>
    <w:rsid w:val="00CF7ABB"/>
    <w:rsid w:val="00D043C5"/>
    <w:rsid w:val="00D101AA"/>
    <w:rsid w:val="00D142FD"/>
    <w:rsid w:val="00D21AA3"/>
    <w:rsid w:val="00D25753"/>
    <w:rsid w:val="00D34D4F"/>
    <w:rsid w:val="00D4323F"/>
    <w:rsid w:val="00D55C0A"/>
    <w:rsid w:val="00D609FA"/>
    <w:rsid w:val="00D6440C"/>
    <w:rsid w:val="00D656F0"/>
    <w:rsid w:val="00D67A93"/>
    <w:rsid w:val="00D8019B"/>
    <w:rsid w:val="00D80A93"/>
    <w:rsid w:val="00D82BA6"/>
    <w:rsid w:val="00D86ECC"/>
    <w:rsid w:val="00D91793"/>
    <w:rsid w:val="00DA7888"/>
    <w:rsid w:val="00DE3EAA"/>
    <w:rsid w:val="00DE7823"/>
    <w:rsid w:val="00DF1A06"/>
    <w:rsid w:val="00DF3D27"/>
    <w:rsid w:val="00E02BD2"/>
    <w:rsid w:val="00E1018C"/>
    <w:rsid w:val="00E11940"/>
    <w:rsid w:val="00E15C0C"/>
    <w:rsid w:val="00E206BE"/>
    <w:rsid w:val="00E22F9A"/>
    <w:rsid w:val="00E261BD"/>
    <w:rsid w:val="00E268F1"/>
    <w:rsid w:val="00E37433"/>
    <w:rsid w:val="00E37C9E"/>
    <w:rsid w:val="00E40174"/>
    <w:rsid w:val="00E45699"/>
    <w:rsid w:val="00E46964"/>
    <w:rsid w:val="00E535B4"/>
    <w:rsid w:val="00E64B8F"/>
    <w:rsid w:val="00E7211B"/>
    <w:rsid w:val="00E816CB"/>
    <w:rsid w:val="00E90F55"/>
    <w:rsid w:val="00E925FE"/>
    <w:rsid w:val="00E96841"/>
    <w:rsid w:val="00EA6936"/>
    <w:rsid w:val="00EC1E86"/>
    <w:rsid w:val="00ED67A5"/>
    <w:rsid w:val="00EE1A1A"/>
    <w:rsid w:val="00EE35FC"/>
    <w:rsid w:val="00EF3CDF"/>
    <w:rsid w:val="00EF5BBF"/>
    <w:rsid w:val="00F13846"/>
    <w:rsid w:val="00F278EB"/>
    <w:rsid w:val="00F303E2"/>
    <w:rsid w:val="00F4478D"/>
    <w:rsid w:val="00F45F4D"/>
    <w:rsid w:val="00F46029"/>
    <w:rsid w:val="00F50E7B"/>
    <w:rsid w:val="00F53E0F"/>
    <w:rsid w:val="00F54CFB"/>
    <w:rsid w:val="00F65181"/>
    <w:rsid w:val="00F66B10"/>
    <w:rsid w:val="00F73B6A"/>
    <w:rsid w:val="00F75FDF"/>
    <w:rsid w:val="00F7629B"/>
    <w:rsid w:val="00F83ECA"/>
    <w:rsid w:val="00F86B4D"/>
    <w:rsid w:val="00F9226B"/>
    <w:rsid w:val="00F92C3D"/>
    <w:rsid w:val="00FA1379"/>
    <w:rsid w:val="00FB52A7"/>
    <w:rsid w:val="00FC2971"/>
    <w:rsid w:val="00FC782E"/>
    <w:rsid w:val="00FD7A9B"/>
    <w:rsid w:val="00FE2974"/>
    <w:rsid w:val="00FE3D64"/>
    <w:rsid w:val="00FF72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5154F"/>
  <w15:chartTrackingRefBased/>
  <w15:docId w15:val="{8932BD80-6732-4C7C-A5F5-3F5C32E5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6303"/>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A045F"/>
    <w:pPr>
      <w:ind w:left="720"/>
      <w:contextualSpacing/>
    </w:pPr>
  </w:style>
  <w:style w:type="character" w:styleId="Hypertextovodkaz">
    <w:name w:val="Hyperlink"/>
    <w:uiPriority w:val="99"/>
    <w:unhideWhenUsed/>
    <w:rsid w:val="003A045F"/>
    <w:rPr>
      <w:color w:val="0563C1"/>
      <w:u w:val="single"/>
    </w:rPr>
  </w:style>
  <w:style w:type="paragraph" w:styleId="Zhlav">
    <w:name w:val="header"/>
    <w:basedOn w:val="Normln"/>
    <w:link w:val="ZhlavChar"/>
    <w:uiPriority w:val="99"/>
    <w:unhideWhenUsed/>
    <w:rsid w:val="0054718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7186"/>
  </w:style>
  <w:style w:type="paragraph" w:styleId="Zpat">
    <w:name w:val="footer"/>
    <w:basedOn w:val="Normln"/>
    <w:link w:val="ZpatChar"/>
    <w:uiPriority w:val="99"/>
    <w:unhideWhenUsed/>
    <w:rsid w:val="00547186"/>
    <w:pPr>
      <w:tabs>
        <w:tab w:val="center" w:pos="4536"/>
        <w:tab w:val="right" w:pos="9072"/>
      </w:tabs>
      <w:spacing w:after="0" w:line="240" w:lineRule="auto"/>
    </w:pPr>
  </w:style>
  <w:style w:type="character" w:customStyle="1" w:styleId="ZpatChar">
    <w:name w:val="Zápatí Char"/>
    <w:basedOn w:val="Standardnpsmoodstavce"/>
    <w:link w:val="Zpat"/>
    <w:uiPriority w:val="99"/>
    <w:rsid w:val="00547186"/>
  </w:style>
  <w:style w:type="paragraph" w:styleId="Textbubliny">
    <w:name w:val="Balloon Text"/>
    <w:basedOn w:val="Normln"/>
    <w:link w:val="TextbublinyChar"/>
    <w:uiPriority w:val="99"/>
    <w:semiHidden/>
    <w:unhideWhenUsed/>
    <w:rsid w:val="00561F00"/>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561F00"/>
    <w:rPr>
      <w:rFonts w:ascii="Segoe UI" w:hAnsi="Segoe UI" w:cs="Segoe UI"/>
      <w:sz w:val="18"/>
      <w:szCs w:val="18"/>
    </w:rPr>
  </w:style>
  <w:style w:type="paragraph" w:customStyle="1" w:styleId="Numm1">
    <w:name w:val="Numm§ 1"/>
    <w:basedOn w:val="Normln"/>
    <w:next w:val="Normln"/>
    <w:rsid w:val="00960A36"/>
    <w:pPr>
      <w:numPr>
        <w:numId w:val="6"/>
      </w:numPr>
      <w:spacing w:after="0" w:line="360" w:lineRule="auto"/>
      <w:jc w:val="center"/>
    </w:pPr>
    <w:rPr>
      <w:rFonts w:ascii="Times New Roman" w:eastAsia="Times New Roman" w:hAnsi="Times New Roman"/>
      <w:b/>
      <w:sz w:val="24"/>
      <w:szCs w:val="20"/>
      <w:lang w:eastAsia="cs-CZ"/>
    </w:rPr>
  </w:style>
  <w:style w:type="paragraph" w:customStyle="1" w:styleId="Numm2">
    <w:name w:val="Numm§ 2"/>
    <w:basedOn w:val="Normln"/>
    <w:next w:val="Normln"/>
    <w:rsid w:val="00960A36"/>
    <w:pPr>
      <w:numPr>
        <w:ilvl w:val="1"/>
        <w:numId w:val="6"/>
      </w:numPr>
      <w:spacing w:after="0" w:line="240" w:lineRule="auto"/>
      <w:jc w:val="both"/>
    </w:pPr>
    <w:rPr>
      <w:rFonts w:ascii="Times New Roman" w:eastAsia="Times New Roman" w:hAnsi="Times New Roman"/>
      <w:szCs w:val="20"/>
      <w:lang w:eastAsia="cs-CZ"/>
    </w:rPr>
  </w:style>
  <w:style w:type="paragraph" w:customStyle="1" w:styleId="Numm3">
    <w:name w:val="Numm§ 3"/>
    <w:basedOn w:val="Normln"/>
    <w:next w:val="Normln"/>
    <w:rsid w:val="00960A36"/>
    <w:pPr>
      <w:numPr>
        <w:ilvl w:val="2"/>
        <w:numId w:val="6"/>
      </w:numPr>
      <w:spacing w:after="0" w:line="240" w:lineRule="auto"/>
      <w:jc w:val="both"/>
    </w:pPr>
    <w:rPr>
      <w:rFonts w:ascii="Times New Roman" w:eastAsia="Times New Roman" w:hAnsi="Times New Roman"/>
      <w:szCs w:val="20"/>
      <w:lang w:eastAsia="cs-CZ"/>
    </w:rPr>
  </w:style>
  <w:style w:type="character" w:customStyle="1" w:styleId="platne1">
    <w:name w:val="platne1"/>
    <w:basedOn w:val="Standardnpsmoodstavce"/>
    <w:rsid w:val="00960A36"/>
  </w:style>
  <w:style w:type="character" w:styleId="Odkaznakoment">
    <w:name w:val="annotation reference"/>
    <w:uiPriority w:val="99"/>
    <w:semiHidden/>
    <w:unhideWhenUsed/>
    <w:rsid w:val="004B1AE6"/>
    <w:rPr>
      <w:sz w:val="16"/>
      <w:szCs w:val="16"/>
    </w:rPr>
  </w:style>
  <w:style w:type="paragraph" w:styleId="Textkomente">
    <w:name w:val="annotation text"/>
    <w:basedOn w:val="Normln"/>
    <w:link w:val="TextkomenteChar"/>
    <w:uiPriority w:val="99"/>
    <w:semiHidden/>
    <w:unhideWhenUsed/>
    <w:rsid w:val="004B1AE6"/>
    <w:pPr>
      <w:spacing w:line="240" w:lineRule="auto"/>
    </w:pPr>
    <w:rPr>
      <w:sz w:val="20"/>
      <w:szCs w:val="20"/>
    </w:rPr>
  </w:style>
  <w:style w:type="character" w:customStyle="1" w:styleId="TextkomenteChar">
    <w:name w:val="Text komentáře Char"/>
    <w:link w:val="Textkomente"/>
    <w:uiPriority w:val="99"/>
    <w:semiHidden/>
    <w:rsid w:val="004B1AE6"/>
    <w:rPr>
      <w:sz w:val="20"/>
      <w:szCs w:val="20"/>
    </w:rPr>
  </w:style>
  <w:style w:type="paragraph" w:styleId="Pedmtkomente">
    <w:name w:val="annotation subject"/>
    <w:basedOn w:val="Textkomente"/>
    <w:next w:val="Textkomente"/>
    <w:link w:val="PedmtkomenteChar"/>
    <w:uiPriority w:val="99"/>
    <w:semiHidden/>
    <w:unhideWhenUsed/>
    <w:rsid w:val="004B1AE6"/>
    <w:rPr>
      <w:b/>
      <w:bCs/>
    </w:rPr>
  </w:style>
  <w:style w:type="character" w:customStyle="1" w:styleId="PedmtkomenteChar">
    <w:name w:val="Předmět komentáře Char"/>
    <w:link w:val="Pedmtkomente"/>
    <w:uiPriority w:val="99"/>
    <w:semiHidden/>
    <w:rsid w:val="004B1AE6"/>
    <w:rPr>
      <w:b/>
      <w:bCs/>
      <w:sz w:val="20"/>
      <w:szCs w:val="20"/>
    </w:rPr>
  </w:style>
  <w:style w:type="paragraph" w:styleId="Revize">
    <w:name w:val="Revision"/>
    <w:hidden/>
    <w:uiPriority w:val="99"/>
    <w:semiHidden/>
    <w:rsid w:val="001A5FC9"/>
    <w:rPr>
      <w:sz w:val="22"/>
      <w:szCs w:val="22"/>
      <w:lang w:eastAsia="en-US"/>
    </w:rPr>
  </w:style>
  <w:style w:type="character" w:customStyle="1" w:styleId="s14">
    <w:name w:val="s14"/>
    <w:basedOn w:val="Standardnpsmoodstavce"/>
    <w:rsid w:val="00075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44693">
      <w:bodyDiv w:val="1"/>
      <w:marLeft w:val="0"/>
      <w:marRight w:val="0"/>
      <w:marTop w:val="0"/>
      <w:marBottom w:val="0"/>
      <w:divBdr>
        <w:top w:val="none" w:sz="0" w:space="0" w:color="auto"/>
        <w:left w:val="none" w:sz="0" w:space="0" w:color="auto"/>
        <w:bottom w:val="none" w:sz="0" w:space="0" w:color="auto"/>
        <w:right w:val="none" w:sz="0" w:space="0" w:color="auto"/>
      </w:divBdr>
    </w:div>
    <w:div w:id="566502285">
      <w:bodyDiv w:val="1"/>
      <w:marLeft w:val="0"/>
      <w:marRight w:val="0"/>
      <w:marTop w:val="0"/>
      <w:marBottom w:val="0"/>
      <w:divBdr>
        <w:top w:val="none" w:sz="0" w:space="0" w:color="auto"/>
        <w:left w:val="none" w:sz="0" w:space="0" w:color="auto"/>
        <w:bottom w:val="none" w:sz="0" w:space="0" w:color="auto"/>
        <w:right w:val="none" w:sz="0" w:space="0" w:color="auto"/>
      </w:divBdr>
    </w:div>
    <w:div w:id="725686739">
      <w:bodyDiv w:val="1"/>
      <w:marLeft w:val="0"/>
      <w:marRight w:val="0"/>
      <w:marTop w:val="0"/>
      <w:marBottom w:val="0"/>
      <w:divBdr>
        <w:top w:val="none" w:sz="0" w:space="0" w:color="auto"/>
        <w:left w:val="none" w:sz="0" w:space="0" w:color="auto"/>
        <w:bottom w:val="none" w:sz="0" w:space="0" w:color="auto"/>
        <w:right w:val="none" w:sz="0" w:space="0" w:color="auto"/>
      </w:divBdr>
    </w:div>
    <w:div w:id="1026297445">
      <w:bodyDiv w:val="1"/>
      <w:marLeft w:val="0"/>
      <w:marRight w:val="0"/>
      <w:marTop w:val="0"/>
      <w:marBottom w:val="0"/>
      <w:divBdr>
        <w:top w:val="none" w:sz="0" w:space="0" w:color="auto"/>
        <w:left w:val="none" w:sz="0" w:space="0" w:color="auto"/>
        <w:bottom w:val="none" w:sz="0" w:space="0" w:color="auto"/>
        <w:right w:val="none" w:sz="0" w:space="0" w:color="auto"/>
      </w:divBdr>
    </w:div>
    <w:div w:id="1180662220">
      <w:bodyDiv w:val="1"/>
      <w:marLeft w:val="0"/>
      <w:marRight w:val="0"/>
      <w:marTop w:val="0"/>
      <w:marBottom w:val="0"/>
      <w:divBdr>
        <w:top w:val="none" w:sz="0" w:space="0" w:color="auto"/>
        <w:left w:val="none" w:sz="0" w:space="0" w:color="auto"/>
        <w:bottom w:val="none" w:sz="0" w:space="0" w:color="auto"/>
        <w:right w:val="none" w:sz="0" w:space="0" w:color="auto"/>
      </w:divBdr>
    </w:div>
    <w:div w:id="148250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ck-onlin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eck-online.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96AB4-763F-4E24-8D33-CEDFFD10A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930</Words>
  <Characters>5491</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Staňková</dc:creator>
  <cp:keywords/>
  <cp:lastModifiedBy>Krejčík Šimon</cp:lastModifiedBy>
  <cp:revision>5</cp:revision>
  <cp:lastPrinted>2018-10-16T12:06:00Z</cp:lastPrinted>
  <dcterms:created xsi:type="dcterms:W3CDTF">2026-02-13T11:51:00Z</dcterms:created>
  <dcterms:modified xsi:type="dcterms:W3CDTF">2026-02-17T08:52:00Z</dcterms:modified>
</cp:coreProperties>
</file>