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12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180/2026</w:t>
      </w:r>
      <w:bookmarkEnd w:id="6"/>
      <w:bookmarkEnd w:id="7"/>
      <w:bookmarkEnd w:id="8"/>
    </w:p>
    <w:p>
      <w:pPr>
        <w:pStyle w:val="Style5"/>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26/01/2026</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“PPO Nová Role - PB a LB ochranná hráz s nájezdovou rampou”</w:t>
      </w:r>
    </w:p>
    <w:p>
      <w:pPr>
        <w:pStyle w:val="Style5"/>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5"/>
        <w:keepNext/>
        <w:keepLines/>
        <w:widowControl w:val="0"/>
        <w:shd w:val="clear" w:color="auto" w:fill="auto"/>
        <w:tabs>
          <w:tab w:pos="2809"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5"/>
        <w:keepNext/>
        <w:keepLines/>
        <w:widowControl w:val="0"/>
        <w:shd w:val="clear" w:color="auto" w:fill="auto"/>
        <w:tabs>
          <w:tab w:pos="2809"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investora:</w:t>
      </w:r>
      <w:bookmarkEnd w:id="24"/>
      <w:bookmarkEnd w:id="25"/>
    </w:p>
    <w:p>
      <w:pPr>
        <w:pStyle w:val="Style2"/>
        <w:keepNext w:val="0"/>
        <w:keepLines w:val="0"/>
        <w:widowControl w:val="0"/>
        <w:shd w:val="clear" w:color="auto" w:fill="auto"/>
        <w:tabs>
          <w:tab w:pos="2809" w:val="left"/>
        </w:tabs>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IČO:</w:t>
        <w:tab/>
        <w:t>70889988</w:t>
      </w:r>
      <w:bookmarkEnd w:id="26"/>
      <w:bookmarkEnd w:id="27"/>
    </w:p>
    <w:p>
      <w:pPr>
        <w:pStyle w:val="Style5"/>
        <w:keepNext/>
        <w:keepLines/>
        <w:widowControl w:val="0"/>
        <w:shd w:val="clear" w:color="auto" w:fill="auto"/>
        <w:tabs>
          <w:tab w:pos="2809"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5"/>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5"/>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20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5"/>
        <w:keepNext/>
        <w:keepLines/>
        <w:widowControl w:val="0"/>
        <w:shd w:val="clear" w:color="auto" w:fill="auto"/>
        <w:bidi w:val="0"/>
        <w:spacing w:before="0" w:after="20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5"/>
        <w:keepNext/>
        <w:keepLines/>
        <w:widowControl w:val="0"/>
        <w:shd w:val="clear" w:color="auto" w:fill="auto"/>
        <w:tabs>
          <w:tab w:pos="2809" w:val="left"/>
        </w:tabs>
        <w:bidi w:val="0"/>
        <w:spacing w:before="0" w:after="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Bauvant s.r.o.</w:t>
      </w:r>
      <w:bookmarkEnd w:id="43"/>
      <w:bookmarkEnd w:id="44"/>
      <w:bookmarkEnd w:id="45"/>
    </w:p>
    <w:p>
      <w:pPr>
        <w:pStyle w:val="Style5"/>
        <w:keepNext/>
        <w:keepLines/>
        <w:widowControl w:val="0"/>
        <w:shd w:val="clear" w:color="auto" w:fill="auto"/>
        <w:tabs>
          <w:tab w:pos="2809"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Karla Engliše 1499/15, 150 00 Praha 5</w:t>
      </w:r>
      <w:bookmarkEnd w:id="46"/>
      <w:bookmarkEnd w:id="47"/>
      <w:bookmarkEnd w:id="48"/>
    </w:p>
    <w:p>
      <w:pPr>
        <w:pStyle w:val="Style5"/>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oprávněn(i) k podpisu smlouvy:</w:t>
      </w:r>
      <w:bookmarkEnd w:id="49"/>
      <w:bookmarkEnd w:id="50"/>
      <w:bookmarkEnd w:id="51"/>
    </w:p>
    <w:p>
      <w:pPr>
        <w:pStyle w:val="Style5"/>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oprávněn(i) jednat o věcech smluvních:</w:t>
      </w:r>
      <w:bookmarkEnd w:id="52"/>
      <w:bookmarkEnd w:id="53"/>
      <w:bookmarkEnd w:id="54"/>
    </w:p>
    <w:p>
      <w:pPr>
        <w:pStyle w:val="Style5"/>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technických:</w:t>
      </w:r>
      <w:bookmarkEnd w:id="55"/>
      <w:bookmarkEnd w:id="56"/>
      <w:bookmarkEnd w:id="57"/>
      <w:bookmarkEnd w:id="58"/>
    </w:p>
    <w:p>
      <w:pPr>
        <w:pStyle w:val="Style5"/>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stavbyvedoucí:</w:t>
      </w:r>
      <w:bookmarkEnd w:id="59"/>
      <w:bookmarkEnd w:id="60"/>
      <w:bookmarkEnd w:id="61"/>
    </w:p>
    <w:p>
      <w:pPr>
        <w:pStyle w:val="Style5"/>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manažer stavby:</w:t>
      </w:r>
      <w:bookmarkEnd w:id="62"/>
      <w:bookmarkEnd w:id="63"/>
      <w:bookmarkEnd w:id="64"/>
    </w:p>
    <w:p>
      <w:pPr>
        <w:pStyle w:val="Style5"/>
        <w:keepNext/>
        <w:keepLines/>
        <w:widowControl w:val="0"/>
        <w:shd w:val="clear" w:color="auto" w:fill="auto"/>
        <w:tabs>
          <w:tab w:pos="2809"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IČO:</w:t>
        <w:tab/>
        <w:t>27449416</w:t>
      </w:r>
      <w:bookmarkEnd w:id="65"/>
      <w:bookmarkEnd w:id="66"/>
      <w:bookmarkEnd w:id="67"/>
    </w:p>
    <w:p>
      <w:pPr>
        <w:pStyle w:val="Style5"/>
        <w:keepNext/>
        <w:keepLines/>
        <w:widowControl w:val="0"/>
        <w:shd w:val="clear" w:color="auto" w:fill="auto"/>
        <w:tabs>
          <w:tab w:pos="2809"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DIČ:</w:t>
        <w:tab/>
        <w:t>CZ27449416</w:t>
      </w:r>
      <w:bookmarkEnd w:id="68"/>
      <w:bookmarkEnd w:id="69"/>
      <w:bookmarkEnd w:id="70"/>
    </w:p>
    <w:p>
      <w:pPr>
        <w:pStyle w:val="Style5"/>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bankovní spojení:</w:t>
      </w:r>
      <w:bookmarkEnd w:id="71"/>
      <w:bookmarkEnd w:id="72"/>
      <w:bookmarkEnd w:id="73"/>
    </w:p>
    <w:p>
      <w:pPr>
        <w:pStyle w:val="Style5"/>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číslo účtu:</w:t>
      </w:r>
      <w:bookmarkEnd w:id="74"/>
      <w:bookmarkEnd w:id="75"/>
      <w:bookmarkEnd w:id="76"/>
    </w:p>
    <w:p>
      <w:pPr>
        <w:pStyle w:val="Style5"/>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zápis v obchodním rejstříku: u Městského soudu v Praze oddíl C vložka 113539</w:t>
      </w:r>
      <w:bookmarkEnd w:id="77"/>
      <w:bookmarkEnd w:id="78"/>
      <w:bookmarkEnd w:id="79"/>
    </w:p>
    <w:p>
      <w:pPr>
        <w:pStyle w:val="Style5"/>
        <w:keepNext/>
        <w:keepLines/>
        <w:widowControl w:val="0"/>
        <w:shd w:val="clear" w:color="auto" w:fill="auto"/>
        <w:tabs>
          <w:tab w:pos="2809"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tel.:</w:t>
        <w:tab/>
        <w:t>e-mail:</w:t>
      </w:r>
      <w:bookmarkEnd w:id="80"/>
      <w:bookmarkEnd w:id="81"/>
      <w:bookmarkEnd w:id="82"/>
    </w:p>
    <w:p>
      <w:pPr>
        <w:pStyle w:val="Style5"/>
        <w:keepNext/>
        <w:keepLines/>
        <w:widowControl w:val="0"/>
        <w:shd w:val="clear" w:color="auto" w:fill="auto"/>
        <w:bidi w:val="0"/>
        <w:spacing w:before="0" w:after="46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(dále jen „zhotovitel“)</w:t>
      </w:r>
      <w:bookmarkEnd w:id="83"/>
      <w:bookmarkEnd w:id="84"/>
      <w:bookmarkEnd w:id="85"/>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„PPO Nová Role - PB a LB ochranná hráz s nájezdovou rampou” (dále jen „Veřejná zakázka“), ve kterém byla nabídka zhotovitele vyhodnocena jako ekonomicky nejvýhodnější.</w:t>
      </w:r>
      <w:bookmarkEnd w:id="86"/>
      <w:bookmarkEnd w:id="87"/>
      <w:bookmarkEnd w:id="89"/>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veřejné zakázky je úprava, resp. doplnění stávajících zemních hrází systému PPO pro zajištění požadované míry ochrany, včetně bezpečnostního převýšení, a to formou úpravy nivelety koruny těchto hrází. Dále je navrženo doplnění nájezdové rampy na PB hráz tohoto systému PPO, a to pro účely údržby.</w:t>
      </w:r>
      <w:bookmarkEnd w:id="90"/>
      <w:bookmarkEnd w:id="91"/>
      <w:bookmarkEnd w:id="93"/>
    </w:p>
    <w:p>
      <w:pPr>
        <w:pStyle w:val="Style5"/>
        <w:keepNext/>
        <w:keepLines/>
        <w:widowControl w:val="0"/>
        <w:numPr>
          <w:ilvl w:val="0"/>
          <w:numId w:val="1"/>
        </w:numPr>
        <w:shd w:val="clear" w:color="auto" w:fill="auto"/>
        <w:tabs>
          <w:tab w:pos="360" w:val="left"/>
        </w:tabs>
        <w:bidi w:val="0"/>
        <w:spacing w:before="0" w:after="20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„PPO Nová Role - PB a LB ochranná hráz s nájezdovou rampou“, zpracovaná ENVISYSTEM, s.r.o., U Nikolajky 15, 150 00 Praha 5, IČO 48585904, ze 06/2024, která tvoří přílohu č. 2 této smlouvy.</w:t>
      </w:r>
      <w:bookmarkEnd w:id="94"/>
      <w:bookmarkEnd w:id="95"/>
      <w:bookmarkEnd w:id="97"/>
    </w:p>
    <w:p>
      <w:pPr>
        <w:pStyle w:val="Style5"/>
        <w:keepNext/>
        <w:keepLines/>
        <w:widowControl w:val="0"/>
        <w:shd w:val="clear" w:color="auto" w:fill="auto"/>
        <w:bidi w:val="0"/>
        <w:spacing w:before="0" w:after="200" w:line="240" w:lineRule="auto"/>
        <w:ind w:right="0" w:firstLine="2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Místo provádění díla: vodní tok Rolava, ř.km 8,511 ÷ 9,364, k. ú. Nová Role, kraj Karlovarský.</w:t>
      </w:r>
      <w:bookmarkEnd w:id="100"/>
      <w:bookmarkEnd w:id="98"/>
      <w:bookmarkEnd w:id="99"/>
    </w:p>
    <w:p>
      <w:pPr>
        <w:pStyle w:val="Style5"/>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 předmět díla se dále považuje:</w:t>
      </w:r>
      <w:bookmarkEnd w:id="101"/>
      <w:bookmarkEnd w:id="102"/>
      <w:bookmarkEnd w:id="104"/>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zpracování podrobného harmonogramu postupu prací, který bude schválen objednatelem,</w:t>
      </w:r>
      <w:bookmarkEnd w:id="105"/>
      <w:bookmarkEnd w:id="106"/>
      <w:bookmarkEnd w:id="108"/>
    </w:p>
    <w:p>
      <w:pPr>
        <w:pStyle w:val="Style5"/>
        <w:keepNext/>
        <w:keepLines/>
        <w:widowControl w:val="0"/>
        <w:numPr>
          <w:ilvl w:val="0"/>
          <w:numId w:val="3"/>
        </w:numPr>
        <w:shd w:val="clear" w:color="auto" w:fill="auto"/>
        <w:tabs>
          <w:tab w:pos="994" w:val="left"/>
        </w:tabs>
        <w:bidi w:val="0"/>
        <w:spacing w:before="0" w:after="0" w:line="240" w:lineRule="auto"/>
        <w:ind w:left="0" w:right="0" w:firstLine="380"/>
        <w:jc w:val="left"/>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ověření a případná aktualizace výskytu a uložení podzemních zařízení</w:t>
      </w:r>
      <w:bookmarkEnd w:id="109"/>
      <w:bookmarkEnd w:id="110"/>
      <w:bookmarkEnd w:id="112"/>
    </w:p>
    <w:p>
      <w:pPr>
        <w:pStyle w:val="Style5"/>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13"/>
      <w:bookmarkEnd w:id="114"/>
      <w:bookmarkEnd w:id="116"/>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7"/>
      <w:bookmarkEnd w:id="118"/>
      <w:bookmarkEnd w:id="120"/>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21"/>
      <w:bookmarkEnd w:id="122"/>
      <w:bookmarkEnd w:id="124"/>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5"/>
      <w:bookmarkEnd w:id="126"/>
      <w:bookmarkEnd w:id="128"/>
    </w:p>
    <w:p>
      <w:pPr>
        <w:pStyle w:val="Style5"/>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9"/>
      <w:bookmarkEnd w:id="130"/>
      <w:bookmarkEnd w:id="132"/>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33"/>
      <w:bookmarkEnd w:id="134"/>
      <w:bookmarkEnd w:id="136"/>
    </w:p>
    <w:p>
      <w:pPr>
        <w:pStyle w:val="Style5"/>
        <w:keepNext/>
        <w:keepLines/>
        <w:widowControl w:val="0"/>
        <w:numPr>
          <w:ilvl w:val="0"/>
          <w:numId w:val="3"/>
        </w:numPr>
        <w:shd w:val="clear" w:color="auto" w:fill="auto"/>
        <w:tabs>
          <w:tab w:pos="994" w:val="left"/>
        </w:tabs>
        <w:bidi w:val="0"/>
        <w:spacing w:before="0" w:after="0" w:line="240" w:lineRule="auto"/>
        <w:ind w:left="1020" w:right="0" w:hanging="620"/>
        <w:jc w:val="both"/>
      </w:pPr>
      <w:bookmarkStart w:id="137" w:name="bookmark137"/>
      <w:bookmarkStart w:id="138" w:name="bookmark138"/>
      <w:bookmarkStart w:id="139" w:name="bookmark139"/>
      <w:bookmarkStart w:id="140" w:name="bookmark140"/>
      <w:bookmarkStart w:id="141" w:name="bookmark141"/>
      <w:bookmarkEnd w:id="139"/>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37"/>
      <w:bookmarkEnd w:id="138"/>
      <w:bookmarkEnd w:id="140"/>
      <w:bookmarkEnd w:id="141"/>
    </w:p>
    <w:p>
      <w:pPr>
        <w:pStyle w:val="Style2"/>
        <w:keepNext w:val="0"/>
        <w:keepLines w:val="0"/>
        <w:widowControl w:val="0"/>
        <w:numPr>
          <w:ilvl w:val="0"/>
          <w:numId w:val="3"/>
        </w:numPr>
        <w:shd w:val="clear" w:color="auto" w:fill="auto"/>
        <w:tabs>
          <w:tab w:pos="1168" w:val="left"/>
        </w:tabs>
        <w:bidi w:val="0"/>
        <w:spacing w:before="0" w:after="0" w:line="240" w:lineRule="auto"/>
        <w:ind w:left="1020" w:right="0" w:hanging="620"/>
        <w:jc w:val="both"/>
      </w:pPr>
      <w:bookmarkStart w:id="142" w:name="bookmark142"/>
      <w:bookmarkStart w:id="143" w:name="bookmark143"/>
      <w:bookmarkEnd w:id="142"/>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w:t>
      </w:r>
      <w:bookmarkEnd w:id="14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výstavby, apod.). Zhotovitel není oprávněn vznášet jakékoliv nároky vyplývající z absence jakéhokoliv takového povolení, souhlasu či schválení,</w:t>
      </w:r>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4"/>
      <w:bookmarkEnd w:id="145"/>
      <w:bookmarkEnd w:id="147"/>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8"/>
      <w:bookmarkEnd w:id="149"/>
      <w:bookmarkEnd w:id="151"/>
    </w:p>
    <w:p>
      <w:pPr>
        <w:pStyle w:val="Style5"/>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52"/>
      <w:bookmarkEnd w:id="153"/>
      <w:bookmarkEnd w:id="155"/>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6"/>
      <w:bookmarkEnd w:id="157"/>
      <w:bookmarkEnd w:id="159"/>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0"/>
      <w:bookmarkEnd w:id="161"/>
      <w:bookmarkEnd w:id="163"/>
    </w:p>
    <w:p>
      <w:pPr>
        <w:pStyle w:val="Style5"/>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4"/>
      <w:bookmarkEnd w:id="165"/>
      <w:bookmarkEnd w:id="167"/>
    </w:p>
    <w:p>
      <w:pPr>
        <w:pStyle w:val="Style5"/>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8"/>
      <w:bookmarkEnd w:id="169"/>
      <w:bookmarkEnd w:id="171"/>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2"/>
      <w:bookmarkEnd w:id="173"/>
      <w:bookmarkEnd w:id="175"/>
    </w:p>
    <w:p>
      <w:pPr>
        <w:pStyle w:val="Style5"/>
        <w:keepNext/>
        <w:keepLines/>
        <w:widowControl w:val="0"/>
        <w:numPr>
          <w:ilvl w:val="0"/>
          <w:numId w:val="3"/>
        </w:numPr>
        <w:shd w:val="clear" w:color="auto" w:fill="auto"/>
        <w:tabs>
          <w:tab w:pos="1050" w:val="left"/>
        </w:tabs>
        <w:bidi w:val="0"/>
        <w:spacing w:before="0" w:after="0" w:line="240" w:lineRule="auto"/>
        <w:ind w:left="1020" w:right="0" w:hanging="5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76"/>
      <w:bookmarkEnd w:id="177"/>
      <w:bookmarkEnd w:id="179"/>
    </w:p>
    <w:p>
      <w:pPr>
        <w:pStyle w:val="Style5"/>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80"/>
      <w:bookmarkEnd w:id="181"/>
      <w:bookmarkEnd w:id="183"/>
    </w:p>
    <w:p>
      <w:pPr>
        <w:pStyle w:val="Style5"/>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84"/>
      <w:bookmarkEnd w:id="185"/>
      <w:bookmarkEnd w:id="187"/>
    </w:p>
    <w:p>
      <w:pPr>
        <w:pStyle w:val="Style5"/>
        <w:keepNext/>
        <w:keepLines/>
        <w:widowControl w:val="0"/>
        <w:numPr>
          <w:ilvl w:val="0"/>
          <w:numId w:val="3"/>
        </w:numPr>
        <w:shd w:val="clear" w:color="auto" w:fill="auto"/>
        <w:tabs>
          <w:tab w:pos="1002" w:val="left"/>
        </w:tabs>
        <w:bidi w:val="0"/>
        <w:spacing w:before="0" w:after="120" w:line="240" w:lineRule="auto"/>
        <w:ind w:left="1020" w:right="0" w:hanging="580"/>
        <w:jc w:val="both"/>
      </w:pPr>
      <w:bookmarkStart w:id="188" w:name="bookmark188"/>
      <w:bookmarkStart w:id="189" w:name="bookmark189"/>
      <w:bookmarkStart w:id="190" w:name="bookmark190"/>
      <w:bookmarkStart w:id="191" w:name="bookmark191"/>
      <w:bookmarkStart w:id="192" w:name="bookmark192"/>
      <w:bookmarkEnd w:id="190"/>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8"/>
      <w:bookmarkEnd w:id="189"/>
      <w:bookmarkEnd w:id="191"/>
      <w:bookmarkEnd w:id="192"/>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bookmarkStart w:id="193" w:name="bookmark193"/>
      <w:bookmarkStart w:id="194" w:name="bookmark194"/>
      <w:bookmarkEnd w:id="19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w:t>
      </w:r>
      <w:bookmarkEnd w:id="19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jiné podmínky pro zhotovení díla a že disponuje takovými kapacitami a odbornými znalostmi, které jsou k plnění dle této smlouvy nezbytné.</w:t>
      </w:r>
    </w:p>
    <w:p>
      <w:pPr>
        <w:pStyle w:val="Style5"/>
        <w:keepNext/>
        <w:keepLines/>
        <w:widowControl w:val="0"/>
        <w:numPr>
          <w:ilvl w:val="0"/>
          <w:numId w:val="1"/>
        </w:numPr>
        <w:shd w:val="clear" w:color="auto" w:fill="auto"/>
        <w:tabs>
          <w:tab w:pos="382" w:val="left"/>
        </w:tabs>
        <w:bidi w:val="0"/>
        <w:spacing w:before="0" w:after="200" w:line="240" w:lineRule="auto"/>
        <w:ind w:right="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95"/>
      <w:bookmarkEnd w:id="196"/>
      <w:bookmarkEnd w:id="198"/>
    </w:p>
    <w:p>
      <w:pPr>
        <w:pStyle w:val="Style5"/>
        <w:keepNext/>
        <w:keepLines/>
        <w:widowControl w:val="0"/>
        <w:numPr>
          <w:ilvl w:val="0"/>
          <w:numId w:val="1"/>
        </w:numPr>
        <w:shd w:val="clear" w:color="auto" w:fill="auto"/>
        <w:tabs>
          <w:tab w:pos="382" w:val="left"/>
        </w:tabs>
        <w:bidi w:val="0"/>
        <w:spacing w:before="0" w:after="0" w:line="240" w:lineRule="auto"/>
        <w:ind w:right="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Objednatel předá zhotoviteli staveniště (nebo jeho ucelenou část) prosté práv třetích osob.</w:t>
      </w:r>
      <w:bookmarkEnd w:id="199"/>
      <w:bookmarkEnd w:id="200"/>
      <w:bookmarkEnd w:id="202"/>
    </w:p>
    <w:p>
      <w:pPr>
        <w:pStyle w:val="Style5"/>
        <w:keepNext/>
        <w:keepLines/>
        <w:widowControl w:val="0"/>
        <w:shd w:val="clear" w:color="auto" w:fill="auto"/>
        <w:bidi w:val="0"/>
        <w:spacing w:before="0" w:after="200" w:line="240" w:lineRule="auto"/>
        <w:ind w:right="0" w:firstLine="4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3"/>
      <w:bookmarkEnd w:id="204"/>
      <w:bookmarkEnd w:id="205"/>
    </w:p>
    <w:p>
      <w:pPr>
        <w:pStyle w:val="Style5"/>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V případě, že byl objednatelem určen koordinátor BOZP je zhotovitel povinen:</w:t>
      </w:r>
      <w:bookmarkEnd w:id="206"/>
      <w:bookmarkEnd w:id="207"/>
      <w:bookmarkEnd w:id="209"/>
    </w:p>
    <w:p>
      <w:pPr>
        <w:pStyle w:val="Style2"/>
        <w:keepNext w:val="0"/>
        <w:keepLines w:val="0"/>
        <w:widowControl w:val="0"/>
        <w:numPr>
          <w:ilvl w:val="0"/>
          <w:numId w:val="5"/>
        </w:numPr>
        <w:shd w:val="clear" w:color="auto" w:fill="auto"/>
        <w:tabs>
          <w:tab w:pos="772" w:val="left"/>
        </w:tabs>
        <w:bidi w:val="0"/>
        <w:spacing w:before="0" w:after="0" w:line="240" w:lineRule="auto"/>
        <w:ind w:left="380" w:right="0" w:firstLine="40"/>
        <w:jc w:val="both"/>
      </w:pPr>
      <w:bookmarkStart w:id="210" w:name="bookmark210"/>
      <w:bookmarkEnd w:id="210"/>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1" w:name="bookmark211"/>
      <w:bookmarkEnd w:id="21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Pro účely této smlouvy se rozumí:</w:t>
      </w:r>
      <w:bookmarkEnd w:id="212"/>
      <w:bookmarkEnd w:id="213"/>
      <w:bookmarkEnd w:id="215"/>
    </w:p>
    <w:p>
      <w:pPr>
        <w:pStyle w:val="Style2"/>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5"/>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Smluvní strany se dohodly na následujících lhůtách a podmínkách pro realizaci díla.</w:t>
      </w:r>
      <w:bookmarkEnd w:id="216"/>
      <w:bookmarkEnd w:id="217"/>
      <w:bookmarkEnd w:id="219"/>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0" w:name="bookmark220"/>
      <w:bookmarkEnd w:id="220"/>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převezme staveniště nejpozději do 30 kalendářních dní od nabytí účinnosti smlouvy o dílo.</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1" w:name="bookmark221"/>
      <w:bookmarkEnd w:id="221"/>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2" w:name="bookmark222"/>
      <w:bookmarkEnd w:id="222"/>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Nejpozději do 150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3" w:name="bookmark223"/>
      <w:bookmarkEnd w:id="223"/>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5"/>
        <w:keepNext/>
        <w:keepLines/>
        <w:widowControl w:val="0"/>
        <w:numPr>
          <w:ilvl w:val="0"/>
          <w:numId w:val="7"/>
        </w:numPr>
        <w:shd w:val="clear" w:color="auto" w:fill="auto"/>
        <w:tabs>
          <w:tab w:pos="382" w:val="left"/>
        </w:tabs>
        <w:bidi w:val="0"/>
        <w:spacing w:before="0" w:after="200" w:line="240" w:lineRule="auto"/>
        <w:ind w:right="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4"/>
      <w:bookmarkEnd w:id="225"/>
      <w:bookmarkEnd w:id="227"/>
    </w:p>
    <w:p>
      <w:pPr>
        <w:pStyle w:val="Style5"/>
        <w:keepNext/>
        <w:keepLines/>
        <w:widowControl w:val="0"/>
        <w:numPr>
          <w:ilvl w:val="0"/>
          <w:numId w:val="7"/>
        </w:numPr>
        <w:shd w:val="clear" w:color="auto" w:fill="auto"/>
        <w:tabs>
          <w:tab w:pos="371" w:val="left"/>
        </w:tabs>
        <w:bidi w:val="0"/>
        <w:spacing w:before="0" w:after="200" w:line="240" w:lineRule="auto"/>
        <w:ind w:left="300" w:right="0" w:hanging="3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8"/>
      <w:bookmarkEnd w:id="229"/>
      <w:bookmarkEnd w:id="231"/>
    </w:p>
    <w:p>
      <w:pPr>
        <w:pStyle w:val="Style5"/>
        <w:keepNext/>
        <w:keepLines/>
        <w:widowControl w:val="0"/>
        <w:numPr>
          <w:ilvl w:val="0"/>
          <w:numId w:val="7"/>
        </w:numPr>
        <w:shd w:val="clear" w:color="auto" w:fill="auto"/>
        <w:tabs>
          <w:tab w:pos="371" w:val="left"/>
        </w:tabs>
        <w:bidi w:val="0"/>
        <w:spacing w:before="0" w:after="120" w:line="240" w:lineRule="auto"/>
        <w:ind w:left="300" w:right="0" w:hanging="30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2"/>
      <w:bookmarkEnd w:id="233"/>
      <w:bookmarkEnd w:id="23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2"/>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71"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69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Celková smluvní cena bez DPH</w:t>
        <w:tab/>
        <w:t>2 395 093,07 Kč</w:t>
      </w: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71" w:val="left"/>
        </w:tabs>
        <w:bidi w:val="0"/>
        <w:spacing w:before="0" w:after="44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1" w:val="left"/>
        </w:tabs>
        <w:bidi w:val="0"/>
        <w:spacing w:before="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1"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3"/>
        </w:numPr>
        <w:shd w:val="clear" w:color="auto" w:fill="auto"/>
        <w:tabs>
          <w:tab w:pos="371"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3"/>
        </w:numPr>
        <w:shd w:val="clear" w:color="auto" w:fill="auto"/>
        <w:tabs>
          <w:tab w:pos="373" w:val="left"/>
        </w:tabs>
        <w:bidi w:val="0"/>
        <w:spacing w:before="0" w:after="24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3"/>
        </w:numPr>
        <w:shd w:val="clear" w:color="auto" w:fill="auto"/>
        <w:tabs>
          <w:tab w:pos="373" w:val="left"/>
        </w:tabs>
        <w:bidi w:val="0"/>
        <w:spacing w:before="0" w:after="24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3"/>
        </w:numPr>
        <w:shd w:val="clear" w:color="auto" w:fill="auto"/>
        <w:tabs>
          <w:tab w:pos="373" w:val="left"/>
        </w:tabs>
        <w:bidi w:val="0"/>
        <w:spacing w:before="0" w:after="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2"/>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442" w:val="left"/>
        </w:tabs>
        <w:bidi w:val="0"/>
        <w:spacing w:before="0" w:line="240" w:lineRule="auto"/>
        <w:ind w:left="0" w:right="0" w:firstLine="0"/>
        <w:jc w:val="left"/>
      </w:pPr>
      <w:bookmarkStart w:id="253" w:name="bookmark253"/>
      <w:bookmarkEnd w:id="253"/>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42"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3"/>
        </w:numPr>
        <w:shd w:val="clear" w:color="auto" w:fill="auto"/>
        <w:tabs>
          <w:tab w:pos="720" w:val="left"/>
        </w:tabs>
        <w:bidi w:val="0"/>
        <w:spacing w:before="0" w:after="0" w:line="240" w:lineRule="auto"/>
        <w:ind w:left="300" w:right="0" w:hanging="300"/>
        <w:jc w:val="both"/>
      </w:pPr>
      <w:bookmarkStart w:id="255" w:name="bookmark255"/>
      <w:bookmarkEnd w:id="25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448"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94" w:val="left"/>
        </w:tabs>
        <w:bidi w:val="0"/>
        <w:spacing w:before="0" w:after="44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74" w:val="left"/>
        </w:tabs>
        <w:bidi w:val="0"/>
        <w:spacing w:before="0" w:after="0" w:line="240" w:lineRule="auto"/>
        <w:ind w:left="0" w:right="0" w:firstLine="0"/>
        <w:jc w:val="both"/>
      </w:pPr>
      <w:bookmarkStart w:id="272" w:name="bookmark272"/>
      <w:bookmarkEnd w:id="272"/>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273" w:name="bookmark273"/>
      <w:bookmarkEnd w:id="273"/>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74" w:name="bookmark274"/>
      <w:bookmarkEnd w:id="27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275" w:name="bookmark275"/>
      <w:bookmarkEnd w:id="27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74" w:val="left"/>
        </w:tabs>
        <w:bidi w:val="0"/>
        <w:spacing w:before="0" w:line="240" w:lineRule="auto"/>
        <w:ind w:left="0" w:right="0" w:firstLine="0"/>
        <w:jc w:val="both"/>
      </w:pPr>
      <w:bookmarkStart w:id="276" w:name="bookmark276"/>
      <w:bookmarkEnd w:id="276"/>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5"/>
        <w:keepNext/>
        <w:keepLines/>
        <w:widowControl w:val="0"/>
        <w:numPr>
          <w:ilvl w:val="0"/>
          <w:numId w:val="17"/>
        </w:numPr>
        <w:shd w:val="clear" w:color="auto" w:fill="auto"/>
        <w:tabs>
          <w:tab w:pos="374" w:val="left"/>
        </w:tabs>
        <w:bidi w:val="0"/>
        <w:spacing w:before="0" w:after="120" w:line="240" w:lineRule="auto"/>
        <w:ind w:right="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w:t>
      </w:r>
      <w:bookmarkEnd w:id="277"/>
      <w:bookmarkEnd w:id="278"/>
      <w:bookmarkEnd w:id="280"/>
      <w:r>
        <w:rPr>
          <w:color w:val="000000"/>
          <w:spacing w:val="0"/>
          <w:w w:val="100"/>
          <w:position w:val="0"/>
          <w:shd w:val="clear" w:color="auto" w:fill="auto"/>
          <w:lang w:val="cs-CZ" w:eastAsia="cs-CZ" w:bidi="cs-CZ"/>
        </w:rPr>
        <w:t xml:space="preserve"> </w:t>
      </w:r>
      <w:r>
        <w:rPr>
          <w:rStyle w:val="CharStyle3"/>
        </w:rPr>
        <w:t>vady ve výše uvedených termínech, je povinen uhradit objednateli smluvní pokutu dle smluvního ujednání.</w:t>
      </w:r>
    </w:p>
    <w:p>
      <w:pPr>
        <w:pStyle w:val="Style5"/>
        <w:keepNext/>
        <w:keepLines/>
        <w:widowControl w:val="0"/>
        <w:numPr>
          <w:ilvl w:val="0"/>
          <w:numId w:val="17"/>
        </w:numPr>
        <w:shd w:val="clear" w:color="auto" w:fill="auto"/>
        <w:tabs>
          <w:tab w:pos="360" w:val="left"/>
        </w:tabs>
        <w:bidi w:val="0"/>
        <w:spacing w:before="0" w:after="120" w:line="240" w:lineRule="auto"/>
        <w:ind w:right="0"/>
        <w:jc w:val="left"/>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81"/>
      <w:bookmarkEnd w:id="282"/>
      <w:bookmarkEnd w:id="284"/>
    </w:p>
    <w:p>
      <w:pPr>
        <w:pStyle w:val="Style5"/>
        <w:keepNext/>
        <w:keepLines/>
        <w:widowControl w:val="0"/>
        <w:numPr>
          <w:ilvl w:val="0"/>
          <w:numId w:val="17"/>
        </w:numPr>
        <w:shd w:val="clear" w:color="auto" w:fill="auto"/>
        <w:tabs>
          <w:tab w:pos="360" w:val="left"/>
        </w:tabs>
        <w:bidi w:val="0"/>
        <w:spacing w:before="0" w:after="120" w:line="240" w:lineRule="auto"/>
        <w:ind w:right="0"/>
        <w:jc w:val="left"/>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85"/>
      <w:bookmarkEnd w:id="286"/>
      <w:bookmarkEnd w:id="28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1"/>
        </w:numPr>
        <w:shd w:val="clear" w:color="auto" w:fill="auto"/>
        <w:tabs>
          <w:tab w:pos="360" w:val="left"/>
        </w:tabs>
        <w:bidi w:val="0"/>
        <w:spacing w:before="0" w:after="400" w:line="240" w:lineRule="auto"/>
        <w:ind w:right="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0"/>
      <w:bookmarkEnd w:id="291"/>
      <w:bookmarkEnd w:id="29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60" w:val="left"/>
        </w:tabs>
        <w:bidi w:val="0"/>
        <w:spacing w:before="0" w:after="2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3"/>
        </w:numPr>
        <w:shd w:val="clear" w:color="auto" w:fill="auto"/>
        <w:tabs>
          <w:tab w:pos="360" w:val="left"/>
        </w:tabs>
        <w:bidi w:val="0"/>
        <w:spacing w:before="0" w:after="400" w:line="240" w:lineRule="auto"/>
        <w:ind w:right="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7"/>
      <w:bookmarkEnd w:id="298"/>
      <w:bookmarkEnd w:id="300"/>
    </w:p>
    <w:p>
      <w:pPr>
        <w:pStyle w:val="Style2"/>
        <w:keepNext w:val="0"/>
        <w:keepLines w:val="0"/>
        <w:widowControl w:val="0"/>
        <w:numPr>
          <w:ilvl w:val="0"/>
          <w:numId w:val="23"/>
        </w:numPr>
        <w:shd w:val="clear" w:color="auto" w:fill="auto"/>
        <w:tabs>
          <w:tab w:pos="360" w:val="left"/>
        </w:tabs>
        <w:bidi w:val="0"/>
        <w:spacing w:before="0" w:after="0" w:line="240" w:lineRule="auto"/>
        <w:ind w:left="380" w:right="0" w:hanging="380"/>
        <w:jc w:val="both"/>
      </w:pPr>
      <w:bookmarkStart w:id="301" w:name="bookmark301"/>
      <w:bookmarkStart w:id="302" w:name="bookmark302"/>
      <w:bookmarkEnd w:id="301"/>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w:t>
      </w:r>
      <w:bookmarkEnd w:id="30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prací nebo jinými povinnostmi zhotovitele dle této smlouvy. Harmonogram bude vypracován v souladu s přílohou č. 6 této smlouvy.</w:t>
      </w:r>
    </w:p>
    <w:p>
      <w:pPr>
        <w:pStyle w:val="Style5"/>
        <w:keepNext/>
        <w:keepLines/>
        <w:widowControl w:val="0"/>
        <w:numPr>
          <w:ilvl w:val="0"/>
          <w:numId w:val="23"/>
        </w:numPr>
        <w:shd w:val="clear" w:color="auto" w:fill="auto"/>
        <w:tabs>
          <w:tab w:pos="358" w:val="left"/>
        </w:tabs>
        <w:bidi w:val="0"/>
        <w:spacing w:before="0" w:after="200" w:line="240" w:lineRule="auto"/>
        <w:ind w:right="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303"/>
      <w:bookmarkEnd w:id="304"/>
      <w:bookmarkEnd w:id="306"/>
    </w:p>
    <w:p>
      <w:pPr>
        <w:pStyle w:val="Style5"/>
        <w:keepNext/>
        <w:keepLines/>
        <w:widowControl w:val="0"/>
        <w:shd w:val="clear" w:color="auto" w:fill="auto"/>
        <w:bidi w:val="0"/>
        <w:spacing w:before="0" w:after="60" w:line="240" w:lineRule="auto"/>
        <w:ind w:left="0" w:right="0" w:firstLine="0"/>
        <w:jc w:val="center"/>
      </w:pPr>
      <w:bookmarkStart w:id="307" w:name="bookmark307"/>
      <w:bookmarkStart w:id="308" w:name="bookmark308"/>
      <w:bookmarkStart w:id="309" w:name="bookmark309"/>
      <w:r>
        <w:rPr>
          <w:b/>
          <w:bCs/>
          <w:color w:val="000000"/>
          <w:spacing w:val="0"/>
          <w:w w:val="100"/>
          <w:position w:val="0"/>
          <w:shd w:val="clear" w:color="auto" w:fill="auto"/>
          <w:lang w:val="cs-CZ" w:eastAsia="cs-CZ" w:bidi="cs-CZ"/>
        </w:rPr>
        <w:t>Čl. IX. ZÁVĚREČNÁ USTANOVENÍ</w:t>
      </w:r>
      <w:bookmarkEnd w:id="307"/>
      <w:bookmarkEnd w:id="308"/>
      <w:bookmarkEnd w:id="309"/>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313"/>
      <w:bookmarkEnd w:id="314"/>
      <w:bookmarkEnd w:id="316"/>
    </w:p>
    <w:p>
      <w:pPr>
        <w:pStyle w:val="Style5"/>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bezdůvodném přerušení prací zhotovitelem, které trvá více než 14 dnů,</w:t>
      </w:r>
      <w:bookmarkEnd w:id="317"/>
      <w:bookmarkEnd w:id="318"/>
      <w:bookmarkEnd w:id="320"/>
    </w:p>
    <w:p>
      <w:pPr>
        <w:pStyle w:val="Style5"/>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1"/>
      <w:bookmarkEnd w:id="322"/>
      <w:bookmarkEnd w:id="324"/>
    </w:p>
    <w:p>
      <w:pPr>
        <w:pStyle w:val="Style5"/>
        <w:keepNext/>
        <w:keepLines/>
        <w:widowControl w:val="0"/>
        <w:numPr>
          <w:ilvl w:val="0"/>
          <w:numId w:val="27"/>
        </w:numPr>
        <w:shd w:val="clear" w:color="auto" w:fill="auto"/>
        <w:tabs>
          <w:tab w:pos="1179" w:val="left"/>
        </w:tabs>
        <w:bidi w:val="0"/>
        <w:spacing w:before="0" w:after="320" w:line="240" w:lineRule="auto"/>
        <w:ind w:left="0" w:right="0" w:firstLine="800"/>
        <w:jc w:val="left"/>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neplněním povinností zhotovitele vést řádně zápisy do stavebního deníku.</w:t>
      </w:r>
      <w:bookmarkEnd w:id="325"/>
      <w:bookmarkEnd w:id="326"/>
      <w:bookmarkEnd w:id="328"/>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s>
        <w:bidi w:val="0"/>
        <w:spacing w:before="0" w:after="0" w:line="240" w:lineRule="auto"/>
        <w:ind w:left="0" w:right="0" w:firstLine="0"/>
        <w:jc w:val="left"/>
      </w:pPr>
      <w:bookmarkStart w:id="334" w:name="bookmark334"/>
      <w:bookmarkEnd w:id="334"/>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83" w:val="left"/>
        </w:tabs>
        <w:bidi w:val="0"/>
        <w:spacing w:before="0" w:after="60" w:line="240" w:lineRule="auto"/>
        <w:ind w:left="380" w:right="0" w:hanging="380"/>
        <w:jc w:val="left"/>
      </w:pPr>
      <w:bookmarkStart w:id="335" w:name="bookmark335"/>
      <w:bookmarkEnd w:id="33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83" w:val="left"/>
        </w:tabs>
        <w:bidi w:val="0"/>
        <w:spacing w:before="0" w:line="240" w:lineRule="auto"/>
        <w:ind w:left="380" w:right="0" w:hanging="380"/>
        <w:jc w:val="left"/>
      </w:pPr>
      <w:bookmarkStart w:id="336" w:name="bookmark336"/>
      <w:bookmarkEnd w:id="33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2"/>
        <w:keepNext w:val="0"/>
        <w:keepLines w:val="0"/>
        <w:widowControl w:val="0"/>
        <w:numPr>
          <w:ilvl w:val="0"/>
          <w:numId w:val="25"/>
        </w:numPr>
        <w:shd w:val="clear" w:color="auto" w:fill="auto"/>
        <w:tabs>
          <w:tab w:pos="483" w:val="left"/>
        </w:tabs>
        <w:bidi w:val="0"/>
        <w:spacing w:before="0" w:after="0" w:line="240" w:lineRule="auto"/>
        <w:ind w:left="0" w:right="0" w:firstLine="0"/>
        <w:jc w:val="left"/>
      </w:pPr>
      <w:bookmarkStart w:id="337" w:name="bookmark337"/>
      <w:bookmarkEnd w:id="33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numPr>
          <w:ilvl w:val="0"/>
          <w:numId w:val="25"/>
        </w:numPr>
        <w:shd w:val="clear" w:color="auto" w:fill="auto"/>
        <w:tabs>
          <w:tab w:pos="483"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83" w:val="left"/>
        </w:tabs>
        <w:bidi w:val="0"/>
        <w:spacing w:before="0" w:after="60" w:line="240" w:lineRule="auto"/>
        <w:ind w:left="380" w:right="0" w:hanging="380"/>
        <w:jc w:val="both"/>
      </w:pPr>
      <w:bookmarkStart w:id="339" w:name="bookmark339"/>
      <w:bookmarkEnd w:id="33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83" w:val="left"/>
        </w:tabs>
        <w:bidi w:val="0"/>
        <w:spacing w:before="0" w:after="260" w:line="288" w:lineRule="auto"/>
        <w:ind w:left="380" w:right="0" w:hanging="380"/>
        <w:jc w:val="both"/>
      </w:pPr>
      <w:bookmarkStart w:id="340" w:name="bookmark340"/>
      <w:bookmarkEnd w:id="34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„PPO Nová Role - PB a LB ochranná hráz s nájezdovou rampou“, zpracovaná ENVISYSTEM, s.r.o., U Nikolajky 15, 150 00 Praha 5, IČO 48585904, ze 06/2024</w:t>
      </w:r>
    </w:p>
    <w:p>
      <w:pPr>
        <w:pStyle w:val="Style2"/>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160" w:line="240" w:lineRule="auto"/>
        <w:ind w:left="380" w:right="0" w:firstLine="0"/>
        <w:jc w:val="left"/>
      </w:pPr>
      <w:r>
        <w:rPr>
          <w:color w:val="000000"/>
          <w:spacing w:val="0"/>
          <w:w w:val="100"/>
          <w:position w:val="0"/>
          <w:shd w:val="clear" w:color="auto" w:fill="auto"/>
          <w:lang w:val="cs-CZ" w:eastAsia="cs-CZ" w:bidi="cs-CZ"/>
        </w:rPr>
        <w:t>Priorita 1) Příloha č.5: Čestné prohlášení o neexistenci střetu zájmů</w:t>
      </w:r>
    </w:p>
    <w:p>
      <w:pPr>
        <w:pStyle w:val="Style5"/>
        <w:keepNext/>
        <w:keepLines/>
        <w:widowControl w:val="0"/>
        <w:shd w:val="clear" w:color="auto" w:fill="auto"/>
        <w:bidi w:val="0"/>
        <w:spacing w:before="0" w:after="2400" w:line="240" w:lineRule="auto"/>
        <w:ind w:right="0" w:firstLine="0"/>
        <w:jc w:val="left"/>
      </w:pPr>
      <w:bookmarkStart w:id="341" w:name="bookmark341"/>
      <w:bookmarkStart w:id="342" w:name="bookmark342"/>
      <w:bookmarkStart w:id="343" w:name="bookmark343"/>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341"/>
      <w:bookmarkEnd w:id="342"/>
      <w:bookmarkEnd w:id="343"/>
    </w:p>
    <w:p>
      <w:pPr>
        <w:pStyle w:val="Style2"/>
        <w:keepNext w:val="0"/>
        <w:keepLines w:val="0"/>
        <w:widowControl w:val="0"/>
        <w:shd w:val="clear" w:color="auto" w:fill="auto"/>
        <w:bidi w:val="0"/>
        <w:spacing w:before="0" w:after="10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524510" cy="225425"/>
                <wp:wrapSquare wrapText="left"/>
                <wp:docPr id="1" name="Shape 1"/>
                <a:graphic xmlns:a="http://schemas.openxmlformats.org/drawingml/2006/main">
                  <a:graphicData uri="http://schemas.microsoft.com/office/word/2010/wordprocessingShape">
                    <wps:wsp>
                      <wps:cNvSpPr txBox="1"/>
                      <wps:spPr>
                        <a:xfrm>
                          <a:ext cx="5245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69999999999999pt;margin-top:1.pt;width:41.300000000000004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r>
        <w:br w:type="page"/>
      </w:r>
    </w:p>
    <w:p>
      <w:pPr>
        <w:pStyle w:val="Style2"/>
        <w:keepNext w:val="0"/>
        <w:keepLines w:val="0"/>
        <w:widowControl w:val="0"/>
        <w:shd w:val="clear" w:color="auto" w:fill="auto"/>
        <w:bidi w:val="0"/>
        <w:spacing w:before="0" w:after="0" w:line="497" w:lineRule="auto"/>
        <w:ind w:left="30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4085590</wp:posOffset>
                </wp:positionH>
                <wp:positionV relativeFrom="margin">
                  <wp:posOffset>76200</wp:posOffset>
                </wp:positionV>
                <wp:extent cx="1380490" cy="709930"/>
                <wp:wrapSquare wrapText="left"/>
                <wp:docPr id="3" name="Shape 3"/>
                <a:graphic xmlns:a="http://schemas.openxmlformats.org/drawingml/2006/main">
                  <a:graphicData uri="http://schemas.microsoft.com/office/word/2010/wordprocessingShape">
                    <wps:wsp>
                      <wps:cNvSpPr txBox="1"/>
                      <wps:spPr>
                        <a:xfrm>
                          <a:ext cx="1380490" cy="709930"/>
                        </a:xfrm>
                        <a:prstGeom prst="rect"/>
                        <a:noFill/>
                      </wps:spPr>
                      <wps:txbx>
                        <w:txbxContent>
                          <w:p>
                            <w:pPr>
                              <w:pStyle w:val="Style2"/>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 id="_x0000_s1029" type="#_x0000_t202" style="position:absolute;margin-left:321.69999999999999pt;margin-top:6.pt;width:108.7pt;height:55.899999999999999pt;z-index:-125829373;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Bauvant s.r.o. elektronicky podepsa</w:t>
                      </w:r>
                      <w:r>
                        <w:rPr>
                          <w:color w:val="000000"/>
                          <w:spacing w:val="0"/>
                          <w:w w:val="100"/>
                          <w:position w:val="0"/>
                          <w:sz w:val="24"/>
                          <w:szCs w:val="24"/>
                          <w:shd w:val="clear" w:color="auto" w:fill="auto"/>
                          <w:lang w:val="cs-CZ" w:eastAsia="cs-CZ" w:bidi="cs-CZ"/>
                        </w:rPr>
                        <w:t>l</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74" w:left="1370" w:right="1283" w:bottom="129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9923145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3" type="#_x0000_t202" style="position:absolute;margin-left:447.69999999999999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377190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3.94999999999999pt;margin-top:29.69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