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DEB" w14:textId="77777777" w:rsidR="00E61383" w:rsidRDefault="00000000">
      <w:pPr>
        <w:spacing w:after="90" w:line="265" w:lineRule="auto"/>
        <w:ind w:left="10" w:right="8"/>
        <w:jc w:val="center"/>
      </w:pPr>
      <w:r>
        <w:rPr>
          <w:b/>
        </w:rPr>
        <w:t xml:space="preserve">Dodatek č. 2     </w:t>
      </w:r>
    </w:p>
    <w:p w14:paraId="0ACEACE8" w14:textId="77777777" w:rsidR="00E61383" w:rsidRDefault="00000000">
      <w:pPr>
        <w:spacing w:after="90" w:line="265" w:lineRule="auto"/>
        <w:ind w:left="10" w:right="5"/>
        <w:jc w:val="center"/>
      </w:pPr>
      <w:r>
        <w:rPr>
          <w:b/>
        </w:rPr>
        <w:t xml:space="preserve">k Příkazní smlouvě na výkon TDS a koordinátora BOZP ze dne 30.7.2025  </w:t>
      </w:r>
    </w:p>
    <w:p w14:paraId="35CBEF90" w14:textId="77777777" w:rsidR="00E61383" w:rsidRDefault="00000000">
      <w:pPr>
        <w:spacing w:after="448" w:line="265" w:lineRule="auto"/>
        <w:ind w:left="10" w:right="5"/>
        <w:jc w:val="center"/>
      </w:pPr>
      <w:r>
        <w:rPr>
          <w:b/>
        </w:rPr>
        <w:t xml:space="preserve">(dále jen „Dodatek“) </w:t>
      </w:r>
    </w:p>
    <w:p w14:paraId="6BB23263" w14:textId="77777777" w:rsidR="00E61383" w:rsidRDefault="00000000">
      <w:pPr>
        <w:spacing w:after="0" w:line="259" w:lineRule="auto"/>
        <w:ind w:left="10" w:right="3"/>
        <w:jc w:val="center"/>
      </w:pPr>
      <w:r>
        <w:rPr>
          <w:b/>
        </w:rPr>
        <w:t xml:space="preserve">I. </w:t>
      </w:r>
    </w:p>
    <w:p w14:paraId="2E440052" w14:textId="77777777" w:rsidR="00E61383" w:rsidRDefault="00000000">
      <w:pPr>
        <w:spacing w:after="211" w:line="265" w:lineRule="auto"/>
        <w:ind w:left="10" w:right="3"/>
        <w:jc w:val="center"/>
      </w:pPr>
      <w:r>
        <w:rPr>
          <w:b/>
        </w:rPr>
        <w:t xml:space="preserve">Smluvní strany </w:t>
      </w:r>
    </w:p>
    <w:p w14:paraId="01CD031D" w14:textId="77777777" w:rsidR="00E61383" w:rsidRDefault="00000000">
      <w:pPr>
        <w:numPr>
          <w:ilvl w:val="0"/>
          <w:numId w:val="1"/>
        </w:numPr>
        <w:spacing w:after="13" w:line="237" w:lineRule="auto"/>
        <w:ind w:hanging="358"/>
        <w:jc w:val="left"/>
      </w:pPr>
      <w:r>
        <w:rPr>
          <w:b/>
        </w:rPr>
        <w:t xml:space="preserve">Základní škola a Mateřská škola pro sluchově postižené a vady řeči, Ostrava – Poruba, příspěvková organizace </w:t>
      </w:r>
    </w:p>
    <w:p w14:paraId="30FD214A" w14:textId="77777777" w:rsidR="00E61383" w:rsidRDefault="00000000">
      <w:pPr>
        <w:tabs>
          <w:tab w:val="center" w:pos="849"/>
          <w:tab w:val="center" w:pos="4784"/>
          <w:tab w:val="center" w:pos="7801"/>
          <w:tab w:val="center" w:pos="851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se </w:t>
      </w:r>
      <w:proofErr w:type="gramStart"/>
      <w:r>
        <w:t xml:space="preserve">sídlem:  </w:t>
      </w:r>
      <w:r>
        <w:tab/>
      </w:r>
      <w:proofErr w:type="gramEnd"/>
      <w:r>
        <w:t xml:space="preserve">Spartakovců 1153/5, 708 00 </w:t>
      </w:r>
      <w:proofErr w:type="gramStart"/>
      <w:r>
        <w:t>Ostrava - Poruba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</w:p>
    <w:p w14:paraId="79F2DEBC" w14:textId="77777777" w:rsidR="00E61383" w:rsidRDefault="00000000">
      <w:pPr>
        <w:tabs>
          <w:tab w:val="center" w:pos="949"/>
          <w:tab w:val="center" w:pos="429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zastoupena: </w:t>
      </w:r>
      <w:r>
        <w:tab/>
        <w:t xml:space="preserve">Mgr. Bohumilem Vaňkem, ředitelem </w:t>
      </w:r>
    </w:p>
    <w:p w14:paraId="7557D4BE" w14:textId="77777777" w:rsidR="00E61383" w:rsidRDefault="00000000">
      <w:pPr>
        <w:tabs>
          <w:tab w:val="center" w:pos="582"/>
          <w:tab w:val="center" w:pos="3032"/>
          <w:tab w:val="center" w:pos="425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IČO: </w:t>
      </w:r>
      <w:r>
        <w:tab/>
        <w:t xml:space="preserve">00601985  </w:t>
      </w:r>
      <w:r>
        <w:tab/>
        <w:t xml:space="preserve"> </w:t>
      </w:r>
    </w:p>
    <w:p w14:paraId="4ED0B30B" w14:textId="5E814C72" w:rsidR="00B40761" w:rsidRDefault="00000000" w:rsidP="00B40761">
      <w:pPr>
        <w:spacing w:after="0" w:line="240" w:lineRule="auto"/>
        <w:ind w:left="355" w:right="4312" w:hanging="11"/>
        <w:jc w:val="left"/>
      </w:pPr>
      <w:r>
        <w:t xml:space="preserve">DIČ: </w:t>
      </w:r>
      <w:r>
        <w:tab/>
      </w:r>
      <w:r w:rsidR="00B40761">
        <w:t xml:space="preserve">                </w:t>
      </w:r>
      <w:r>
        <w:t xml:space="preserve">není plátce DPH  </w:t>
      </w:r>
      <w:r>
        <w:tab/>
        <w:t xml:space="preserve"> </w:t>
      </w:r>
    </w:p>
    <w:p w14:paraId="68B967B7" w14:textId="0D18A394" w:rsidR="00B40761" w:rsidRDefault="00000000" w:rsidP="00B40761">
      <w:pPr>
        <w:spacing w:after="0" w:line="240" w:lineRule="auto"/>
        <w:ind w:left="355" w:right="4312" w:hanging="11"/>
        <w:jc w:val="left"/>
      </w:pPr>
      <w:r>
        <w:t xml:space="preserve">bankovní </w:t>
      </w:r>
      <w:proofErr w:type="gramStart"/>
      <w:r>
        <w:t xml:space="preserve">spojení:  </w:t>
      </w:r>
      <w:r w:rsidR="00B40761">
        <w:t xml:space="preserve"> </w:t>
      </w:r>
      <w:proofErr w:type="gramEnd"/>
      <w:r w:rsidR="00B40761">
        <w:t xml:space="preserve">    </w:t>
      </w:r>
      <w:r>
        <w:t xml:space="preserve">Komerční </w:t>
      </w:r>
      <w:proofErr w:type="spellStart"/>
      <w:proofErr w:type="gramStart"/>
      <w:r>
        <w:t>banka</w:t>
      </w:r>
      <w:r w:rsidR="00B40761">
        <w:t>,a.s</w:t>
      </w:r>
      <w:proofErr w:type="spellEnd"/>
      <w:r w:rsidR="00B40761">
        <w:t>.</w:t>
      </w:r>
      <w:proofErr w:type="gramEnd"/>
    </w:p>
    <w:p w14:paraId="6781BF89" w14:textId="6CB01183" w:rsidR="00B40761" w:rsidRDefault="00000000" w:rsidP="00B40761">
      <w:pPr>
        <w:spacing w:after="0" w:line="240" w:lineRule="auto"/>
        <w:ind w:left="355" w:right="4312" w:hanging="11"/>
        <w:jc w:val="left"/>
      </w:pPr>
      <w:r>
        <w:t xml:space="preserve">číslo </w:t>
      </w:r>
      <w:proofErr w:type="gramStart"/>
      <w:r>
        <w:t xml:space="preserve">účtu:  </w:t>
      </w:r>
      <w:r>
        <w:tab/>
      </w:r>
      <w:proofErr w:type="gramEnd"/>
      <w:r w:rsidR="00B40761">
        <w:t xml:space="preserve">      </w:t>
      </w:r>
      <w:r w:rsidRPr="00B40761">
        <w:rPr>
          <w:highlight w:val="black"/>
        </w:rPr>
        <w:t>12334761 /0100</w:t>
      </w:r>
      <w:r>
        <w:t xml:space="preserve">  </w:t>
      </w:r>
    </w:p>
    <w:p w14:paraId="4589865E" w14:textId="0D920F7E" w:rsidR="00E61383" w:rsidRDefault="00000000" w:rsidP="00B40761">
      <w:pPr>
        <w:spacing w:after="0" w:line="240" w:lineRule="auto"/>
        <w:ind w:left="355" w:right="4312" w:hanging="11"/>
        <w:jc w:val="left"/>
      </w:pPr>
      <w:r>
        <w:t xml:space="preserve">datová schránka: </w:t>
      </w:r>
      <w:r>
        <w:tab/>
      </w:r>
      <w:r w:rsidR="00B40761">
        <w:t xml:space="preserve">      </w:t>
      </w:r>
      <w:r>
        <w:t xml:space="preserve">d2ifcii </w:t>
      </w:r>
    </w:p>
    <w:p w14:paraId="47F49C0A" w14:textId="77777777" w:rsidR="00E61383" w:rsidRDefault="00000000" w:rsidP="00B40761">
      <w:pPr>
        <w:spacing w:after="0" w:line="240" w:lineRule="auto"/>
        <w:ind w:left="353" w:hanging="11"/>
      </w:pPr>
      <w:r>
        <w:t xml:space="preserve">Osoba oprávněná jednat ve věcech realizace stavby: </w:t>
      </w:r>
    </w:p>
    <w:p w14:paraId="0E1307F3" w14:textId="77777777" w:rsidR="00E61383" w:rsidRDefault="00000000" w:rsidP="00B40761">
      <w:pPr>
        <w:spacing w:after="0" w:line="240" w:lineRule="auto"/>
        <w:ind w:left="353" w:hanging="11"/>
        <w:jc w:val="left"/>
      </w:pPr>
      <w:r>
        <w:t xml:space="preserve">Mgr. Bohumil Vaněk, tel: 606 850 155, 595 694 547  </w:t>
      </w:r>
    </w:p>
    <w:p w14:paraId="0B24A05D" w14:textId="77777777" w:rsidR="00E61383" w:rsidRDefault="00000000" w:rsidP="00B40761">
      <w:pPr>
        <w:spacing w:after="0" w:line="240" w:lineRule="auto"/>
        <w:ind w:left="353" w:hanging="11"/>
      </w:pPr>
      <w:r>
        <w:t xml:space="preserve">(dále jen „příkazce“) </w:t>
      </w:r>
    </w:p>
    <w:p w14:paraId="1728D446" w14:textId="77777777" w:rsidR="00E61383" w:rsidRDefault="00000000">
      <w:pPr>
        <w:numPr>
          <w:ilvl w:val="0"/>
          <w:numId w:val="1"/>
        </w:numPr>
        <w:spacing w:after="0" w:line="259" w:lineRule="auto"/>
        <w:ind w:hanging="358"/>
        <w:jc w:val="left"/>
      </w:pPr>
      <w:proofErr w:type="spellStart"/>
      <w:r>
        <w:rPr>
          <w:b/>
        </w:rPr>
        <w:t>Flagro</w:t>
      </w:r>
      <w:proofErr w:type="spellEnd"/>
      <w:r>
        <w:rPr>
          <w:b/>
        </w:rPr>
        <w:t>, a.s.</w:t>
      </w:r>
      <w:r>
        <w:t xml:space="preserve"> </w:t>
      </w:r>
    </w:p>
    <w:p w14:paraId="33B71900" w14:textId="41390655" w:rsidR="00B40761" w:rsidRDefault="00000000">
      <w:pPr>
        <w:ind w:left="353" w:right="734"/>
      </w:pPr>
      <w:r>
        <w:t xml:space="preserve">se sídlem: </w:t>
      </w:r>
      <w:r>
        <w:tab/>
      </w:r>
      <w:r w:rsidR="00B40761">
        <w:tab/>
      </w:r>
      <w:r>
        <w:t xml:space="preserve">Špálova 80/9, Ostrava – Přívoz  </w:t>
      </w:r>
      <w:r>
        <w:tab/>
        <w:t xml:space="preserve"> </w:t>
      </w:r>
      <w:r>
        <w:tab/>
        <w:t xml:space="preserve"> </w:t>
      </w:r>
    </w:p>
    <w:p w14:paraId="146435A8" w14:textId="4667BD50" w:rsidR="00E61383" w:rsidRDefault="00000000">
      <w:pPr>
        <w:ind w:left="353" w:right="734"/>
      </w:pPr>
      <w:r>
        <w:t>zastoupena:</w:t>
      </w:r>
      <w:r w:rsidR="00B40761">
        <w:tab/>
      </w:r>
      <w:r>
        <w:t xml:space="preserve">Ing. Vladislav Varmuža, Ph.D.  </w:t>
      </w:r>
      <w:r>
        <w:tab/>
        <w:t xml:space="preserve"> </w:t>
      </w:r>
    </w:p>
    <w:p w14:paraId="42DE86F7" w14:textId="14D68B38" w:rsidR="00B40761" w:rsidRDefault="00000000">
      <w:pPr>
        <w:spacing w:line="247" w:lineRule="auto"/>
        <w:ind w:left="355" w:right="4312"/>
        <w:jc w:val="left"/>
      </w:pPr>
      <w:r>
        <w:t xml:space="preserve">IČO: </w:t>
      </w:r>
      <w:r>
        <w:tab/>
      </w:r>
      <w:r w:rsidR="00B40761">
        <w:tab/>
      </w:r>
      <w:r>
        <w:t xml:space="preserve">28644344  </w:t>
      </w:r>
      <w:r>
        <w:tab/>
        <w:t xml:space="preserve"> </w:t>
      </w:r>
    </w:p>
    <w:p w14:paraId="2409F05D" w14:textId="534CDA83" w:rsidR="00B40761" w:rsidRDefault="00000000">
      <w:pPr>
        <w:spacing w:line="247" w:lineRule="auto"/>
        <w:ind w:left="355" w:right="4312"/>
        <w:jc w:val="left"/>
      </w:pPr>
      <w:r>
        <w:t xml:space="preserve">DIČ: </w:t>
      </w:r>
      <w:r>
        <w:tab/>
      </w:r>
      <w:r w:rsidR="00B40761">
        <w:tab/>
      </w:r>
      <w:r>
        <w:t xml:space="preserve">CZ 28644344 </w:t>
      </w:r>
    </w:p>
    <w:p w14:paraId="636B38A8" w14:textId="6DEC79CF" w:rsidR="00E61383" w:rsidRDefault="00000000">
      <w:pPr>
        <w:spacing w:line="247" w:lineRule="auto"/>
        <w:ind w:left="355" w:right="4312"/>
        <w:jc w:val="left"/>
      </w:pPr>
      <w:r>
        <w:t xml:space="preserve">bankovní spojení: </w:t>
      </w:r>
      <w:r>
        <w:tab/>
        <w:t xml:space="preserve">ČSOB, a.s.  </w:t>
      </w:r>
    </w:p>
    <w:p w14:paraId="236981F0" w14:textId="77777777" w:rsidR="00E61383" w:rsidRDefault="00000000">
      <w:pPr>
        <w:tabs>
          <w:tab w:val="center" w:pos="852"/>
          <w:tab w:val="center" w:pos="3374"/>
          <w:tab w:val="center" w:pos="496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číslo účtu: </w:t>
      </w:r>
      <w:r>
        <w:tab/>
      </w:r>
      <w:r w:rsidRPr="00B40761">
        <w:rPr>
          <w:highlight w:val="black"/>
        </w:rPr>
        <w:t>284541502/0300</w:t>
      </w:r>
      <w:r>
        <w:t xml:space="preserve">  </w:t>
      </w:r>
      <w:r>
        <w:tab/>
        <w:t xml:space="preserve"> </w:t>
      </w:r>
    </w:p>
    <w:p w14:paraId="21AAA629" w14:textId="77777777" w:rsidR="00E61383" w:rsidRDefault="00000000">
      <w:pPr>
        <w:tabs>
          <w:tab w:val="center" w:pos="1191"/>
          <w:tab w:val="center" w:pos="296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datová schránka: </w:t>
      </w:r>
      <w:r>
        <w:tab/>
        <w:t xml:space="preserve">xv8wrwf </w:t>
      </w:r>
    </w:p>
    <w:p w14:paraId="2AB541CC" w14:textId="77777777" w:rsidR="00E61383" w:rsidRDefault="00000000">
      <w:pPr>
        <w:spacing w:after="94" w:line="259" w:lineRule="auto"/>
        <w:ind w:left="358" w:firstLine="0"/>
        <w:jc w:val="left"/>
      </w:pPr>
      <w:r>
        <w:t xml:space="preserve"> </w:t>
      </w:r>
    </w:p>
    <w:p w14:paraId="06A9ECDB" w14:textId="77777777" w:rsidR="00E61383" w:rsidRDefault="00000000">
      <w:pPr>
        <w:spacing w:after="226"/>
        <w:ind w:left="353"/>
      </w:pPr>
      <w:r>
        <w:t xml:space="preserve">Zapsána v obchodním rejstříku vedeném Krajským soudem v Ostravě, </w:t>
      </w:r>
      <w:proofErr w:type="spellStart"/>
      <w:r>
        <w:t>sp</w:t>
      </w:r>
      <w:proofErr w:type="spellEnd"/>
      <w:r>
        <w:t xml:space="preserve">. zn. B 4387 </w:t>
      </w:r>
    </w:p>
    <w:p w14:paraId="3FF03472" w14:textId="2C56E47F" w:rsidR="00E61383" w:rsidRDefault="00000000" w:rsidP="00B40761">
      <w:pPr>
        <w:ind w:left="353"/>
        <w:jc w:val="center"/>
      </w:pPr>
      <w:r>
        <w:t>(dále jen „příkazník“)</w:t>
      </w:r>
    </w:p>
    <w:p w14:paraId="7D18DDAA" w14:textId="77777777" w:rsidR="00E61383" w:rsidRDefault="00000000">
      <w:pPr>
        <w:spacing w:after="0" w:line="259" w:lineRule="auto"/>
        <w:ind w:left="10" w:right="3"/>
        <w:jc w:val="center"/>
      </w:pPr>
      <w:r>
        <w:rPr>
          <w:b/>
        </w:rPr>
        <w:t xml:space="preserve">II. </w:t>
      </w:r>
    </w:p>
    <w:p w14:paraId="3DFCC44F" w14:textId="77777777" w:rsidR="00E61383" w:rsidRDefault="00000000">
      <w:pPr>
        <w:spacing w:after="90" w:line="265" w:lineRule="auto"/>
        <w:ind w:left="10" w:right="6"/>
        <w:jc w:val="center"/>
      </w:pPr>
      <w:r>
        <w:rPr>
          <w:b/>
        </w:rPr>
        <w:t xml:space="preserve">Úvodní ujednání </w:t>
      </w:r>
    </w:p>
    <w:p w14:paraId="2503E6CA" w14:textId="77777777" w:rsidR="00E61383" w:rsidRDefault="00000000">
      <w:pPr>
        <w:numPr>
          <w:ilvl w:val="0"/>
          <w:numId w:val="2"/>
        </w:numPr>
        <w:ind w:hanging="358"/>
      </w:pPr>
      <w:r>
        <w:t xml:space="preserve">Smluvní strany uzavřely dne 30.7.2025 příkazní smlouvu na výkon TDS a koordinátora BOZP při realizaci stavby „Rekonstrukce elektroinstalace a hygienických zařízení – 1. etapa“ a dne 29.9.2025 dodatek č. 1 k této smlouvě (dále celé jen „Smlouva“). </w:t>
      </w:r>
    </w:p>
    <w:p w14:paraId="21B98FED" w14:textId="77777777" w:rsidR="00E61383" w:rsidRDefault="00000000">
      <w:pPr>
        <w:numPr>
          <w:ilvl w:val="0"/>
          <w:numId w:val="2"/>
        </w:numPr>
        <w:spacing w:after="111"/>
        <w:ind w:hanging="358"/>
      </w:pPr>
      <w:r>
        <w:t xml:space="preserve">Vzhledem ke skutečnosti, že se doba plnění TDS a </w:t>
      </w:r>
      <w:proofErr w:type="spellStart"/>
      <w:r>
        <w:t>koo</w:t>
      </w:r>
      <w:proofErr w:type="spellEnd"/>
      <w:r>
        <w:t>. BOZP významně prodloužila oproti původně předpokládané a smluvně sjednané době plnění, dohodl příkazce s příkazníkem fakturaci po dosažení úrovně 50 % prostavěnosti stavby.</w:t>
      </w:r>
      <w:r>
        <w:rPr>
          <w:b/>
        </w:rPr>
        <w:t xml:space="preserve"> </w:t>
      </w:r>
      <w:r>
        <w:t xml:space="preserve"> </w:t>
      </w:r>
    </w:p>
    <w:p w14:paraId="66D347F1" w14:textId="77777777" w:rsidR="00E61383" w:rsidRDefault="00000000">
      <w:pPr>
        <w:spacing w:after="0" w:line="259" w:lineRule="auto"/>
        <w:ind w:left="10" w:right="5"/>
        <w:jc w:val="center"/>
      </w:pPr>
      <w:r>
        <w:rPr>
          <w:b/>
        </w:rPr>
        <w:t xml:space="preserve">III. </w:t>
      </w:r>
    </w:p>
    <w:p w14:paraId="527BE861" w14:textId="77777777" w:rsidR="00E61383" w:rsidRDefault="00000000">
      <w:pPr>
        <w:spacing w:after="96" w:line="259" w:lineRule="auto"/>
        <w:ind w:left="10" w:right="5"/>
        <w:jc w:val="center"/>
      </w:pPr>
      <w:r>
        <w:rPr>
          <w:b/>
        </w:rPr>
        <w:t xml:space="preserve">Změna Smlouvy  </w:t>
      </w:r>
    </w:p>
    <w:p w14:paraId="768EA66E" w14:textId="77777777" w:rsidR="00E61383" w:rsidRDefault="00000000">
      <w:pPr>
        <w:spacing w:after="106"/>
        <w:ind w:left="10"/>
      </w:pPr>
      <w:r>
        <w:t xml:space="preserve">Smluvní strany se s ohledem na výše uvedené dohodly na následujících změnách Smlouvy: </w:t>
      </w:r>
    </w:p>
    <w:p w14:paraId="5993B7F4" w14:textId="77777777" w:rsidR="00E61383" w:rsidRDefault="00000000">
      <w:pPr>
        <w:ind w:left="10"/>
      </w:pPr>
      <w:r>
        <w:t>1.</w:t>
      </w:r>
      <w:r>
        <w:rPr>
          <w:rFonts w:ascii="Arial" w:eastAsia="Arial" w:hAnsi="Arial" w:cs="Arial"/>
        </w:rPr>
        <w:t xml:space="preserve"> </w:t>
      </w:r>
      <w:r>
        <w:t>Text v čl. VI odst. 4 se ruší a nahrazuje tímto novým zněním:</w:t>
      </w:r>
      <w:r>
        <w:rPr>
          <w:b/>
        </w:rPr>
        <w:t xml:space="preserve"> </w:t>
      </w:r>
    </w:p>
    <w:p w14:paraId="1304FE5C" w14:textId="77777777" w:rsidR="00E61383" w:rsidRDefault="00000000">
      <w:pPr>
        <w:spacing w:after="319" w:line="259" w:lineRule="auto"/>
        <w:ind w:left="427" w:firstLine="0"/>
        <w:jc w:val="left"/>
      </w:pPr>
      <w:r>
        <w:rPr>
          <w:b/>
        </w:rPr>
        <w:t xml:space="preserve"> </w:t>
      </w:r>
    </w:p>
    <w:p w14:paraId="419EC66B" w14:textId="77777777" w:rsidR="00E61383" w:rsidRDefault="00000000">
      <w:pPr>
        <w:spacing w:after="45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440573" wp14:editId="0591CE7E">
                <wp:extent cx="5568061" cy="9145"/>
                <wp:effectExtent l="0" t="0" r="0" b="0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061" cy="9145"/>
                          <a:chOff x="0" y="0"/>
                          <a:chExt cx="5568061" cy="9145"/>
                        </a:xfrm>
                      </wpg:grpSpPr>
                      <wps:wsp>
                        <wps:cNvPr id="3454" name="Shape 3454"/>
                        <wps:cNvSpPr/>
                        <wps:spPr>
                          <a:xfrm>
                            <a:off x="0" y="0"/>
                            <a:ext cx="556806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061" h="9145">
                                <a:moveTo>
                                  <a:pt x="0" y="0"/>
                                </a:moveTo>
                                <a:lnTo>
                                  <a:pt x="5568061" y="0"/>
                                </a:lnTo>
                                <a:lnTo>
                                  <a:pt x="5568061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8" style="width:438.43pt;height:0.720093pt;mso-position-horizontal-relative:char;mso-position-vertical-relative:line" coordsize="55680,91">
                <v:shape id="Shape 3455" style="position:absolute;width:55680;height:91;left:0;top:0;" coordsize="5568061,9145" path="m0,0l5568061,0l5568061,9145l0,91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2EDD27" w14:textId="77777777" w:rsidR="00E61383" w:rsidRDefault="00000000">
      <w:pPr>
        <w:spacing w:after="41" w:line="239" w:lineRule="auto"/>
        <w:ind w:left="-5"/>
        <w:jc w:val="left"/>
      </w:pPr>
      <w:r>
        <w:rPr>
          <w:sz w:val="18"/>
        </w:rPr>
        <w:t xml:space="preserve">Dodatek č. 2 k příkazní smlouvě na výkon TDS a </w:t>
      </w:r>
      <w:proofErr w:type="spellStart"/>
      <w:r>
        <w:rPr>
          <w:sz w:val="18"/>
        </w:rPr>
        <w:t>koo</w:t>
      </w:r>
      <w:proofErr w:type="spellEnd"/>
      <w:r>
        <w:rPr>
          <w:sz w:val="18"/>
        </w:rPr>
        <w:t xml:space="preserve">. BOZP pro stavbu „Rekonstrukce elektroinstalace a hygienických zařízení“ </w:t>
      </w:r>
    </w:p>
    <w:p w14:paraId="37E6D252" w14:textId="77777777" w:rsidR="00E61383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1F73A0" w14:textId="77777777" w:rsidR="00E61383" w:rsidRDefault="00000000">
      <w:pPr>
        <w:spacing w:after="113" w:line="247" w:lineRule="auto"/>
        <w:ind w:left="355" w:right="137"/>
        <w:jc w:val="left"/>
      </w:pPr>
      <w:r>
        <w:lastRenderedPageBreak/>
        <w:t xml:space="preserve">„Smluvní strany se dohodly, že </w:t>
      </w:r>
      <w:r>
        <w:rPr>
          <w:b/>
        </w:rPr>
        <w:t xml:space="preserve">po dosažení úrovně 50 % prostavěnosti stavby </w:t>
      </w:r>
      <w:r>
        <w:t xml:space="preserve">bude příkazníkem vystavena faktura na částku ve výši </w:t>
      </w:r>
      <w:r>
        <w:rPr>
          <w:b/>
        </w:rPr>
        <w:t xml:space="preserve">50 % z celkové odměny </w:t>
      </w:r>
      <w:r>
        <w:t>dle čl. V odst. 1 této smlouvy (</w:t>
      </w:r>
      <w:r>
        <w:rPr>
          <w:u w:val="single" w:color="000000"/>
        </w:rPr>
        <w:t>je-li příkazník plátcem DPH, zahrnuje tato částka DPH</w:t>
      </w:r>
      <w:r>
        <w:t xml:space="preserve">). </w:t>
      </w:r>
    </w:p>
    <w:p w14:paraId="2AA397D2" w14:textId="77777777" w:rsidR="00E61383" w:rsidRDefault="00000000">
      <w:pPr>
        <w:spacing w:after="108"/>
        <w:ind w:left="353"/>
      </w:pPr>
      <w:r>
        <w:t xml:space="preserve">Procento prostavěnosti stavby bude posuzováno s ohledem na výši zhotovitelem vystavených a příkazníkem v souladu s čl. III odst. 2 písm. r) této smlouvy odsouhlasených faktur. Procento prostavěnosti stavby bude vždy posuzováno s ohledem na aktuální cenu stavby (tj. cenu stavby sjednanou příslušnou smlouvou o dílo ve znění případných dodatků) a bude příkazníkem doloženo formou aktuální rekapitulace fakturace zhotovitele prokazující dosažení úrovně procenta prostavěnosti stavby. </w:t>
      </w:r>
    </w:p>
    <w:p w14:paraId="61040CD5" w14:textId="77777777" w:rsidR="00E61383" w:rsidRDefault="00000000">
      <w:pPr>
        <w:spacing w:after="591"/>
        <w:ind w:left="353"/>
      </w:pPr>
      <w:r>
        <w:rPr>
          <w:b/>
        </w:rPr>
        <w:t>Zbývající část odměny</w:t>
      </w:r>
      <w:r>
        <w:t xml:space="preserve"> bude vyúčtována konečnou fakturou po ukončení výkonu inženýrské činnosti ve smyslu čl. IV odst. 2 této smlouvy.“. </w:t>
      </w:r>
    </w:p>
    <w:p w14:paraId="736D3466" w14:textId="77777777" w:rsidR="00E61383" w:rsidRDefault="00000000">
      <w:pPr>
        <w:spacing w:after="0" w:line="259" w:lineRule="auto"/>
        <w:ind w:left="10" w:right="3"/>
        <w:jc w:val="center"/>
      </w:pPr>
      <w:r>
        <w:rPr>
          <w:b/>
        </w:rPr>
        <w:t xml:space="preserve">IV. </w:t>
      </w:r>
    </w:p>
    <w:p w14:paraId="3F8011E9" w14:textId="77777777" w:rsidR="00E61383" w:rsidRDefault="00000000">
      <w:pPr>
        <w:spacing w:after="90" w:line="265" w:lineRule="auto"/>
        <w:ind w:left="10" w:right="6"/>
        <w:jc w:val="center"/>
      </w:pPr>
      <w:r>
        <w:rPr>
          <w:b/>
        </w:rPr>
        <w:t xml:space="preserve">Závěrečná ujednání </w:t>
      </w:r>
    </w:p>
    <w:p w14:paraId="2F3BDE01" w14:textId="77777777" w:rsidR="00E61383" w:rsidRDefault="00000000">
      <w:pPr>
        <w:numPr>
          <w:ilvl w:val="0"/>
          <w:numId w:val="3"/>
        </w:numPr>
        <w:spacing w:after="227"/>
        <w:ind w:hanging="358"/>
      </w:pPr>
      <w:r>
        <w:t xml:space="preserve">Ustanovení Smlouvy tímto Dodatkem neupravená zůstávají v platnosti beze změny.  </w:t>
      </w:r>
    </w:p>
    <w:p w14:paraId="26C09558" w14:textId="77777777" w:rsidR="00E61383" w:rsidRDefault="00000000">
      <w:pPr>
        <w:numPr>
          <w:ilvl w:val="0"/>
          <w:numId w:val="3"/>
        </w:numPr>
        <w:spacing w:after="108"/>
        <w:ind w:hanging="358"/>
      </w:pPr>
      <w:r>
        <w:t xml:space="preserve">Tento Dodatek je vyhotoven ve třech stejnopisech s platností originálu, přičemž příkazce obdrží dvě a příkazník jedno vyhotovení. </w:t>
      </w:r>
    </w:p>
    <w:p w14:paraId="452E27A9" w14:textId="77777777" w:rsidR="00E61383" w:rsidRDefault="00000000">
      <w:pPr>
        <w:numPr>
          <w:ilvl w:val="0"/>
          <w:numId w:val="3"/>
        </w:numPr>
        <w:spacing w:after="109"/>
        <w:ind w:hanging="358"/>
      </w:pPr>
      <w:r>
        <w:t xml:space="preserve">Tento Dodatek nabývá platnosti dnem jejího podpisu oběma smluvními stranami a účinnosti v souladu s příslušnými ustanoveními zákona č. 340/2015 Sb., o zvláštních podmínkách účinnosti některých smluv, uveřejňování těchto smluv a o registru smluv (zákon o registru smluv), ve znění pozdějších předpisů (dále jen „zákon o registru smluv“). Uveřejnění v souladu se zákonem o registru smluv provede příkazce.  </w:t>
      </w:r>
    </w:p>
    <w:p w14:paraId="16B45E4E" w14:textId="77777777" w:rsidR="00E61383" w:rsidRDefault="00000000">
      <w:pPr>
        <w:numPr>
          <w:ilvl w:val="0"/>
          <w:numId w:val="3"/>
        </w:numPr>
        <w:spacing w:after="108"/>
        <w:ind w:hanging="358"/>
      </w:pPr>
      <w:r>
        <w:t xml:space="preserve">Smluvní strany shodně prohlašují, že si Dodatek před podpisem přečetly a že se dohodly o celém jeho obsahu, což stvrzují svými podpisy. </w:t>
      </w:r>
    </w:p>
    <w:p w14:paraId="20929CFF" w14:textId="77777777" w:rsidR="00E61383" w:rsidRDefault="00000000">
      <w:pPr>
        <w:spacing w:after="0" w:line="259" w:lineRule="auto"/>
        <w:ind w:left="0" w:right="927" w:firstLine="0"/>
        <w:jc w:val="center"/>
      </w:pPr>
      <w:r>
        <w:t xml:space="preserve"> </w:t>
      </w:r>
    </w:p>
    <w:p w14:paraId="339DA121" w14:textId="4079E521" w:rsidR="00E61383" w:rsidRDefault="00000000">
      <w:pPr>
        <w:tabs>
          <w:tab w:val="center" w:pos="1227"/>
          <w:tab w:val="center" w:pos="6352"/>
        </w:tabs>
        <w:spacing w:after="634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V Ostravě dne</w:t>
      </w:r>
      <w:r w:rsidR="00B40761">
        <w:t xml:space="preserve"> 1. 10. 2025</w:t>
      </w:r>
      <w:r>
        <w:tab/>
        <w:t>V Ostravě dne</w:t>
      </w:r>
      <w:r w:rsidR="00B40761">
        <w:t xml:space="preserve"> 1. 10. 2025</w:t>
      </w:r>
      <w:r>
        <w:t xml:space="preserve"> </w:t>
      </w:r>
    </w:p>
    <w:p w14:paraId="413B3532" w14:textId="77777777" w:rsidR="00E61383" w:rsidRDefault="00000000" w:rsidP="00B40761">
      <w:pPr>
        <w:shd w:val="clear" w:color="auto" w:fill="000000" w:themeFill="text1"/>
        <w:spacing w:after="339" w:line="259" w:lineRule="auto"/>
        <w:ind w:left="499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774A093" w14:textId="77777777" w:rsidR="00E61383" w:rsidRDefault="00000000">
      <w:pPr>
        <w:spacing w:after="52" w:line="259" w:lineRule="auto"/>
        <w:ind w:left="4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AB76B7" wp14:editId="5DF61422">
                <wp:extent cx="5487238" cy="6097"/>
                <wp:effectExtent l="0" t="0" r="0" b="0"/>
                <wp:docPr id="3357" name="Group 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238" cy="6097"/>
                          <a:chOff x="0" y="0"/>
                          <a:chExt cx="5487238" cy="6097"/>
                        </a:xfrm>
                      </wpg:grpSpPr>
                      <wps:wsp>
                        <wps:cNvPr id="3456" name="Shape 3456"/>
                        <wps:cNvSpPr/>
                        <wps:spPr>
                          <a:xfrm>
                            <a:off x="0" y="0"/>
                            <a:ext cx="2248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154" h="9144">
                                <a:moveTo>
                                  <a:pt x="0" y="0"/>
                                </a:moveTo>
                                <a:lnTo>
                                  <a:pt x="2248154" y="0"/>
                                </a:lnTo>
                                <a:lnTo>
                                  <a:pt x="2248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3254324" y="0"/>
                            <a:ext cx="22329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914" h="9144">
                                <a:moveTo>
                                  <a:pt x="0" y="0"/>
                                </a:moveTo>
                                <a:lnTo>
                                  <a:pt x="2232914" y="0"/>
                                </a:lnTo>
                                <a:lnTo>
                                  <a:pt x="22329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7" style="width:432.066pt;height:0.480103pt;mso-position-horizontal-relative:char;mso-position-vertical-relative:line" coordsize="54872,60">
                <v:shape id="Shape 3458" style="position:absolute;width:22481;height:91;left:0;top:0;" coordsize="2248154,9144" path="m0,0l2248154,0l2248154,9144l0,9144l0,0">
                  <v:stroke weight="0pt" endcap="flat" joinstyle="miter" miterlimit="10" on="false" color="#000000" opacity="0"/>
                  <v:fill on="true" color="#000000"/>
                </v:shape>
                <v:shape id="Shape 3459" style="position:absolute;width:22329;height:91;left:32543;top:0;" coordsize="2232914,9144" path="m0,0l2232914,0l22329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40DFF8" w14:textId="77777777" w:rsidR="00E61383" w:rsidRDefault="00000000">
      <w:pPr>
        <w:tabs>
          <w:tab w:val="center" w:pos="2199"/>
          <w:tab w:val="center" w:pos="7313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za příkazce </w:t>
      </w:r>
      <w:r>
        <w:tab/>
        <w:t xml:space="preserve">za příkazníka </w:t>
      </w:r>
    </w:p>
    <w:p w14:paraId="03DD329F" w14:textId="77777777" w:rsidR="00E61383" w:rsidRDefault="00000000">
      <w:pPr>
        <w:spacing w:after="0" w:line="259" w:lineRule="auto"/>
        <w:ind w:left="518" w:firstLine="0"/>
        <w:jc w:val="center"/>
      </w:pPr>
      <w:r>
        <w:t xml:space="preserve"> </w:t>
      </w:r>
    </w:p>
    <w:p w14:paraId="57EBA53F" w14:textId="77777777" w:rsidR="00E61383" w:rsidRDefault="00000000">
      <w:pPr>
        <w:tabs>
          <w:tab w:val="center" w:pos="2202"/>
          <w:tab w:val="center" w:pos="7311"/>
        </w:tabs>
        <w:spacing w:after="27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ředitel </w:t>
      </w:r>
      <w:r>
        <w:tab/>
        <w:t>jednatel</w:t>
      </w:r>
      <w:r>
        <w:rPr>
          <w:sz w:val="23"/>
        </w:rPr>
        <w:t xml:space="preserve"> </w:t>
      </w:r>
    </w:p>
    <w:p w14:paraId="062F5787" w14:textId="77777777" w:rsidR="00E61383" w:rsidRDefault="00000000">
      <w:pPr>
        <w:spacing w:after="3313" w:line="259" w:lineRule="auto"/>
        <w:ind w:left="0" w:firstLine="0"/>
        <w:jc w:val="left"/>
      </w:pPr>
      <w:r>
        <w:t xml:space="preserve"> </w:t>
      </w:r>
    </w:p>
    <w:p w14:paraId="613D9043" w14:textId="77777777" w:rsidR="00E61383" w:rsidRDefault="00000000">
      <w:pPr>
        <w:spacing w:after="0" w:line="259" w:lineRule="auto"/>
        <w:ind w:left="0" w:right="5" w:firstLine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 </w:t>
      </w:r>
    </w:p>
    <w:p w14:paraId="11D4395A" w14:textId="77777777" w:rsidR="00E61383" w:rsidRDefault="00000000">
      <w:pPr>
        <w:spacing w:after="45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46F4B65" wp14:editId="7CAC42DF">
                <wp:extent cx="5568061" cy="9144"/>
                <wp:effectExtent l="0" t="0" r="0" b="0"/>
                <wp:docPr id="2859" name="Group 2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061" cy="9144"/>
                          <a:chOff x="0" y="0"/>
                          <a:chExt cx="5568061" cy="9144"/>
                        </a:xfrm>
                      </wpg:grpSpPr>
                      <wps:wsp>
                        <wps:cNvPr id="3460" name="Shape 3460"/>
                        <wps:cNvSpPr/>
                        <wps:spPr>
                          <a:xfrm>
                            <a:off x="0" y="0"/>
                            <a:ext cx="5568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061" h="9144">
                                <a:moveTo>
                                  <a:pt x="0" y="0"/>
                                </a:moveTo>
                                <a:lnTo>
                                  <a:pt x="5568061" y="0"/>
                                </a:lnTo>
                                <a:lnTo>
                                  <a:pt x="5568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9" style="width:438.43pt;height:0.719971pt;mso-position-horizontal-relative:char;mso-position-vertical-relative:line" coordsize="55680,91">
                <v:shape id="Shape 3461" style="position:absolute;width:55680;height:91;left:0;top:0;" coordsize="5568061,9144" path="m0,0l5568061,0l55680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A8F176" w14:textId="77777777" w:rsidR="00E61383" w:rsidRDefault="00000000">
      <w:pPr>
        <w:spacing w:after="41" w:line="239" w:lineRule="auto"/>
        <w:ind w:left="-5"/>
        <w:jc w:val="left"/>
      </w:pPr>
      <w:r>
        <w:rPr>
          <w:sz w:val="18"/>
        </w:rPr>
        <w:t xml:space="preserve">Dodatek č. 2 k příkazní smlouvě na výkon TDS a </w:t>
      </w:r>
      <w:proofErr w:type="spellStart"/>
      <w:r>
        <w:rPr>
          <w:sz w:val="18"/>
        </w:rPr>
        <w:t>koo</w:t>
      </w:r>
      <w:proofErr w:type="spellEnd"/>
      <w:r>
        <w:rPr>
          <w:sz w:val="18"/>
        </w:rPr>
        <w:t xml:space="preserve">. BOZP pro stavbu „Rekonstrukce elektroinstalace a hygienických zařízení“ </w:t>
      </w:r>
    </w:p>
    <w:sectPr w:rsidR="00E61383">
      <w:pgSz w:w="11906" w:h="16838"/>
      <w:pgMar w:top="1468" w:right="1412" w:bottom="73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5031"/>
    <w:multiLevelType w:val="hybridMultilevel"/>
    <w:tmpl w:val="3F08818C"/>
    <w:lvl w:ilvl="0" w:tplc="421CAAA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AD66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8836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861F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647A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A3A7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F0F3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A116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422E6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F15DCF"/>
    <w:multiLevelType w:val="hybridMultilevel"/>
    <w:tmpl w:val="14C297C2"/>
    <w:lvl w:ilvl="0" w:tplc="627CB59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A01B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0532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A03B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AE48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E6D5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EB7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0E6B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E174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A4F81"/>
    <w:multiLevelType w:val="hybridMultilevel"/>
    <w:tmpl w:val="8E62D7C6"/>
    <w:lvl w:ilvl="0" w:tplc="5B342DE0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4E0B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A4E9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AB7A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65AD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81C9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838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62E1A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E169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4622889">
    <w:abstractNumId w:val="2"/>
  </w:num>
  <w:num w:numId="2" w16cid:durableId="1741126180">
    <w:abstractNumId w:val="1"/>
  </w:num>
  <w:num w:numId="3" w16cid:durableId="201919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83"/>
    <w:rsid w:val="00774CB1"/>
    <w:rsid w:val="00B40761"/>
    <w:rsid w:val="00E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F2C3"/>
  <w15:docId w15:val="{D80F2345-8E5B-4183-AC6B-1EF85D34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48" w:lineRule="auto"/>
      <w:ind w:left="368" w:hanging="10"/>
      <w:jc w:val="both"/>
    </w:pPr>
    <w:rPr>
      <w:rFonts w:ascii="Tahoma" w:eastAsia="Tahoma" w:hAnsi="Tahoma" w:cs="Tahoma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zavesicky</dc:creator>
  <cp:keywords/>
  <cp:lastModifiedBy>Lenka Vítková</cp:lastModifiedBy>
  <cp:revision>3</cp:revision>
  <dcterms:created xsi:type="dcterms:W3CDTF">2026-02-16T10:13:00Z</dcterms:created>
  <dcterms:modified xsi:type="dcterms:W3CDTF">2026-02-16T10:13:00Z</dcterms:modified>
</cp:coreProperties>
</file>