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C26EF" w14:textId="77777777" w:rsidR="005E325E" w:rsidRDefault="00000000">
      <w:pPr>
        <w:pStyle w:val="Nzev"/>
        <w:tabs>
          <w:tab w:val="left" w:pos="294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KUPNÍ SMLOUVA</w:t>
      </w:r>
    </w:p>
    <w:p w14:paraId="778E8DA4" w14:textId="77777777" w:rsidR="005E325E" w:rsidRDefault="005E325E">
      <w:pPr>
        <w:pStyle w:val="Nzev"/>
        <w:tabs>
          <w:tab w:val="left" w:pos="2940"/>
        </w:tabs>
        <w:rPr>
          <w:rFonts w:ascii="Garamond" w:eastAsia="Garamond" w:hAnsi="Garamond" w:cs="Garamond"/>
        </w:rPr>
      </w:pPr>
    </w:p>
    <w:p w14:paraId="32DCBF4B" w14:textId="77777777" w:rsidR="005E325E" w:rsidRDefault="00000000">
      <w:pPr>
        <w:pStyle w:val="Nadpis1"/>
        <w:ind w:left="0"/>
        <w:jc w:val="center"/>
      </w:pPr>
      <w:r>
        <w:t xml:space="preserve">na </w:t>
      </w:r>
      <w:r>
        <w:rPr>
          <w:color w:val="000000"/>
        </w:rPr>
        <w:t>22 ks počítačů pro regionální školící místnost</w:t>
      </w:r>
    </w:p>
    <w:p w14:paraId="59A37DAE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  <w:sz w:val="26"/>
          <w:szCs w:val="26"/>
        </w:rPr>
      </w:pPr>
    </w:p>
    <w:p w14:paraId="70196974" w14:textId="77777777" w:rsidR="005E325E" w:rsidRDefault="00000000">
      <w:pPr>
        <w:pStyle w:val="Nadpis1"/>
        <w:ind w:left="142"/>
      </w:pPr>
      <w:r>
        <w:t>Česká republika – Krajský soud v Plzni</w:t>
      </w:r>
    </w:p>
    <w:p w14:paraId="19EF80E7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se sídlem: Veleslavínova 40, 306 17 Plzeň 3</w:t>
      </w:r>
    </w:p>
    <w:p w14:paraId="1430D7D7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IČO: 00215694</w:t>
      </w:r>
    </w:p>
    <w:p w14:paraId="30D5163E" w14:textId="77777777" w:rsidR="005E325E" w:rsidRDefault="00000000">
      <w:pPr>
        <w:ind w:left="14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zastoupena: </w:t>
      </w:r>
      <w:r>
        <w:rPr>
          <w:rFonts w:ascii="Garamond" w:eastAsia="Garamond" w:hAnsi="Garamond" w:cs="Garamond"/>
          <w:b/>
          <w:bCs/>
        </w:rPr>
        <w:t>JUDr. Věrou Oravcovou, Ph.D.</w:t>
      </w:r>
      <w:r>
        <w:rPr>
          <w:rFonts w:ascii="Garamond" w:eastAsia="Garamond" w:hAnsi="Garamond" w:cs="Garamond"/>
        </w:rPr>
        <w:t>,</w:t>
      </w:r>
      <w:r>
        <w:rPr>
          <w:rFonts w:ascii="Garamond" w:eastAsia="Garamond" w:hAnsi="Garamond" w:cs="Garamond"/>
          <w:b/>
          <w:bCs/>
        </w:rPr>
        <w:t xml:space="preserve"> </w:t>
      </w:r>
      <w:r>
        <w:rPr>
          <w:rFonts w:ascii="Garamond" w:eastAsia="Garamond" w:hAnsi="Garamond" w:cs="Garamond"/>
        </w:rPr>
        <w:t>předsedkyní Krajského soudu v Plzni</w:t>
      </w:r>
    </w:p>
    <w:p w14:paraId="79C318C5" w14:textId="77777777" w:rsidR="005E325E" w:rsidRDefault="00000000">
      <w:pPr>
        <w:ind w:left="14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bankovní spojení: ČNB, Na Příkopě 28, Praha 1</w:t>
      </w:r>
    </w:p>
    <w:p w14:paraId="4C9A2C03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číslo účtu: 4321311/0710</w:t>
      </w:r>
    </w:p>
    <w:p w14:paraId="51973F0A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A0A0A"/>
        </w:rPr>
      </w:pPr>
      <w:r>
        <w:rPr>
          <w:rFonts w:ascii="Garamond" w:eastAsia="Garamond" w:hAnsi="Garamond" w:cs="Garamond"/>
          <w:color w:val="000000"/>
        </w:rPr>
        <w:t>datová schránka:</w:t>
      </w:r>
      <w:r>
        <w:rPr>
          <w:rFonts w:ascii="Garamond" w:eastAsia="Garamond" w:hAnsi="Garamond" w:cs="Garamond"/>
          <w:color w:val="0A0A0A"/>
        </w:rPr>
        <w:t xml:space="preserve"> yaraba4</w:t>
      </w:r>
    </w:p>
    <w:p w14:paraId="325A3534" w14:textId="77777777" w:rsidR="005E325E" w:rsidRDefault="00000000">
      <w:pPr>
        <w:ind w:left="14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(dále jen </w:t>
      </w:r>
      <w:r>
        <w:rPr>
          <w:rFonts w:ascii="Garamond" w:eastAsia="Garamond" w:hAnsi="Garamond" w:cs="Garamond"/>
          <w:b/>
          <w:bCs/>
        </w:rPr>
        <w:t>„Kupující“</w:t>
      </w:r>
      <w:r>
        <w:rPr>
          <w:rFonts w:ascii="Garamond" w:eastAsia="Garamond" w:hAnsi="Garamond" w:cs="Garamond"/>
        </w:rPr>
        <w:t>) na straně jedné</w:t>
      </w:r>
    </w:p>
    <w:p w14:paraId="49B7EC2C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left="142"/>
        <w:rPr>
          <w:rFonts w:ascii="Garamond" w:eastAsia="Garamond" w:hAnsi="Garamond" w:cs="Garamond"/>
          <w:color w:val="000000"/>
          <w:sz w:val="21"/>
          <w:szCs w:val="21"/>
        </w:rPr>
      </w:pPr>
    </w:p>
    <w:p w14:paraId="2FEC3D7C" w14:textId="77777777" w:rsidR="005E325E" w:rsidRDefault="00000000">
      <w:pPr>
        <w:pStyle w:val="Nadpis1"/>
        <w:ind w:left="142"/>
      </w:pPr>
      <w:r>
        <w:t>a</w:t>
      </w:r>
    </w:p>
    <w:p w14:paraId="14FF8E4C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left="142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</w:p>
    <w:p w14:paraId="2B02C1B1" w14:textId="77777777" w:rsidR="005E325E" w:rsidRDefault="00000000">
      <w:pPr>
        <w:pStyle w:val="Nadpis1"/>
        <w:ind w:left="142"/>
      </w:pPr>
      <w:r>
        <w:t xml:space="preserve">KSP </w:t>
      </w:r>
      <w:proofErr w:type="spellStart"/>
      <w:r>
        <w:t>Computer</w:t>
      </w:r>
      <w:proofErr w:type="spellEnd"/>
      <w:r>
        <w:t xml:space="preserve"> &amp; </w:t>
      </w:r>
      <w:proofErr w:type="spellStart"/>
      <w:r>
        <w:t>Services</w:t>
      </w:r>
      <w:proofErr w:type="spellEnd"/>
      <w:r>
        <w:t xml:space="preserve"> Moravia s.r.o.</w:t>
      </w:r>
    </w:p>
    <w:p w14:paraId="23CD731A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se sídlem: </w:t>
      </w:r>
      <w:r>
        <w:rPr>
          <w:rFonts w:ascii="Garamond" w:eastAsia="Garamond" w:hAnsi="Garamond" w:cs="Garamond"/>
        </w:rPr>
        <w:t>Nad Akcízem 1006/2, Ďáblice, 182 00 Praha 8</w:t>
      </w:r>
    </w:p>
    <w:p w14:paraId="1BC57115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IČO: </w:t>
      </w:r>
      <w:r>
        <w:rPr>
          <w:rFonts w:ascii="Garamond" w:eastAsia="Garamond" w:hAnsi="Garamond" w:cs="Garamond"/>
        </w:rPr>
        <w:t>14243962</w:t>
      </w:r>
    </w:p>
    <w:p w14:paraId="008FF4CB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DIČ: </w:t>
      </w:r>
      <w:r>
        <w:rPr>
          <w:rFonts w:ascii="Garamond" w:eastAsia="Garamond" w:hAnsi="Garamond" w:cs="Garamond"/>
        </w:rPr>
        <w:t>CZ14243962</w:t>
      </w:r>
    </w:p>
    <w:p w14:paraId="2DAED222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zapsaná v Obchodním rejstříku vedeném </w:t>
      </w:r>
      <w:r>
        <w:rPr>
          <w:rFonts w:ascii="Garamond" w:eastAsia="Garamond" w:hAnsi="Garamond" w:cs="Garamond"/>
        </w:rPr>
        <w:t>Městským soudem v Praze, spis. značka C362622</w:t>
      </w:r>
    </w:p>
    <w:p w14:paraId="26C039A5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zastoupen: </w:t>
      </w:r>
      <w:r>
        <w:rPr>
          <w:rFonts w:ascii="Garamond" w:eastAsia="Garamond" w:hAnsi="Garamond" w:cs="Garamond"/>
        </w:rPr>
        <w:t>Jiřím Šilhavým, MBA, jednatelem</w:t>
      </w:r>
    </w:p>
    <w:p w14:paraId="3770455F" w14:textId="51D2F362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bankovní spojení: </w:t>
      </w:r>
      <w:proofErr w:type="spellStart"/>
      <w:r w:rsidR="00150E2B" w:rsidRPr="00150E2B">
        <w:rPr>
          <w:rFonts w:ascii="Garamond" w:eastAsia="Garamond" w:hAnsi="Garamond" w:cs="Garamond"/>
          <w:highlight w:val="black"/>
        </w:rPr>
        <w:t>xx</w:t>
      </w:r>
      <w:proofErr w:type="spellEnd"/>
    </w:p>
    <w:p w14:paraId="69222836" w14:textId="0D598B60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č. účtu: </w:t>
      </w:r>
      <w:proofErr w:type="spellStart"/>
      <w:r w:rsidR="00150E2B" w:rsidRPr="00150E2B">
        <w:rPr>
          <w:rFonts w:ascii="Garamond" w:eastAsia="Garamond" w:hAnsi="Garamond" w:cs="Garamond"/>
          <w:highlight w:val="black"/>
        </w:rPr>
        <w:t>xxxxxxxxxxxxxxxx</w:t>
      </w:r>
      <w:proofErr w:type="spellEnd"/>
    </w:p>
    <w:p w14:paraId="5E6D87EA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datová schránka: d2udmx8</w:t>
      </w:r>
    </w:p>
    <w:p w14:paraId="2B041638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(dále jen „</w:t>
      </w:r>
      <w:r>
        <w:rPr>
          <w:rFonts w:ascii="Garamond" w:eastAsia="Garamond" w:hAnsi="Garamond" w:cs="Garamond"/>
          <w:b/>
          <w:bCs/>
          <w:color w:val="000000"/>
        </w:rPr>
        <w:t>Prodávající</w:t>
      </w:r>
      <w:r>
        <w:rPr>
          <w:rFonts w:ascii="Garamond" w:eastAsia="Garamond" w:hAnsi="Garamond" w:cs="Garamond"/>
          <w:color w:val="000000"/>
        </w:rPr>
        <w:t>“ na straně druhé)</w:t>
      </w:r>
    </w:p>
    <w:p w14:paraId="56D51FA2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left="142"/>
        <w:rPr>
          <w:rFonts w:ascii="Garamond" w:eastAsia="Garamond" w:hAnsi="Garamond" w:cs="Garamond"/>
          <w:color w:val="000000"/>
          <w:sz w:val="21"/>
          <w:szCs w:val="21"/>
        </w:rPr>
      </w:pPr>
    </w:p>
    <w:p w14:paraId="492B7A05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Dále též společně označeny jako „</w:t>
      </w:r>
      <w:r>
        <w:rPr>
          <w:rFonts w:ascii="Garamond" w:eastAsia="Garamond" w:hAnsi="Garamond" w:cs="Garamond"/>
          <w:b/>
          <w:bCs/>
          <w:color w:val="000000"/>
        </w:rPr>
        <w:t>smluvní strany</w:t>
      </w:r>
      <w:r>
        <w:rPr>
          <w:rFonts w:ascii="Garamond" w:eastAsia="Garamond" w:hAnsi="Garamond" w:cs="Garamond"/>
          <w:color w:val="000000"/>
        </w:rPr>
        <w:t>“ nebo každá z nich samostatně jako „</w:t>
      </w:r>
      <w:r>
        <w:rPr>
          <w:rFonts w:ascii="Garamond" w:eastAsia="Garamond" w:hAnsi="Garamond" w:cs="Garamond"/>
          <w:b/>
          <w:bCs/>
          <w:color w:val="000000"/>
        </w:rPr>
        <w:t>smluvní strana</w:t>
      </w:r>
      <w:r>
        <w:rPr>
          <w:rFonts w:ascii="Garamond" w:eastAsia="Garamond" w:hAnsi="Garamond" w:cs="Garamond"/>
          <w:color w:val="000000"/>
        </w:rPr>
        <w:t>“.</w:t>
      </w:r>
    </w:p>
    <w:p w14:paraId="23F4E870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rPr>
          <w:rFonts w:ascii="Garamond" w:eastAsia="Garamond" w:hAnsi="Garamond" w:cs="Garamond"/>
          <w:color w:val="000000"/>
        </w:rPr>
      </w:pPr>
    </w:p>
    <w:p w14:paraId="0585C345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Smluvní strany uzavírají níže uvedeného dne, měsíce a roku ve smyslu ustanovení § 2079 a násl. zák. č. 89/2012 Sb., občanského zákoníku, ve znění pozdějších právních předpisů, tuto kupní smlouvu (dále jen „</w:t>
      </w:r>
      <w:r>
        <w:rPr>
          <w:rFonts w:ascii="Garamond" w:eastAsia="Garamond" w:hAnsi="Garamond" w:cs="Garamond"/>
          <w:b/>
          <w:bCs/>
          <w:color w:val="000000"/>
        </w:rPr>
        <w:t>Smlouva</w:t>
      </w:r>
      <w:r>
        <w:rPr>
          <w:rFonts w:ascii="Garamond" w:eastAsia="Garamond" w:hAnsi="Garamond" w:cs="Garamond"/>
          <w:color w:val="000000"/>
        </w:rPr>
        <w:t>“)</w:t>
      </w:r>
    </w:p>
    <w:p w14:paraId="77A0D27A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Garamond" w:eastAsia="Garamond" w:hAnsi="Garamond" w:cs="Garamond"/>
          <w:color w:val="000000"/>
          <w:sz w:val="21"/>
          <w:szCs w:val="21"/>
        </w:rPr>
      </w:pPr>
    </w:p>
    <w:p w14:paraId="6FB79D29" w14:textId="77777777" w:rsidR="005E325E" w:rsidRDefault="00000000">
      <w:pPr>
        <w:pStyle w:val="Nadpis1"/>
        <w:numPr>
          <w:ilvl w:val="0"/>
          <w:numId w:val="1"/>
        </w:numPr>
        <w:ind w:left="0" w:firstLine="0"/>
        <w:jc w:val="center"/>
      </w:pPr>
      <w:r>
        <w:br/>
        <w:t>Předmět Smlouvy</w:t>
      </w:r>
    </w:p>
    <w:p w14:paraId="72151E0F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Touto Smlouvou se prodávající zavazuje dodat kupujícímu zboží, které je předmětem koupě a umožní mu nabýt vlastnické právo k němu. Kupující se zavazuje zaplatit prodávajícímu sjednanou kupní cenu.</w:t>
      </w:r>
    </w:p>
    <w:p w14:paraId="2F2F2282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Prodávající se zavazuje dodat zboží dle specifikace v příloze č. 1 a ceny předmětu plnění, uvedené v článku III Smlouvy, odpovídající nabídce prodávajícího ve veřejné soutěži č. </w:t>
      </w:r>
      <w:r>
        <w:rPr>
          <w:rFonts w:ascii="Garamond" w:eastAsia="Garamond" w:hAnsi="Garamond" w:cs="Garamond"/>
          <w:b/>
          <w:bCs/>
          <w:color w:val="000000"/>
          <w:highlight w:val="white"/>
        </w:rPr>
        <w:t xml:space="preserve">N006/26/V00000238 KS Plzeň – nákup počítačů pro regionální školící místnost </w:t>
      </w:r>
      <w:r>
        <w:rPr>
          <w:rFonts w:ascii="Garamond" w:eastAsia="Garamond" w:hAnsi="Garamond" w:cs="Garamond"/>
          <w:color w:val="000000"/>
        </w:rPr>
        <w:t>v elektronickém nástroji NEN.</w:t>
      </w:r>
    </w:p>
    <w:p w14:paraId="3E4B8ED9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garantuje kvalitu dodávaného zboží po celou dobu trvání této Smlouvy, tak jak ji uvádí výrobce.</w:t>
      </w:r>
    </w:p>
    <w:p w14:paraId="73B3E874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Prodávající je povinen dodat originální, nové zboží, určené pro český trh a koncového zákazníka. </w:t>
      </w:r>
    </w:p>
    <w:p w14:paraId="57E9B13C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je povinen zajistit, aby zboží bylo v okamžiku přechodu vlastnického práva na kupujícího prosté jakýchkoliv faktických nebo právních vad.</w:t>
      </w:r>
    </w:p>
    <w:p w14:paraId="3B4137D1" w14:textId="77777777" w:rsidR="005E325E" w:rsidRDefault="005E325E">
      <w:pPr>
        <w:widowControl w:val="0"/>
        <w:tabs>
          <w:tab w:val="left" w:pos="566"/>
        </w:tabs>
        <w:spacing w:before="119"/>
        <w:jc w:val="both"/>
        <w:rPr>
          <w:rFonts w:ascii="Garamond" w:eastAsia="Garamond" w:hAnsi="Garamond" w:cs="Garamond"/>
        </w:rPr>
      </w:pPr>
    </w:p>
    <w:p w14:paraId="500731C7" w14:textId="77777777" w:rsidR="005E325E" w:rsidRDefault="00000000">
      <w:pPr>
        <w:pStyle w:val="Nadpis1"/>
        <w:numPr>
          <w:ilvl w:val="0"/>
          <w:numId w:val="1"/>
        </w:numPr>
        <w:tabs>
          <w:tab w:val="left" w:pos="564"/>
        </w:tabs>
        <w:ind w:left="0" w:firstLine="0"/>
        <w:jc w:val="center"/>
      </w:pPr>
      <w:r>
        <w:lastRenderedPageBreak/>
        <w:br/>
        <w:t>Dodací lhůta a místo plnění</w:t>
      </w:r>
    </w:p>
    <w:p w14:paraId="3F0D8BDD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Místem dodání zboží je sídlo kupujícího dle této Smlouvy</w:t>
      </w:r>
    </w:p>
    <w:p w14:paraId="05BB7EB2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je povinen zboží dopravit na místo dodání dle objednávky vlastními dopravními prostředky a na své náklady a nebezpečí.</w:t>
      </w:r>
    </w:p>
    <w:p w14:paraId="04F82B3D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se zavazuje dodat zboží do 60 kalendářních dnů od data, kdy bude Smlouva zveřejněna v Registru smluv.</w:t>
      </w:r>
    </w:p>
    <w:p w14:paraId="3F9F7BF5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je povinen provést registraci zboží u výrobce, tak aby mohla být uplatněna požadovaná záruka na jakost zboží specifikovaná v příloze číslo 1 „Technická specifikace“ Smlouvy.</w:t>
      </w:r>
    </w:p>
    <w:p w14:paraId="646333B4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Prodávající je vlastníkem zboží do okamžiku předání zboží kontaktní osobě kupujícího, předání předmětu koupě bude ze strany kupujícího potvrzeno dodacím listem či předávacím protokolem. </w:t>
      </w:r>
    </w:p>
    <w:p w14:paraId="4CC36817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Dodací list/ předávací protokol musí obsahovat:</w:t>
      </w:r>
    </w:p>
    <w:p w14:paraId="7F7D232D" w14:textId="77777777" w:rsidR="005E325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ind w:left="1276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označení prodávajícího a kupujícího, včetně uvedení zúčastněných odpovědných pracovníků obou smluvních stran,</w:t>
      </w:r>
    </w:p>
    <w:p w14:paraId="7EBB79F8" w14:textId="77777777" w:rsidR="005E325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ind w:left="1276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množství a typ předmětu koupě,</w:t>
      </w:r>
    </w:p>
    <w:p w14:paraId="79430C69" w14:textId="77777777" w:rsidR="005E325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ind w:left="1276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datum dodání.</w:t>
      </w:r>
    </w:p>
    <w:p w14:paraId="1C4018F3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Jedno vyhotovení dodacího listu/ předávacího protokolu si ponechá prodávající, druhé vyhotovení bude předáno pracovníkovi kupujícího, který dodávku přebírá.</w:t>
      </w:r>
    </w:p>
    <w:p w14:paraId="6209DF0B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Kontaktní osoby: </w:t>
      </w:r>
    </w:p>
    <w:p w14:paraId="2FBE8EC0" w14:textId="0920F188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ind w:left="708"/>
        <w:jc w:val="both"/>
        <w:rPr>
          <w:rFonts w:ascii="Garamond" w:eastAsia="Garamond" w:hAnsi="Garamond" w:cs="Garamond"/>
          <w:color w:val="0000FF"/>
          <w:u w:val="single"/>
        </w:rPr>
      </w:pPr>
      <w:r>
        <w:rPr>
          <w:rFonts w:ascii="Garamond" w:eastAsia="Garamond" w:hAnsi="Garamond" w:cs="Garamond"/>
          <w:color w:val="000000"/>
        </w:rPr>
        <w:t xml:space="preserve">Za prodávajícího: </w:t>
      </w:r>
      <w:proofErr w:type="spellStart"/>
      <w:r w:rsidR="00D20B2F" w:rsidRPr="00D20B2F">
        <w:rPr>
          <w:rFonts w:ascii="Garamond" w:eastAsia="Garamond" w:hAnsi="Garamond" w:cs="Garamond"/>
          <w:highlight w:val="black"/>
        </w:rPr>
        <w:t>xxxxxxxxxx</w:t>
      </w:r>
      <w:proofErr w:type="spellEnd"/>
      <w:r>
        <w:rPr>
          <w:rFonts w:ascii="Garamond" w:eastAsia="Garamond" w:hAnsi="Garamond" w:cs="Garamond"/>
        </w:rPr>
        <w:t xml:space="preserve">, mob. </w:t>
      </w:r>
      <w:proofErr w:type="spellStart"/>
      <w:r w:rsidR="00D20B2F" w:rsidRPr="00D20B2F">
        <w:rPr>
          <w:rFonts w:ascii="Garamond" w:eastAsia="Garamond" w:hAnsi="Garamond" w:cs="Garamond"/>
          <w:highlight w:val="black"/>
        </w:rPr>
        <w:t>xxxxxxxxxxx</w:t>
      </w:r>
      <w:proofErr w:type="spellEnd"/>
      <w:r>
        <w:rPr>
          <w:rFonts w:ascii="Garamond" w:eastAsia="Garamond" w:hAnsi="Garamond" w:cs="Garamond"/>
        </w:rPr>
        <w:t xml:space="preserve">, e-mail: </w:t>
      </w:r>
      <w:proofErr w:type="spellStart"/>
      <w:r w:rsidR="00D20B2F" w:rsidRPr="00D20B2F">
        <w:rPr>
          <w:rFonts w:ascii="Garamond" w:eastAsia="Garamond" w:hAnsi="Garamond" w:cs="Garamond"/>
          <w:color w:val="000000" w:themeColor="text1"/>
          <w:highlight w:val="black"/>
          <w:u w:val="single"/>
        </w:rPr>
        <w:t>xxxxxxxxxxxxxx</w:t>
      </w:r>
      <w:proofErr w:type="spellEnd"/>
    </w:p>
    <w:p w14:paraId="3C7728DA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ind w:left="708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Za kupujícího: Ing. Václav Šůcha, mob. 737 244 466, e-mail: </w:t>
      </w:r>
      <w:hyperlink r:id="rId8">
        <w:r>
          <w:rPr>
            <w:rFonts w:ascii="Garamond" w:eastAsia="Garamond" w:hAnsi="Garamond" w:cs="Garamond"/>
            <w:color w:val="0000FF"/>
            <w:u w:val="single"/>
          </w:rPr>
          <w:t>vsucha@ksoud.plz.justice.cz</w:t>
        </w:r>
      </w:hyperlink>
    </w:p>
    <w:p w14:paraId="42670983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Osoby oprávněné k převzetí zboží kupujícího: </w:t>
      </w:r>
    </w:p>
    <w:p w14:paraId="05E4CA06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ind w:left="708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Ing. Václav Šůcha, mob. 737 244 466, e-mail: </w:t>
      </w:r>
      <w:hyperlink r:id="rId9">
        <w:r>
          <w:rPr>
            <w:rFonts w:ascii="Garamond" w:eastAsia="Garamond" w:hAnsi="Garamond" w:cs="Garamond"/>
            <w:color w:val="0000FF"/>
            <w:u w:val="single"/>
          </w:rPr>
          <w:t>vsucha@ksoud.plz.justice.cz</w:t>
        </w:r>
      </w:hyperlink>
      <w:r>
        <w:rPr>
          <w:rFonts w:ascii="Garamond" w:eastAsia="Garamond" w:hAnsi="Garamond" w:cs="Garamond"/>
          <w:color w:val="000000"/>
        </w:rPr>
        <w:t xml:space="preserve"> </w:t>
      </w:r>
    </w:p>
    <w:p w14:paraId="3526FD14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ind w:left="708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Ing. Tomáš Matějka, mob. 737 244 764, e-mail: </w:t>
      </w:r>
      <w:hyperlink r:id="rId10">
        <w:r>
          <w:rPr>
            <w:rFonts w:ascii="Garamond" w:eastAsia="Garamond" w:hAnsi="Garamond" w:cs="Garamond"/>
            <w:color w:val="0000FF"/>
            <w:u w:val="single"/>
          </w:rPr>
          <w:t>tmatejka@ksoud.plz.justice.cz</w:t>
        </w:r>
      </w:hyperlink>
      <w:r>
        <w:rPr>
          <w:rFonts w:ascii="Garamond" w:eastAsia="Garamond" w:hAnsi="Garamond" w:cs="Garamond"/>
          <w:color w:val="000000"/>
        </w:rPr>
        <w:t xml:space="preserve"> </w:t>
      </w:r>
    </w:p>
    <w:p w14:paraId="33C7CB3F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Garamond" w:eastAsia="Garamond" w:hAnsi="Garamond" w:cs="Garamond"/>
          <w:color w:val="000000"/>
          <w:sz w:val="32"/>
          <w:szCs w:val="32"/>
        </w:rPr>
      </w:pPr>
    </w:p>
    <w:p w14:paraId="12CD07B5" w14:textId="77777777" w:rsidR="005E325E" w:rsidRDefault="00000000">
      <w:pPr>
        <w:pStyle w:val="Nadpis1"/>
        <w:numPr>
          <w:ilvl w:val="0"/>
          <w:numId w:val="1"/>
        </w:numPr>
        <w:ind w:left="0" w:firstLine="0"/>
        <w:jc w:val="center"/>
      </w:pPr>
      <w:r>
        <w:br/>
        <w:t>Kupní cena a platební podmínky</w:t>
      </w:r>
    </w:p>
    <w:p w14:paraId="5EAD59BB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Kupující se zavazuje uhradit prodávajícímu za dodávku zboží kupní cenu, která činí:</w:t>
      </w:r>
    </w:p>
    <w:p w14:paraId="3B5856DE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</w:rPr>
      </w:pPr>
    </w:p>
    <w:p w14:paraId="470946C2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ind w:left="563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Cena za 1 ks bez DPH: 15 300 Kč (slovy: patnáct tisíc tři sta korun)</w:t>
      </w:r>
    </w:p>
    <w:p w14:paraId="49EC5E96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ind w:left="563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DPH 21 %: 3 213 Kč (slovy: tři tisíce dvě stě třináct korun)</w:t>
      </w:r>
    </w:p>
    <w:p w14:paraId="0BF57FBB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ind w:left="563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Celková cena vč. DPH: 18 513 Kč (slovy: osmnáct tisíc pět set třináct korun)</w:t>
      </w:r>
    </w:p>
    <w:p w14:paraId="6431D73D" w14:textId="77777777" w:rsidR="005E325E" w:rsidRDefault="00000000">
      <w:pPr>
        <w:widowControl w:val="0"/>
        <w:tabs>
          <w:tab w:val="left" w:pos="564"/>
        </w:tabs>
        <w:spacing w:before="119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</w:rPr>
        <w:tab/>
      </w:r>
    </w:p>
    <w:p w14:paraId="671B22BD" w14:textId="77777777" w:rsidR="005E325E" w:rsidRDefault="00000000">
      <w:pPr>
        <w:widowControl w:val="0"/>
        <w:tabs>
          <w:tab w:val="left" w:pos="564"/>
        </w:tabs>
        <w:spacing w:before="119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>Cena za 22 ks bez DPH: 336 600 Kč (slovy: tři sta třicet šest tisíc šest set korun)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DPH 21 %: 70 686 Kč (slovy: sedmdesát tisíc šest set osmdesát šest korun)</w:t>
      </w:r>
    </w:p>
    <w:p w14:paraId="171095DD" w14:textId="77777777" w:rsidR="005E325E" w:rsidRDefault="00000000">
      <w:pPr>
        <w:widowControl w:val="0"/>
        <w:tabs>
          <w:tab w:val="left" w:pos="564"/>
        </w:tabs>
        <w:spacing w:before="119"/>
        <w:ind w:left="563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Celková cena vč. DPH: 407 286 Kč (slovy: čtyři sta sedm tisíc dvě stě osmdesát šest korun)</w:t>
      </w:r>
    </w:p>
    <w:p w14:paraId="7251F3A8" w14:textId="77777777" w:rsidR="005E325E" w:rsidRDefault="005E325E">
      <w:pPr>
        <w:widowControl w:val="0"/>
        <w:tabs>
          <w:tab w:val="left" w:pos="564"/>
        </w:tabs>
        <w:spacing w:before="119"/>
        <w:ind w:left="563"/>
        <w:jc w:val="both"/>
        <w:rPr>
          <w:rFonts w:ascii="Garamond" w:eastAsia="Garamond" w:hAnsi="Garamond" w:cs="Garamond"/>
          <w:b/>
          <w:bCs/>
        </w:rPr>
      </w:pPr>
    </w:p>
    <w:p w14:paraId="4CFD72F6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Tato cena, která zahrnuje veškeré náklady prodávajícího, je cenou nejvýše přípustnou a nepřekročitelnou a může být změněna jen při změně daňových předpisů. Jakékoliv náklady související s veřejnou zakázkou či předmětem plnění podle této Smlouvy si hradí prodávající sám.</w:t>
      </w:r>
    </w:p>
    <w:p w14:paraId="323015D1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Kupující uhradí kupní cenu na základě faktury prodávajícího, která musí mít náležitosti daňového dokladu, uvedené v zákoně č. 235/2004 Sb., o dani z přidané hodnoty, ve znění pozdějších předpisů, a v zákoně č. 89/2012 Sb., občanského zákoníku. Faktura musí být doložena protokolem o předání a převzetí zboží a bude obsahovat číslo této Smlouvy objednatele. </w:t>
      </w:r>
    </w:p>
    <w:p w14:paraId="79C1D394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Faktura je splatná do 21 dnů od jejího převzetí kupujícím. Pokud faktura neobsahuje všechny předepsané náležitosti a přílohy nebo obsahuje nesprávné údaje, kupující má právo fakturu ve lhůtě splatnosti vrátit k doplnění. Po obdržení opravné faktury běží kupujícímu nová lhůta   k proplacení.</w:t>
      </w:r>
    </w:p>
    <w:p w14:paraId="1BDEE11C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Dnem úhrady se rozumí den odepsání kupní ceny z účtu kupujícího v prospěch účtu prodávajícího.</w:t>
      </w:r>
    </w:p>
    <w:p w14:paraId="506EAAE4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prohlašuje, že na zboží neváznou práva třetí osoby.</w:t>
      </w:r>
    </w:p>
    <w:p w14:paraId="409EBDC0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Kupující neposkytuje zálohy a ani jedna smluvní strana neposkytla ani neposkytne druhé smluvní straně závdavek.</w:t>
      </w:r>
    </w:p>
    <w:p w14:paraId="24E24F2F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Garamond" w:eastAsia="Garamond" w:hAnsi="Garamond" w:cs="Garamond"/>
          <w:color w:val="000000"/>
          <w:sz w:val="31"/>
          <w:szCs w:val="31"/>
        </w:rPr>
      </w:pPr>
    </w:p>
    <w:p w14:paraId="19048F26" w14:textId="77777777" w:rsidR="005E325E" w:rsidRDefault="00000000">
      <w:pPr>
        <w:pStyle w:val="Nadpis1"/>
        <w:numPr>
          <w:ilvl w:val="0"/>
          <w:numId w:val="1"/>
        </w:numPr>
        <w:ind w:left="0" w:firstLine="0"/>
        <w:jc w:val="center"/>
      </w:pPr>
      <w:r>
        <w:br/>
        <w:t>Záruční doba, záruční podmínky a odpovědnost za vady</w:t>
      </w:r>
    </w:p>
    <w:p w14:paraId="5EF46CCF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Nesplňuje-li zboží vlastnosti stanovené touto smlouva a ustanovením § 2095, §2096 a §2097 občanského zákoníku, má vady. Za vady se považuje i dodání jiného zboží, než určuje smlouva a vady v dokladech, nutných k užívání. </w:t>
      </w:r>
    </w:p>
    <w:p w14:paraId="61FF3064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Prodávající se zaručuje, že zboží bude v záruční době plně způsobilé pro použití k účelu stanovenému v této Smlouvě, a není-li účel v této Smlouvě stanoven, k účelu obvyklému a dále, že si zboží zachová vlastnosti stanovené touto Smlouvou a ustanoveními § 2095 a §2096 občanského zákoníku (záruka za jakost). </w:t>
      </w:r>
    </w:p>
    <w:p w14:paraId="15F05B73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Záruční doba je sjednána v délce 36 měsíců a začíná běžet splněním odstavce 5 článku II Smlouvy.</w:t>
      </w:r>
    </w:p>
    <w:p w14:paraId="40F10C91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Specifikace záručních podmínek je uvedena v příloze číslo 1 „Technická specifikace“ Smlouvy</w:t>
      </w:r>
    </w:p>
    <w:p w14:paraId="7A7BDC95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Záruka se nevztahuje na vady způsobené nesprávnou obsluhou a vady způsobené vyšší mocí nebo třetími osobami.</w:t>
      </w:r>
    </w:p>
    <w:p w14:paraId="7CCA2C06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Zjevné vady zboží, tedy vady, které lze zjistit již při přebírání zboží kupujícím, musí kupující reklamovat na dodacím listu/předávacím protokolu.</w:t>
      </w:r>
    </w:p>
    <w:p w14:paraId="7307D198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Vady, které lze zjistit až po dodání zboží, musí kupující reklamovat písemně nebo telefonicky bez zbytečného odkladu po tomto zjištění.</w:t>
      </w:r>
    </w:p>
    <w:p w14:paraId="0E00B852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Pokud jde o právo z odpovědnosti za vady zboží, má kupující vůči prodávajícímu právo:</w:t>
      </w:r>
    </w:p>
    <w:p w14:paraId="4CABDE41" w14:textId="77777777" w:rsidR="005E325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ind w:left="1276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žádat bezplatné odstranění vady v rozsahu uvedeném v reklamaci,</w:t>
      </w:r>
    </w:p>
    <w:p w14:paraId="787A53DA" w14:textId="77777777" w:rsidR="005E325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ind w:left="1276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žádat bezvadné zboží, pokud reklamovanou vadu není možné odstranit zejména z technického nebo ekonomického hlediska,</w:t>
      </w:r>
    </w:p>
    <w:p w14:paraId="07EFD626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Volba práva z odpovědnosti za vady v každém jednotlivém případě náleží kupujícímu, kupující je však povinen tuto volbu oznámit prodávajícímu včas zaslaným oznámením vad </w:t>
      </w:r>
      <w:r>
        <w:rPr>
          <w:rFonts w:ascii="Garamond" w:eastAsia="Garamond" w:hAnsi="Garamond" w:cs="Garamond"/>
          <w:color w:val="000000"/>
        </w:rPr>
        <w:lastRenderedPageBreak/>
        <w:t>nebo bez zbytečného odkladu po tomto oznámení.</w:t>
      </w:r>
    </w:p>
    <w:p w14:paraId="16F71E57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Vady zboží uplatňuje kupující písemně nebo telefonicky na prodávajícího nebo výrobce, případně zástupce oficiálního distributora pro Českou republiku. Dohodnuté kontakty pro uplatnění záručního servisu jsou:</w:t>
      </w:r>
    </w:p>
    <w:p w14:paraId="21539B5E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1F7C1BA0" w14:textId="77777777" w:rsidR="005E325E" w:rsidRDefault="00000000">
      <w:pPr>
        <w:pBdr>
          <w:top w:val="nil"/>
          <w:left w:val="nil"/>
          <w:bottom w:val="nil"/>
          <w:right w:val="nil"/>
          <w:between w:val="nil"/>
        </w:pBdr>
        <w:ind w:left="49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prodávající: </w:t>
      </w:r>
    </w:p>
    <w:p w14:paraId="773C7E9F" w14:textId="4C548A6D" w:rsidR="005E325E" w:rsidRDefault="00000000">
      <w:pPr>
        <w:pBdr>
          <w:top w:val="nil"/>
          <w:left w:val="nil"/>
          <w:bottom w:val="nil"/>
          <w:right w:val="nil"/>
          <w:between w:val="nil"/>
        </w:pBdr>
        <w:ind w:left="49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e-mail: </w:t>
      </w:r>
      <w:proofErr w:type="spellStart"/>
      <w:r w:rsidR="00AD47B5" w:rsidRPr="00AD47B5">
        <w:rPr>
          <w:rFonts w:ascii="Garamond" w:eastAsia="Garamond" w:hAnsi="Garamond" w:cs="Garamond"/>
          <w:color w:val="000000" w:themeColor="text1"/>
          <w:highlight w:val="black"/>
          <w:u w:val="single"/>
        </w:rPr>
        <w:t>xxxxxxxxxxxxx</w:t>
      </w:r>
      <w:proofErr w:type="spellEnd"/>
      <w:r>
        <w:rPr>
          <w:rFonts w:ascii="Garamond" w:eastAsia="Garamond" w:hAnsi="Garamond" w:cs="Garamond"/>
          <w:color w:val="000000"/>
        </w:rPr>
        <w:t xml:space="preserve">, telefonní číslo.: </w:t>
      </w:r>
      <w:proofErr w:type="spellStart"/>
      <w:r w:rsidR="00AD47B5" w:rsidRPr="00AD47B5">
        <w:rPr>
          <w:rFonts w:ascii="Garamond" w:eastAsia="Garamond" w:hAnsi="Garamond" w:cs="Garamond"/>
          <w:color w:val="000000"/>
          <w:highlight w:val="black"/>
        </w:rPr>
        <w:t>xxxxxxxxxx</w:t>
      </w:r>
      <w:proofErr w:type="spellEnd"/>
      <w:r>
        <w:rPr>
          <w:rFonts w:ascii="Garamond" w:eastAsia="Garamond" w:hAnsi="Garamond" w:cs="Garamond"/>
          <w:color w:val="000000"/>
        </w:rPr>
        <w:t>     </w:t>
      </w:r>
    </w:p>
    <w:p w14:paraId="66D28E20" w14:textId="77777777" w:rsidR="005E325E" w:rsidRDefault="005E325E">
      <w:pPr>
        <w:pBdr>
          <w:top w:val="nil"/>
          <w:left w:val="nil"/>
          <w:bottom w:val="nil"/>
          <w:right w:val="nil"/>
          <w:between w:val="nil"/>
        </w:pBdr>
        <w:ind w:left="497"/>
        <w:jc w:val="both"/>
        <w:rPr>
          <w:rFonts w:ascii="Garamond" w:eastAsia="Garamond" w:hAnsi="Garamond" w:cs="Garamond"/>
          <w:color w:val="000000"/>
        </w:rPr>
      </w:pPr>
    </w:p>
    <w:p w14:paraId="36A33EE9" w14:textId="77777777" w:rsidR="005E325E" w:rsidRDefault="00000000">
      <w:pPr>
        <w:pBdr>
          <w:top w:val="nil"/>
          <w:left w:val="nil"/>
          <w:bottom w:val="nil"/>
          <w:right w:val="nil"/>
          <w:between w:val="nil"/>
        </w:pBdr>
        <w:ind w:left="49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výrobce/ zástupce oficiálního distributora: </w:t>
      </w:r>
    </w:p>
    <w:p w14:paraId="2FB14FF4" w14:textId="77777777" w:rsidR="005E325E" w:rsidRDefault="00000000">
      <w:pPr>
        <w:pBdr>
          <w:top w:val="nil"/>
          <w:left w:val="nil"/>
          <w:bottom w:val="nil"/>
          <w:right w:val="nil"/>
          <w:between w:val="nil"/>
        </w:pBdr>
        <w:ind w:left="497"/>
        <w:jc w:val="both"/>
        <w:rPr>
          <w:rFonts w:ascii="Garamond" w:eastAsia="Garamond" w:hAnsi="Garamond" w:cs="Garamond"/>
          <w:color w:val="000000"/>
          <w:highlight w:val="yellow"/>
        </w:rPr>
      </w:pPr>
      <w:r>
        <w:rPr>
          <w:rFonts w:ascii="Garamond" w:eastAsia="Garamond" w:hAnsi="Garamond" w:cs="Garamond"/>
          <w:color w:val="000000"/>
        </w:rPr>
        <w:t xml:space="preserve">e-mail: </w:t>
      </w:r>
      <w:r>
        <w:rPr>
          <w:rFonts w:ascii="Garamond" w:eastAsia="Garamond" w:hAnsi="Garamond" w:cs="Garamond"/>
          <w:color w:val="0000FF"/>
          <w:u w:val="single"/>
        </w:rPr>
        <w:t>reklamace@asus.com</w:t>
      </w:r>
      <w:hyperlink r:id="rId11">
        <w:r>
          <w:rPr>
            <w:rFonts w:ascii="Garamond" w:eastAsia="Garamond" w:hAnsi="Garamond" w:cs="Garamond"/>
            <w:color w:val="000000"/>
          </w:rPr>
          <w:t xml:space="preserve"> </w:t>
        </w:r>
      </w:hyperlink>
      <w:r>
        <w:rPr>
          <w:rFonts w:ascii="Garamond" w:eastAsia="Garamond" w:hAnsi="Garamond" w:cs="Garamond"/>
          <w:color w:val="000000"/>
        </w:rPr>
        <w:t xml:space="preserve">, telefonní číslo.: </w:t>
      </w:r>
      <w:r>
        <w:rPr>
          <w:rFonts w:ascii="Garamond" w:eastAsia="Garamond" w:hAnsi="Garamond" w:cs="Garamond"/>
        </w:rPr>
        <w:t>552 302 313</w:t>
      </w:r>
      <w:r>
        <w:rPr>
          <w:rFonts w:ascii="Garamond" w:eastAsia="Garamond" w:hAnsi="Garamond" w:cs="Garamond"/>
          <w:color w:val="000000"/>
          <w:highlight w:val="yellow"/>
        </w:rPr>
        <w:t xml:space="preserve">     </w:t>
      </w:r>
    </w:p>
    <w:p w14:paraId="40551F47" w14:textId="77777777" w:rsidR="005E325E" w:rsidRDefault="005E325E">
      <w:pPr>
        <w:pBdr>
          <w:top w:val="nil"/>
          <w:left w:val="nil"/>
          <w:bottom w:val="nil"/>
          <w:right w:val="nil"/>
          <w:between w:val="nil"/>
        </w:pBdr>
        <w:ind w:left="497"/>
        <w:jc w:val="both"/>
        <w:rPr>
          <w:rFonts w:ascii="Garamond" w:eastAsia="Garamond" w:hAnsi="Garamond" w:cs="Garamond"/>
          <w:color w:val="000000"/>
        </w:rPr>
      </w:pPr>
    </w:p>
    <w:p w14:paraId="1C9DC641" w14:textId="77777777" w:rsidR="005E325E" w:rsidRDefault="00000000">
      <w:pPr>
        <w:pBdr>
          <w:top w:val="nil"/>
          <w:left w:val="nil"/>
          <w:bottom w:val="nil"/>
          <w:right w:val="nil"/>
          <w:between w:val="nil"/>
        </w:pBdr>
        <w:ind w:left="49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Nahlášení závady i průběh jejího řešení musí být akceptováno v českém jazyce. Všechny výše uvedené způsoby mají stejnou váhu.</w:t>
      </w:r>
    </w:p>
    <w:p w14:paraId="6BCB6ED2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zajistí odstátnění závady zboží na vlastní náklady v místě dodání zboží.</w:t>
      </w:r>
    </w:p>
    <w:p w14:paraId="76676BDE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ind w:left="497"/>
        <w:jc w:val="both"/>
        <w:rPr>
          <w:rFonts w:ascii="Garamond" w:eastAsia="Garamond" w:hAnsi="Garamond" w:cs="Garamond"/>
          <w:color w:val="000000"/>
        </w:rPr>
      </w:pPr>
    </w:p>
    <w:p w14:paraId="78A20DF8" w14:textId="77777777" w:rsidR="005E325E" w:rsidRDefault="00000000">
      <w:pPr>
        <w:pStyle w:val="Nadpis1"/>
        <w:numPr>
          <w:ilvl w:val="0"/>
          <w:numId w:val="1"/>
        </w:numPr>
        <w:ind w:left="0" w:firstLine="0"/>
        <w:jc w:val="center"/>
      </w:pPr>
      <w:r>
        <w:br/>
        <w:t>Důvěrnost informací</w:t>
      </w:r>
    </w:p>
    <w:p w14:paraId="7BFED9B4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Všechny informace, které se dozví prodávající při dodávce zboží dle této Smlouvy nebo v souvislosti s plněním dle této Smlouvy, jsou důvěrné povahy.</w:t>
      </w:r>
    </w:p>
    <w:p w14:paraId="7AF2BCE8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se zavazuje zachovávat o důvěrných informacích mlčenlivost a důvěrné informace používat pouze k plnění dle této Smlouvy. Povinnost zachovávat mlčenlivost znamená zejména povinnost zdržet se jakéhokoliv jednání, kterým by důvěrné informace byly sděleny nebo zpřístupněny třetí osobě nebo by byly použity v rozporu s jejich účelem pro vlastní potřeby nebo pro potřeby třetí osoby, případně by bylo umožněno třetí osobě jakékoliv využití těchto důvěrných informací.</w:t>
      </w:r>
    </w:p>
    <w:p w14:paraId="4D460D7C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je povinen přijmout opatření k ochraně důvěrných informací.</w:t>
      </w:r>
    </w:p>
    <w:p w14:paraId="13803BF8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Povinnost zachovávat mlčenlivost trvá i po skončení smluvního vztahu.</w:t>
      </w:r>
    </w:p>
    <w:p w14:paraId="39895E7A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Garamond" w:eastAsia="Garamond" w:hAnsi="Garamond" w:cs="Garamond"/>
          <w:color w:val="000000"/>
          <w:sz w:val="32"/>
          <w:szCs w:val="32"/>
        </w:rPr>
      </w:pPr>
    </w:p>
    <w:p w14:paraId="65FA4FCD" w14:textId="77777777" w:rsidR="005E325E" w:rsidRDefault="00000000">
      <w:pPr>
        <w:pStyle w:val="Nadpis1"/>
        <w:numPr>
          <w:ilvl w:val="0"/>
          <w:numId w:val="1"/>
        </w:numPr>
        <w:ind w:left="0" w:firstLine="0"/>
        <w:jc w:val="center"/>
      </w:pPr>
      <w:r>
        <w:br/>
        <w:t>Smluvní pokuty a úrok z prodlení</w:t>
      </w:r>
    </w:p>
    <w:p w14:paraId="4ED45160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 případě prodlení kupujícího se zaplacením kupní ceny je prodávající oprávněn po něm požadovat úrok z prodlení z dlužné částky ve výši stanovené zvláštním předpisem.</w:t>
      </w:r>
    </w:p>
    <w:p w14:paraId="4242AAEA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 případě prodlení prodávajícího s dodávkou zboží ve lhůtě stanovené v čl. II bodu 3. Smlouvy je prodávající povinen uhradit kupujícímu smluvní pokutu ve výši 5 000 Kč, a to za každý, byť i započatý den prodlení.</w:t>
      </w:r>
    </w:p>
    <w:p w14:paraId="12A3A116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 případě prodlení prodávajícího s odstraněním vad ve lhůtě stanovené v čl. IV bodu 3. Smlouvy je prodávající povinen uhradit kupujícímu smluvní pokutu ve výši 1 000 Kč, a to za každý, byť i započatý den prodlení.</w:t>
      </w:r>
    </w:p>
    <w:p w14:paraId="2A6786CF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Za porušení povinnosti mlčenlivosti specifikované v čl. V Smlouvy je prodávající povinen uhradit kupujícímu smluvní pokutu ve výši 30 000 Kč, a to za každý jednotlivý případ porušení povinnosti.</w:t>
      </w:r>
    </w:p>
    <w:p w14:paraId="60AB876B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 vyúčtování, náležitosti faktury a splatnosti úroků z prodlení a smluvních pokut platí obdobně ustanovení čl. III Smlouvy.</w:t>
      </w:r>
    </w:p>
    <w:p w14:paraId="2F76F401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Garamond" w:eastAsia="Garamond" w:hAnsi="Garamond" w:cs="Garamond"/>
          <w:color w:val="000000"/>
          <w:sz w:val="32"/>
          <w:szCs w:val="32"/>
        </w:rPr>
      </w:pPr>
    </w:p>
    <w:p w14:paraId="017BA5EE" w14:textId="77777777" w:rsidR="005E325E" w:rsidRDefault="00000000">
      <w:pPr>
        <w:pStyle w:val="Nadpis1"/>
        <w:numPr>
          <w:ilvl w:val="0"/>
          <w:numId w:val="1"/>
        </w:numPr>
        <w:ind w:left="0" w:firstLine="0"/>
        <w:jc w:val="center"/>
      </w:pPr>
      <w:r>
        <w:br/>
      </w:r>
      <w:r>
        <w:lastRenderedPageBreak/>
        <w:t>Závěrečné ustanovení</w:t>
      </w:r>
    </w:p>
    <w:p w14:paraId="7F994D96" w14:textId="77777777" w:rsidR="005E325E" w:rsidRDefault="005E325E">
      <w:pPr>
        <w:pStyle w:val="Nadpis1"/>
        <w:ind w:left="0"/>
      </w:pPr>
    </w:p>
    <w:p w14:paraId="37426130" w14:textId="77777777" w:rsidR="005E325E" w:rsidRDefault="00000000">
      <w:pPr>
        <w:numPr>
          <w:ilvl w:val="1"/>
          <w:numId w:val="1"/>
        </w:numPr>
        <w:spacing w:after="20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Komunikace mezi smluvními stranami bude v českém jazyce. </w:t>
      </w:r>
    </w:p>
    <w:p w14:paraId="089750D2" w14:textId="77777777" w:rsidR="005E325E" w:rsidRDefault="00000000">
      <w:pPr>
        <w:numPr>
          <w:ilvl w:val="1"/>
          <w:numId w:val="1"/>
        </w:numPr>
        <w:spacing w:after="20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 právní vztahy, touto Smlouvou založené a v ní výslovně neupravené, se použijí příslušná ustanovení občanského zákoníku.</w:t>
      </w:r>
    </w:p>
    <w:p w14:paraId="30044EB9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Smlouva je podepsána elektronicky pomocí uznávaného elektronického podpisu, tj.</w:t>
      </w:r>
      <w:r>
        <w:rPr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zaručený elektronický podpis založený na kvalifikovaném certifikátu.</w:t>
      </w:r>
    </w:p>
    <w:p w14:paraId="304CDF28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Smlouvu je možno měnit či doplňovat pouze písemnými číslovanými dodatky, podepsanými k tomu oprávněnými zástupci obou smluvních stran.</w:t>
      </w:r>
    </w:p>
    <w:p w14:paraId="1019D41B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Smluvní strany prohlašují, že Smlouva byla sjednána na základě jejich pravé a svobodné vůle, že si její obsah přečetli a bezvýhradně s ním souhlasí, což stvrzují svými vlastnoručními podpisy.</w:t>
      </w:r>
    </w:p>
    <w:p w14:paraId="49EAC9BA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Stane-li se některé ustanovení této Smlouvy neplatné či neúčinné, nedotýká se to ostatních ustanovení této Smlouvy, která zůstává platná a účinná. Smluvní strany se v 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 </w:t>
      </w:r>
    </w:p>
    <w:p w14:paraId="4F49CE12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vzniklé újmy pro stranu, která se porušení Smlouvy v tomto bodě nedopustila.</w:t>
      </w:r>
    </w:p>
    <w:p w14:paraId="5D7358C9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Smluvní strany se zavazují vyvinout maximální úsilí k odstranění vzájemných sporů vzniklých na základě této Smlouvy nebo v souvislosti s touto Smlouvou, včetně jejího výkladu a vynaloží úsilí k jejich vyřešení, zejména prostřednictvím jednání oprávněných osob nebo pověřených zástupců.</w:t>
      </w:r>
    </w:p>
    <w:p w14:paraId="2D220577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Tato Smlouva a vztahy z ní vyplývající se řídí právním řádem České republiky.</w:t>
      </w:r>
    </w:p>
    <w:p w14:paraId="0D387608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Při rozhodování případných sporů, vzniklých ze závazkových vztahů založených touto Smlouvou, budou místně a věcně příslušné soudy České republiky.</w:t>
      </w:r>
    </w:p>
    <w:p w14:paraId="4A14D58A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Smluvní strany souhlasí s uveřejněním celé této Smlouvy v plném znění včetně příloh na dobu neurčitou v registru smluv podle zákona č. 340/2015 Sb., o zvláštních podmínkách účinnosti některých smluv, uveřejňování těchto smluv a o registru smluv (zákon o registru smluv). Kupující se zavazuje Smlouvu dle předmětného zákona uveřejnit.</w:t>
      </w:r>
    </w:p>
    <w:p w14:paraId="1C50F7A9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Tato Smlouva nabývá platnosti dnem podpisu smluvních stran a účinnosti dnem uveřejnění v registru smluv.</w:t>
      </w:r>
    </w:p>
    <w:p w14:paraId="6939D0C7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je podle zákona č. 320/2001 Sb., o finanční kontrole ve veřejné správě a o změně některých zákonů, v platném znění, osobou povinnou spolupůsobit při výkonu finanční kontroly prováděné v souvislosti s úhradou zboží nebo služeb z veřejných výdajů.</w:t>
      </w:r>
    </w:p>
    <w:p w14:paraId="6A0B5FF2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 ohledem na účinnost nařízení Evropského parlamentu a rady (EU) 2016/679 o ochraně fyzických osob v souvislosti se zpracováním osobních údajů a o volném pohybu těchto údajů a o zrušení směrnice 95/46/ES, prodávající souhlasí se shromažďováním, zpracováním a uchováváním osobních údajů Krajským soudem v Plzni, a to v rozsahu nezbytném pro naplnění účelu uzavřené kupní Smlouvy. Prodávající současně bere na vědomí, že po skončení smluvního vztahu budou jím poskytnuté osobní údaje, včetně listin, jež je obsahují </w:t>
      </w:r>
      <w:r>
        <w:rPr>
          <w:rFonts w:ascii="Garamond" w:eastAsia="Garamond" w:hAnsi="Garamond" w:cs="Garamond"/>
          <w:color w:val="000000"/>
        </w:rPr>
        <w:lastRenderedPageBreak/>
        <w:t>uchovávány Krajským soudem v Plzni po dobu deseti let, přičemž po uplynutí této lhůty s nimi bude naloženo v souladu s výše uvedeným nařízením a zákonem o ochraně osobních údajů.</w:t>
      </w:r>
    </w:p>
    <w:p w14:paraId="516CB834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Prodávající v rámci výkonu této Smlouvy může disponovat s osobními údaji fyzických osob, a proto pro něj ustanovení nařízení Evropského parlamentu a rady (EU) 2016/679 o ochraně fyzických osob v souvislosti se zpracováním osobních údajů a o volném pohybu těchto údajů a o zrušení směrnice 95/46/ES, v otázce shromažďování, zpracování a uchovávání osobních údajů získaných z realizace a výkonu této Smlouvy platí obdobně.</w:t>
      </w:r>
    </w:p>
    <w:p w14:paraId="52E3954E" w14:textId="77777777" w:rsidR="005E325E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spacing w:before="119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Nedílnou součástí této Smlouvy je</w:t>
      </w:r>
    </w:p>
    <w:p w14:paraId="7FE3B92F" w14:textId="77777777" w:rsidR="005E325E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1276" w:hanging="284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Příloha 1 „Technická specifikace“</w:t>
      </w:r>
    </w:p>
    <w:p w14:paraId="5E4436D6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6"/>
          <w:szCs w:val="26"/>
        </w:rPr>
      </w:pPr>
    </w:p>
    <w:p w14:paraId="79F885D5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6"/>
          <w:szCs w:val="26"/>
        </w:rPr>
      </w:pPr>
    </w:p>
    <w:p w14:paraId="4E333144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6"/>
          <w:szCs w:val="26"/>
        </w:rPr>
      </w:pPr>
    </w:p>
    <w:p w14:paraId="1CF5E555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6"/>
          <w:szCs w:val="26"/>
        </w:rPr>
      </w:pPr>
    </w:p>
    <w:p w14:paraId="206BA960" w14:textId="77777777" w:rsidR="005E325E" w:rsidRDefault="005E32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6"/>
          <w:szCs w:val="26"/>
        </w:rPr>
      </w:pPr>
    </w:p>
    <w:p w14:paraId="5D4D83E4" w14:textId="77777777" w:rsidR="005E32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before="18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 Plzni dne, viz. el. podpis</w:t>
      </w:r>
      <w:r>
        <w:rPr>
          <w:rFonts w:ascii="Garamond" w:eastAsia="Garamond" w:hAnsi="Garamond" w:cs="Garamond"/>
          <w:color w:val="000000"/>
        </w:rPr>
        <w:tab/>
        <w:t xml:space="preserve">V </w:t>
      </w:r>
      <w:r>
        <w:rPr>
          <w:rFonts w:ascii="Garamond" w:eastAsia="Garamond" w:hAnsi="Garamond" w:cs="Garamond"/>
        </w:rPr>
        <w:t>Brně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  <w:r>
        <w:rPr>
          <w:rFonts w:ascii="Garamond" w:eastAsia="Garamond" w:hAnsi="Garamond" w:cs="Garamond"/>
          <w:color w:val="000000"/>
        </w:rPr>
        <w:t>dne, viz. el. podpis</w:t>
      </w:r>
    </w:p>
    <w:p w14:paraId="01C9AEA1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313D0013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0C38AB7B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7517383D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16D582F6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180DC227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62DE2124" w14:textId="77777777" w:rsidR="005E325E" w:rsidRDefault="00000000">
      <w:pPr>
        <w:tabs>
          <w:tab w:val="left" w:pos="4536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 Kupujícího</w:t>
      </w:r>
      <w:r>
        <w:rPr>
          <w:rFonts w:ascii="Garamond" w:eastAsia="Garamond" w:hAnsi="Garamond" w:cs="Garamond"/>
        </w:rPr>
        <w:tab/>
        <w:t>Za Prodávajícího</w:t>
      </w:r>
    </w:p>
    <w:p w14:paraId="7EAA4D26" w14:textId="77777777" w:rsidR="005E325E" w:rsidRDefault="00000000">
      <w:pPr>
        <w:tabs>
          <w:tab w:val="left" w:pos="4536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</w:rPr>
        <w:t>JUDr. Věra Oravcová, Ph.D.</w:t>
      </w:r>
      <w:r>
        <w:rPr>
          <w:rFonts w:ascii="Garamond" w:eastAsia="Garamond" w:hAnsi="Garamond" w:cs="Garamond"/>
        </w:rPr>
        <w:t>,</w:t>
      </w:r>
      <w:r>
        <w:rPr>
          <w:rFonts w:ascii="Garamond" w:eastAsia="Garamond" w:hAnsi="Garamond" w:cs="Garamond"/>
          <w:b/>
          <w:bCs/>
        </w:rPr>
        <w:t xml:space="preserve"> </w:t>
      </w:r>
      <w:r>
        <w:rPr>
          <w:rFonts w:ascii="Garamond" w:eastAsia="Garamond" w:hAnsi="Garamond" w:cs="Garamond"/>
          <w:b/>
          <w:bCs/>
        </w:rPr>
        <w:tab/>
        <w:t xml:space="preserve">Jiří Šilhavý, MBA, </w:t>
      </w:r>
      <w:r>
        <w:rPr>
          <w:rFonts w:ascii="Garamond" w:eastAsia="Garamond" w:hAnsi="Garamond" w:cs="Garamond"/>
        </w:rPr>
        <w:t>jednatel</w:t>
      </w:r>
    </w:p>
    <w:p w14:paraId="665E9A4C" w14:textId="77777777" w:rsidR="005E325E" w:rsidRDefault="00000000">
      <w:pPr>
        <w:tabs>
          <w:tab w:val="left" w:pos="4536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předsedkyně Krajského soudu v Plzni</w:t>
      </w:r>
      <w:r>
        <w:rPr>
          <w:rFonts w:ascii="Garamond" w:eastAsia="Garamond" w:hAnsi="Garamond" w:cs="Garamond"/>
        </w:rPr>
        <w:tab/>
        <w:t xml:space="preserve">KSP </w:t>
      </w:r>
      <w:proofErr w:type="spellStart"/>
      <w:r>
        <w:rPr>
          <w:rFonts w:ascii="Garamond" w:eastAsia="Garamond" w:hAnsi="Garamond" w:cs="Garamond"/>
        </w:rPr>
        <w:t>Computer</w:t>
      </w:r>
      <w:proofErr w:type="spellEnd"/>
      <w:r>
        <w:rPr>
          <w:rFonts w:ascii="Garamond" w:eastAsia="Garamond" w:hAnsi="Garamond" w:cs="Garamond"/>
        </w:rPr>
        <w:t xml:space="preserve"> &amp; </w:t>
      </w:r>
      <w:proofErr w:type="spellStart"/>
      <w:r>
        <w:rPr>
          <w:rFonts w:ascii="Garamond" w:eastAsia="Garamond" w:hAnsi="Garamond" w:cs="Garamond"/>
        </w:rPr>
        <w:t>Services</w:t>
      </w:r>
      <w:proofErr w:type="spellEnd"/>
      <w:r>
        <w:rPr>
          <w:rFonts w:ascii="Garamond" w:eastAsia="Garamond" w:hAnsi="Garamond" w:cs="Garamond"/>
        </w:rPr>
        <w:t xml:space="preserve"> Moravia s.r.o.    </w:t>
      </w:r>
    </w:p>
    <w:p w14:paraId="56523A3D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2B910DD4" w14:textId="77777777" w:rsidR="005E325E" w:rsidRDefault="005E325E">
      <w:pPr>
        <w:jc w:val="both"/>
        <w:rPr>
          <w:rFonts w:ascii="Garamond" w:eastAsia="Garamond" w:hAnsi="Garamond" w:cs="Garamond"/>
          <w:sz w:val="22"/>
          <w:szCs w:val="22"/>
        </w:rPr>
      </w:pPr>
    </w:p>
    <w:p w14:paraId="76CC456B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15901E0C" w14:textId="77777777" w:rsidR="005E325E" w:rsidRDefault="005E325E">
      <w:pPr>
        <w:jc w:val="both"/>
        <w:rPr>
          <w:rFonts w:ascii="Garamond" w:eastAsia="Garamond" w:hAnsi="Garamond" w:cs="Garamond"/>
        </w:rPr>
      </w:pPr>
    </w:p>
    <w:p w14:paraId="54DD75B8" w14:textId="77777777" w:rsidR="005E325E" w:rsidRDefault="005E325E">
      <w:pPr>
        <w:jc w:val="center"/>
        <w:rPr>
          <w:rFonts w:ascii="Garamond" w:eastAsia="Garamond" w:hAnsi="Garamond" w:cs="Garamond"/>
        </w:rPr>
      </w:pPr>
    </w:p>
    <w:p w14:paraId="4EF9F8FF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66D230B7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28A3D3C5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2FFFE6A3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073FCC4B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358CFAE4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7C81C5A8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1988AD27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2B677308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3AB4C6C9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443ACE6F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1F0E41C2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00FD6342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13D57BCC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7FFB0A03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5CBC16AD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36BEDD90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5346BAAC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5B743EC3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1598965C" w14:textId="77777777" w:rsidR="005E325E" w:rsidRDefault="005E325E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19CD00E5" w14:textId="77777777" w:rsidR="005E325E" w:rsidRDefault="00000000">
      <w:pPr>
        <w:pStyle w:val="Nzev"/>
        <w:jc w:val="lef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Příloha 1 „Technická specifikace“</w:t>
      </w:r>
    </w:p>
    <w:p w14:paraId="68A810E1" w14:textId="77777777" w:rsidR="005E325E" w:rsidRDefault="005E325E">
      <w:pPr>
        <w:pStyle w:val="Nzev"/>
        <w:jc w:val="left"/>
        <w:rPr>
          <w:rFonts w:ascii="Garamond" w:eastAsia="Garamond" w:hAnsi="Garamond" w:cs="Garamond"/>
          <w:b w:val="0"/>
          <w:bCs w:val="0"/>
        </w:rPr>
      </w:pPr>
    </w:p>
    <w:tbl>
      <w:tblPr>
        <w:tblStyle w:val="a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6804"/>
      </w:tblGrid>
      <w:tr w:rsidR="005E325E" w14:paraId="1BA2FBFE" w14:textId="77777777">
        <w:trPr>
          <w:trHeight w:val="397"/>
        </w:trPr>
        <w:tc>
          <w:tcPr>
            <w:tcW w:w="2410" w:type="dxa"/>
            <w:shd w:val="clear" w:color="auto" w:fill="auto"/>
          </w:tcPr>
          <w:p w14:paraId="129C70B7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Výrobce</w:t>
            </w:r>
          </w:p>
        </w:tc>
        <w:tc>
          <w:tcPr>
            <w:tcW w:w="6804" w:type="dxa"/>
          </w:tcPr>
          <w:p w14:paraId="169CE251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Asus</w:t>
            </w:r>
            <w:proofErr w:type="spellEnd"/>
          </w:p>
        </w:tc>
      </w:tr>
      <w:tr w:rsidR="005E325E" w14:paraId="7713C61E" w14:textId="77777777">
        <w:trPr>
          <w:trHeight w:val="397"/>
        </w:trPr>
        <w:tc>
          <w:tcPr>
            <w:tcW w:w="2410" w:type="dxa"/>
            <w:shd w:val="clear" w:color="auto" w:fill="auto"/>
          </w:tcPr>
          <w:p w14:paraId="56AA0C73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Obchodní název</w:t>
            </w:r>
          </w:p>
        </w:tc>
        <w:tc>
          <w:tcPr>
            <w:tcW w:w="6804" w:type="dxa"/>
          </w:tcPr>
          <w:p w14:paraId="54AC7510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Asus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All in </w:t>
            </w:r>
            <w:proofErr w:type="spellStart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One</w:t>
            </w:r>
            <w:proofErr w:type="spellEnd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ASUS </w:t>
            </w:r>
            <w:proofErr w:type="spellStart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ExpertCenter</w:t>
            </w:r>
            <w:proofErr w:type="spellEnd"/>
          </w:p>
        </w:tc>
      </w:tr>
      <w:tr w:rsidR="005E325E" w14:paraId="267D3589" w14:textId="77777777">
        <w:trPr>
          <w:trHeight w:val="397"/>
        </w:trPr>
        <w:tc>
          <w:tcPr>
            <w:tcW w:w="2410" w:type="dxa"/>
            <w:shd w:val="clear" w:color="auto" w:fill="auto"/>
          </w:tcPr>
          <w:p w14:paraId="4CA46EE6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6804" w:type="dxa"/>
          </w:tcPr>
          <w:p w14:paraId="5B3F4D16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P440</w:t>
            </w:r>
          </w:p>
        </w:tc>
      </w:tr>
      <w:tr w:rsidR="005E325E" w14:paraId="23972B33" w14:textId="77777777">
        <w:trPr>
          <w:trHeight w:val="397"/>
        </w:trPr>
        <w:tc>
          <w:tcPr>
            <w:tcW w:w="2410" w:type="dxa"/>
            <w:shd w:val="clear" w:color="auto" w:fill="auto"/>
          </w:tcPr>
          <w:p w14:paraId="2C7B9BDE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Part-</w:t>
            </w:r>
            <w:proofErr w:type="spellStart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6804" w:type="dxa"/>
          </w:tcPr>
          <w:p w14:paraId="1D1757FC" w14:textId="77777777" w:rsidR="005E325E" w:rsidRDefault="00000000">
            <w:pPr>
              <w:spacing w:before="60" w:after="60" w:line="276" w:lineRule="auto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P440VAK-BPC516512X</w:t>
            </w:r>
          </w:p>
        </w:tc>
      </w:tr>
    </w:tbl>
    <w:p w14:paraId="79611665" w14:textId="77777777" w:rsidR="005E325E" w:rsidRDefault="005E325E">
      <w:pPr>
        <w:spacing w:after="120"/>
        <w:rPr>
          <w:rFonts w:ascii="Garamond" w:eastAsia="Garamond" w:hAnsi="Garamond" w:cs="Garamond"/>
          <w:sz w:val="10"/>
          <w:szCs w:val="10"/>
        </w:rPr>
      </w:pPr>
    </w:p>
    <w:tbl>
      <w:tblPr>
        <w:tblStyle w:val="a0"/>
        <w:tblW w:w="91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55"/>
        <w:gridCol w:w="1245"/>
        <w:gridCol w:w="3660"/>
        <w:gridCol w:w="3135"/>
      </w:tblGrid>
      <w:tr w:rsidR="005E325E" w14:paraId="17DF2F02" w14:textId="77777777">
        <w:trPr>
          <w:trHeight w:val="397"/>
          <w:tblHeader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51CDA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Číslo parametru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089ED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7FB72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Minimální požadavek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64703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Nabízené parametry</w:t>
            </w:r>
          </w:p>
        </w:tc>
      </w:tr>
      <w:tr w:rsidR="005E325E" w14:paraId="26579ADC" w14:textId="77777777">
        <w:trPr>
          <w:trHeight w:val="403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B2F60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552EF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Typ procesoru</w:t>
            </w:r>
          </w:p>
          <w:p w14:paraId="5F7B8B97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(CPU)</w:t>
            </w:r>
          </w:p>
        </w:tc>
        <w:tc>
          <w:tcPr>
            <w:tcW w:w="3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707EF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CPU minimálně Intel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Core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5 nebo AMD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Ryzen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5 min. 10.000 bodů (</w:t>
            </w:r>
            <w:proofErr w:type="spellStart"/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>multithread</w:t>
            </w:r>
            <w:proofErr w:type="spellEnd"/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 xml:space="preserve"> rating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t>) a s výkonem na jedno jádro (</w:t>
            </w:r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 xml:space="preserve">single </w:t>
            </w:r>
            <w:proofErr w:type="spellStart"/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>thread</w:t>
            </w:r>
            <w:proofErr w:type="spellEnd"/>
            <w:r>
              <w:rPr>
                <w:rFonts w:ascii="Garamond" w:eastAsia="Garamond" w:hAnsi="Garamond" w:cs="Garamond"/>
                <w:i/>
                <w:iCs/>
                <w:sz w:val="20"/>
                <w:szCs w:val="20"/>
              </w:rPr>
              <w:t xml:space="preserve"> rating)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minimálně 2.000 bodů v benchmarku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Passmark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CPU Mark (dle serveru </w:t>
            </w:r>
            <w:hyperlink r:id="rId12">
              <w:r>
                <w:rPr>
                  <w:rFonts w:ascii="Garamond" w:eastAsia="Garamond" w:hAnsi="Garamond" w:cs="Garamond"/>
                  <w:color w:val="0000FF"/>
                  <w:sz w:val="20"/>
                  <w:szCs w:val="20"/>
                  <w:u w:val="single"/>
                </w:rPr>
                <w:t>cpubenchmark.net</w:t>
              </w:r>
            </w:hyperlink>
            <w:r>
              <w:rPr>
                <w:rFonts w:ascii="Garamond" w:eastAsia="Garamond" w:hAnsi="Garamond" w:cs="Garamond"/>
                <w:sz w:val="20"/>
                <w:szCs w:val="20"/>
              </w:rPr>
              <w:t>).</w:t>
            </w:r>
          </w:p>
        </w:tc>
        <w:tc>
          <w:tcPr>
            <w:tcW w:w="3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E81AC4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Intel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Core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5 </w:t>
            </w:r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210H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, CPU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Passmark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18300 a více, výkon na jedno jádro 3400 a více</w:t>
            </w:r>
          </w:p>
        </w:tc>
      </w:tr>
      <w:tr w:rsidR="005E325E" w14:paraId="3452EE66" w14:textId="77777777">
        <w:trPr>
          <w:trHeight w:val="403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CB29B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C9F20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Konstrukce a velikost</w:t>
            </w:r>
          </w:p>
        </w:tc>
        <w:tc>
          <w:tcPr>
            <w:tcW w:w="3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17F04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Počítač typu All-In-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One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, 23,8“ případně 24“</w:t>
            </w:r>
          </w:p>
        </w:tc>
        <w:tc>
          <w:tcPr>
            <w:tcW w:w="3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E2A7FB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Počítač typu All-In-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One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, 23,8“</w:t>
            </w:r>
          </w:p>
        </w:tc>
      </w:tr>
      <w:tr w:rsidR="005E325E" w14:paraId="2628D869" w14:textId="77777777">
        <w:trPr>
          <w:trHeight w:val="300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08AF4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3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FB2EC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Grafická karta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FBA03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Rozlišení 1920x1080, integrovaná karta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BFDA5C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Rozlišení 1920x1080, integrovaná karta</w:t>
            </w:r>
          </w:p>
        </w:tc>
      </w:tr>
      <w:tr w:rsidR="005E325E" w14:paraId="051D51EC" w14:textId="77777777">
        <w:trPr>
          <w:trHeight w:val="383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2F795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4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0D4E2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Uložiště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3E66C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M.2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NVMe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SSD s kapacitou minimálně 256 GB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BBB50B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M.2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NVMe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SSD, </w:t>
            </w:r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kapacita  512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GB</w:t>
            </w:r>
          </w:p>
        </w:tc>
      </w:tr>
      <w:tr w:rsidR="005E325E" w14:paraId="7795B9CA" w14:textId="77777777">
        <w:trPr>
          <w:trHeight w:val="397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C85ED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5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AC1F8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Operační paměti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01E03" w14:textId="77777777" w:rsidR="005E325E" w:rsidRDefault="00000000">
            <w:pPr>
              <w:spacing w:before="120" w:after="12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DDR4, 16 GB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4C278B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DDR5, 16 GB</w:t>
            </w:r>
          </w:p>
        </w:tc>
      </w:tr>
      <w:tr w:rsidR="005E325E" w14:paraId="1E34B781" w14:textId="77777777">
        <w:trPr>
          <w:trHeight w:val="397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5605C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E8B80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Síť LAN</w:t>
            </w:r>
          </w:p>
        </w:tc>
        <w:tc>
          <w:tcPr>
            <w:tcW w:w="3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AA4C8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Konektor RJ45, rychlost 100/1000 Mbps</w:t>
            </w:r>
          </w:p>
          <w:p w14:paraId="79A09373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Podpora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WakeOnLan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bootu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přes PXE (nebo ekvivalentní řešení síťové bootování) </w:t>
            </w:r>
          </w:p>
        </w:tc>
        <w:tc>
          <w:tcPr>
            <w:tcW w:w="3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59A4A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Konektor RJ45, rychlost 100/1000 Mbps</w:t>
            </w:r>
          </w:p>
          <w:p w14:paraId="293CD7EF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Podpora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WakeOnLan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bootu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přes PXE (nebo ekvivalentní řešení síťové bootování) </w:t>
            </w:r>
          </w:p>
        </w:tc>
      </w:tr>
      <w:tr w:rsidR="005E325E" w14:paraId="256C6612" w14:textId="77777777">
        <w:trPr>
          <w:trHeight w:val="396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094DF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C1403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Porty a výbava</w:t>
            </w:r>
          </w:p>
        </w:tc>
        <w:tc>
          <w:tcPr>
            <w:tcW w:w="3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8B19A" w14:textId="77777777" w:rsidR="005E325E" w:rsidRDefault="00000000">
            <w:pPr>
              <w:keepNext/>
              <w:spacing w:before="120" w:after="120"/>
              <w:rPr>
                <w:rFonts w:ascii="Garamond" w:eastAsia="Garamond" w:hAnsi="Garamond" w:cs="Garamond"/>
                <w:color w:val="00B05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Minimálně 3x USB port z toho alespoň jeden USB3.2, Bluetooth, HDMI výstup pro připojení externího zařízení (projektor, monitor)</w:t>
            </w:r>
          </w:p>
        </w:tc>
        <w:tc>
          <w:tcPr>
            <w:tcW w:w="3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7213C0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3x USB port z toho 1x USB3.2, Bluetooth, HDMI výstup pro připojení externího zařízení (projektor, monitor)</w:t>
            </w:r>
          </w:p>
        </w:tc>
      </w:tr>
      <w:tr w:rsidR="005E325E" w14:paraId="49F00567" w14:textId="77777777">
        <w:trPr>
          <w:cantSplit/>
          <w:trHeight w:val="391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498A8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12FE3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Audio</w:t>
            </w:r>
          </w:p>
        </w:tc>
        <w:tc>
          <w:tcPr>
            <w:tcW w:w="3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6DC8C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Integrovaná zvuková karta s kombinovaným konektorem (sluchátka/mikrofon), vestavěný reproduktor</w:t>
            </w:r>
          </w:p>
        </w:tc>
        <w:tc>
          <w:tcPr>
            <w:tcW w:w="3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C7D2D4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Integrovaná zvuková karta s kombinovaným konektorem (sluchátka/mikrofon), vestavěný reproduktor</w:t>
            </w:r>
          </w:p>
        </w:tc>
      </w:tr>
      <w:tr w:rsidR="005E325E" w14:paraId="2A5117F2" w14:textId="77777777">
        <w:trPr>
          <w:cantSplit/>
          <w:trHeight w:val="403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19F6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9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CA82B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Operační systém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C3D22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Nová, originální a nepoužitá OEM licence Microsoft Windows 11 Pro CZ.</w:t>
            </w:r>
          </w:p>
          <w:p w14:paraId="72220E13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Plná kompatibilita s Windows 11 Enterprise po celou dobu záruky.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2EF1B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Nová, originální a nepoužitá OEM licence Microsoft Windows 11 Pro CZ.</w:t>
            </w:r>
          </w:p>
          <w:p w14:paraId="7D1BB08D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Plná kompatibilita s Windows 11 Enterprise po celou dobu záruky.</w:t>
            </w:r>
          </w:p>
        </w:tc>
      </w:tr>
      <w:tr w:rsidR="005E325E" w14:paraId="1151244F" w14:textId="77777777">
        <w:trPr>
          <w:trHeight w:val="403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0692C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10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F70B0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Ovladače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br/>
              <w:t xml:space="preserve"> a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br/>
              <w:t>SW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2D026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Microsoft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Configuration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Manager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ConfigMgr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) balíček ovladačů pro dodávaný model stolního počítače musí být dostupný 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pro aktuální verze Windows 11 po celou dobu záruky.</w:t>
            </w:r>
          </w:p>
          <w:p w14:paraId="2DE83532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Podpora poskytovaná prostřednictvím dálkového přístupu musí umožnit stahování ovladačů, dalšího potřebného SW a návodů z internetu nebo přiděleného FTP serveru adresně pro konkrétní sériové číslo stolního počítače; v případě příslušenství a volitelných doplňků dle produktového čísla a názvu.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4D8E83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 xml:space="preserve">Microsoft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Configuration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Manager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ConfigMgr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) balíček ovladačů pro dodávaný model stolního počítače 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musí být dostupný pro aktuální verze Windows 11 po celou dobu záruky.</w:t>
            </w:r>
          </w:p>
          <w:p w14:paraId="7A611F23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Podpora poskytovaná prostřednictvím dálkového přístupu umožňuje stahování ovladačů, dalšího potřebného SW a návodů z internetu nebo přiděleného FTP serveru adresně pro konkrétní sériové číslo stolního počítače; v případě příslušenství a volitelných doplňků dle produktového čísla a názvu.</w:t>
            </w:r>
          </w:p>
          <w:p w14:paraId="7AF482F6" w14:textId="77777777" w:rsidR="005E325E" w:rsidRDefault="005E325E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5E325E" w14:paraId="3AF42277" w14:textId="77777777">
        <w:trPr>
          <w:trHeight w:val="153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AB7CC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11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A09C9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Správa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br/>
              <w:t xml:space="preserve"> a zabezpečení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66DCF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Možnost zapnout/vypnout stolní počítač bez funkčního OS.</w:t>
            </w:r>
          </w:p>
          <w:p w14:paraId="395F9FE7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Podpora nástroje Microsoft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Configuration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Manager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ConfigMgr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).</w:t>
            </w:r>
          </w:p>
          <w:p w14:paraId="24862495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Plná HW kompatibilita s VBS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Virtualization-based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Security).</w:t>
            </w:r>
          </w:p>
          <w:p w14:paraId="49361C6E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Nativní podpora UEFI ver. 2.3.1.c a vyšší, podpora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SecureBoot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, podpora virtualizace CPU.</w:t>
            </w:r>
          </w:p>
          <w:p w14:paraId="3BED798F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Zabezpečení proti neoprávněnému vstupu do BIOS – 2 úrovně hesel.</w:t>
            </w:r>
          </w:p>
          <w:p w14:paraId="205D355F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Možnost vázat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nabootování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PC na zadání hesla (heslo pro BIOS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boot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).</w:t>
            </w:r>
          </w:p>
          <w:p w14:paraId="32D54FDC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Možnost z BIOS zablokovat bootování z USB portů a sítě, možnost zablokování vybraných zařízení, sběrnic a portů tak, aby s nimi nemohl pracovat operační systém.</w:t>
            </w:r>
          </w:p>
          <w:p w14:paraId="3C65764D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BIOS obsahující sériové číslo stolního počítače, informace o výrobci a modelu PC.</w:t>
            </w:r>
          </w:p>
          <w:p w14:paraId="1B783779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Dedikovaný hardwarový TPM čip (TPM 2.0 a vyšší) s certifikací TCG.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4EC14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Možnost zapnout/vypnout stolní počítač bez funkčního OS.</w:t>
            </w:r>
          </w:p>
          <w:p w14:paraId="6811B446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Podpora nástroje Microsoft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Configuration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Manager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ConfigMgr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).</w:t>
            </w:r>
          </w:p>
          <w:p w14:paraId="0A3DC8C2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Plná HW kompatibilita s VBS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Virtualization-based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Security).</w:t>
            </w:r>
          </w:p>
          <w:p w14:paraId="7F4B8075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Nativní podpora UEFI ver. 2.3.1.c a vyšší, podpora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SecureBoot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, podpora virtualizace CPU.</w:t>
            </w:r>
          </w:p>
          <w:p w14:paraId="0E8BFB5F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Zabezpečení proti neoprávněnému vstupu do BIOS – 2 úrovně hesel.</w:t>
            </w:r>
          </w:p>
          <w:p w14:paraId="2B373086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Možnost vázat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nabootování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PC na zadání hesla (heslo pro BIOS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boot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).</w:t>
            </w:r>
          </w:p>
          <w:p w14:paraId="7F4D4351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Možnost z BIOS zablokovat bootování z USB portů a sítě, možnost zablokování vybraných zařízení, sběrnic a portů tak, aby s nimi nemohl pracovat operační systém.</w:t>
            </w:r>
          </w:p>
          <w:p w14:paraId="521C74EF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BIOS obsahující sériové číslo stolního počítače, informace o výrobci a modelu PC.</w:t>
            </w:r>
          </w:p>
          <w:p w14:paraId="28BECE11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Dedikovaný hardwarový TPM čip (TPM 2.0 a vyšší) s certifikací TCG.</w:t>
            </w:r>
          </w:p>
        </w:tc>
      </w:tr>
      <w:tr w:rsidR="005E325E" w14:paraId="5445A88C" w14:textId="77777777">
        <w:trPr>
          <w:trHeight w:val="1127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B033A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12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7934C" w14:textId="77777777" w:rsidR="005E325E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Servis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br/>
              <w:t xml:space="preserve"> a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br/>
              <w:t xml:space="preserve"> záruka</w:t>
            </w:r>
          </w:p>
        </w:tc>
        <w:tc>
          <w:tcPr>
            <w:tcW w:w="3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AB28A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Minimální záruka na celou sestavu a veškerého příslušenství 36 měsíců.</w:t>
            </w:r>
          </w:p>
          <w:p w14:paraId="14200924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Oprava bude ukončena odstraněním závady nebo výměnou dílu nejpozději do 17:00 hodin pátého pracovního dne následujícího po dni potvrzení přijetí hlášení závady.</w:t>
            </w:r>
          </w:p>
          <w:p w14:paraId="2C0B559D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Záruka musí být poskytnuta přímo výrobcem počítače a musí být ověřitelná na veřejně přístupném webu výrobce nebo přímo dotazem u výrobce.</w:t>
            </w:r>
          </w:p>
          <w:p w14:paraId="49E02FF7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Servisní zásah bude prováděn subjektem, který je autorizován výrobcem stolního počítače po celou dobu poskytování záruky.</w:t>
            </w:r>
          </w:p>
          <w:p w14:paraId="389CFEF5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Veškerá nevolatilní paměťová zařízení (SSD, HDD) nesmí opustit místo instalace a musí zůstat pod stálou kontrolou kupujícího.</w:t>
            </w:r>
          </w:p>
          <w:p w14:paraId="79EDC9E1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V případě výměny pevného disku/SSD zůstává původní disk kupujícímu.</w:t>
            </w:r>
          </w:p>
        </w:tc>
        <w:tc>
          <w:tcPr>
            <w:tcW w:w="3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6A484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Záruka na celou sestavu a veškerého příslušenství 36 měsíců.</w:t>
            </w:r>
          </w:p>
          <w:p w14:paraId="26C22576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Oprava bude ukončena odstraněním závady nebo výměnou dílu nejpozději do 17:00 hodin pátého pracovního dne následujícího po dni potvrzení přijetí hlášení závady.</w:t>
            </w:r>
          </w:p>
          <w:p w14:paraId="0123DA9D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Záruka musí být poskytnuta přímo výrobcem počítače a musí být ověřitelná na veřejně přístupném webu výrobce nebo přímo dotazem u výrobce.</w:t>
            </w:r>
          </w:p>
          <w:p w14:paraId="57867C18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Servisní zásah bude prováděn subjektem, který je autorizován 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výrobcem stolního počítače po celou dobu poskytování záruky.</w:t>
            </w:r>
          </w:p>
          <w:p w14:paraId="5D53945D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Veškerá nevolatilní paměťová zařízení (SSD, HDD) nesmí opustit místo instalace a musí zůstat pod stálou kontrolou kupujícího.</w:t>
            </w:r>
          </w:p>
          <w:p w14:paraId="6A6F8B73" w14:textId="77777777" w:rsidR="005E325E" w:rsidRDefault="00000000">
            <w:pPr>
              <w:spacing w:before="120" w:after="120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V případě výměny pevného disku/SSD zůstává původní disk kupujícímu.</w:t>
            </w:r>
          </w:p>
        </w:tc>
      </w:tr>
    </w:tbl>
    <w:p w14:paraId="0F5FE0AC" w14:textId="77777777" w:rsidR="005E325E" w:rsidRDefault="00000000">
      <w:pPr>
        <w:spacing w:before="240" w:after="1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Požadavek na operační systém na bázi operačních systémů společnosti Microsoft vychází z použití tohoto operačního systému v IT prostředí kupujícího.</w:t>
      </w:r>
    </w:p>
    <w:p w14:paraId="6C3AE9D8" w14:textId="77777777" w:rsidR="005E325E" w:rsidRDefault="00000000">
      <w:pPr>
        <w:spacing w:before="20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Kupující ve sloupci „minimální požadavek“ zadal minimální požadované parametry poptávaných zařízení, prodávající může nabídnout vyšší konfiguraci.</w:t>
      </w:r>
    </w:p>
    <w:p w14:paraId="2B29E8A0" w14:textId="77777777" w:rsidR="005E325E" w:rsidRDefault="005E325E">
      <w:pPr>
        <w:rPr>
          <w:rFonts w:ascii="Garamond" w:eastAsia="Garamond" w:hAnsi="Garamond" w:cs="Garamond"/>
          <w:b/>
          <w:bCs/>
          <w:color w:val="000000"/>
        </w:rPr>
      </w:pPr>
    </w:p>
    <w:p w14:paraId="01CDFDFF" w14:textId="77777777" w:rsidR="005E325E" w:rsidRDefault="00000000">
      <w:pPr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Kupující požaduje vyplnění tabulky následujícím způsobem:</w:t>
      </w:r>
    </w:p>
    <w:p w14:paraId="5695D822" w14:textId="77777777" w:rsidR="005E325E" w:rsidRDefault="005E325E">
      <w:pPr>
        <w:rPr>
          <w:rFonts w:ascii="Garamond" w:eastAsia="Garamond" w:hAnsi="Garamond" w:cs="Garamond"/>
          <w:b/>
          <w:bCs/>
          <w:color w:val="000000"/>
        </w:rPr>
      </w:pPr>
    </w:p>
    <w:p w14:paraId="4D91688B" w14:textId="77777777" w:rsidR="005E32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Prodávající vyplní všechny řádky ve sloupci „nabízené parametry“ </w:t>
      </w:r>
      <w:r>
        <w:rPr>
          <w:rFonts w:ascii="Garamond" w:eastAsia="Garamond" w:hAnsi="Garamond" w:cs="Garamond"/>
          <w:b/>
          <w:bCs/>
          <w:color w:val="000000"/>
          <w:sz w:val="22"/>
          <w:szCs w:val="22"/>
        </w:rPr>
        <w:t>konkrétním nabízeným parametrem,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nestačí vyplňovat pouze „ANO”</w:t>
      </w:r>
      <w:r>
        <w:rPr>
          <w:rFonts w:ascii="Garamond" w:eastAsia="Garamond" w:hAnsi="Garamond" w:cs="Garamond"/>
          <w:sz w:val="22"/>
          <w:szCs w:val="22"/>
        </w:rPr>
        <w:t>.</w:t>
      </w:r>
    </w:p>
    <w:sectPr w:rsidR="005E325E">
      <w:headerReference w:type="default" r:id="rId13"/>
      <w:footerReference w:type="default" r:id="rId14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93004" w14:textId="77777777" w:rsidR="00EC47AA" w:rsidRDefault="00EC47AA">
      <w:r>
        <w:separator/>
      </w:r>
    </w:p>
  </w:endnote>
  <w:endnote w:type="continuationSeparator" w:id="0">
    <w:p w14:paraId="2DFB81F8" w14:textId="77777777" w:rsidR="00EC47AA" w:rsidRDefault="00EC4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D25454D-4011-4806-8B95-DD57F9E108C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F465D5A6-5BE0-4B77-AE8B-684ED071FDF3}"/>
    <w:embedBold r:id="rId3" w:fontKey="{AD4188EF-F1EA-412F-9C0E-B78493D9E576}"/>
    <w:embedItalic r:id="rId4" w:fontKey="{5D03A1E5-DDE1-4127-9C5A-61FD6E81DAB3}"/>
  </w:font>
  <w:font w:name="Tahoma">
    <w:panose1 w:val="020B0604030504040204"/>
    <w:charset w:val="00"/>
    <w:family w:val="roman"/>
    <w:notTrueType/>
    <w:pitch w:val="default"/>
    <w:embedRegular r:id="rId5" w:fontKey="{52146A60-5A8A-4D6D-A7E4-5F6156999F66}"/>
  </w:font>
  <w:font w:name="CG Times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E30B6E7-3131-4ECA-86C0-3E66688C9BC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6BF8884F-5D17-4ECA-9FC3-ABCE8ED315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569699E-C58E-4DF3-B94F-FD6DABA4B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5EF35" w14:textId="77777777" w:rsidR="005E32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53FB">
      <w:rPr>
        <w:noProof/>
        <w:color w:val="000000"/>
      </w:rPr>
      <w:t>1</w:t>
    </w:r>
    <w:r>
      <w:rPr>
        <w:color w:val="000000"/>
      </w:rPr>
      <w:fldChar w:fldCharType="end"/>
    </w:r>
  </w:p>
  <w:p w14:paraId="5986B877" w14:textId="77777777" w:rsidR="005E325E" w:rsidRDefault="005E32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205FA2F2" w14:textId="77777777" w:rsidR="005E325E" w:rsidRDefault="005E32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55117" w14:textId="77777777" w:rsidR="00EC47AA" w:rsidRDefault="00EC47AA">
      <w:r>
        <w:separator/>
      </w:r>
    </w:p>
  </w:footnote>
  <w:footnote w:type="continuationSeparator" w:id="0">
    <w:p w14:paraId="54219B8A" w14:textId="77777777" w:rsidR="00EC47AA" w:rsidRDefault="00EC4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8EBBF" w14:textId="77777777" w:rsidR="005E32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Spr 104/2026</w:t>
    </w:r>
  </w:p>
  <w:p w14:paraId="4D58FF56" w14:textId="77777777" w:rsidR="005E325E" w:rsidRDefault="005E32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72E72"/>
    <w:multiLevelType w:val="multilevel"/>
    <w:tmpl w:val="7D1E4F14"/>
    <w:lvl w:ilvl="0">
      <w:start w:val="1"/>
      <w:numFmt w:val="upperRoman"/>
      <w:lvlText w:val="%1."/>
      <w:lvlJc w:val="right"/>
      <w:pPr>
        <w:ind w:left="563" w:hanging="425"/>
      </w:pPr>
      <w:rPr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497" w:hanging="360"/>
      </w:pPr>
    </w:lvl>
    <w:lvl w:ilvl="2">
      <w:numFmt w:val="bullet"/>
      <w:lvlText w:val="•"/>
      <w:lvlJc w:val="left"/>
      <w:pPr>
        <w:ind w:left="2341" w:hanging="428"/>
      </w:pPr>
    </w:lvl>
    <w:lvl w:ilvl="3">
      <w:numFmt w:val="bullet"/>
      <w:lvlText w:val="•"/>
      <w:lvlJc w:val="left"/>
      <w:pPr>
        <w:ind w:left="3231" w:hanging="428"/>
      </w:pPr>
    </w:lvl>
    <w:lvl w:ilvl="4">
      <w:numFmt w:val="bullet"/>
      <w:lvlText w:val="•"/>
      <w:lvlJc w:val="left"/>
      <w:pPr>
        <w:ind w:left="4122" w:hanging="428"/>
      </w:pPr>
    </w:lvl>
    <w:lvl w:ilvl="5">
      <w:numFmt w:val="bullet"/>
      <w:lvlText w:val="•"/>
      <w:lvlJc w:val="left"/>
      <w:pPr>
        <w:ind w:left="5013" w:hanging="428"/>
      </w:pPr>
    </w:lvl>
    <w:lvl w:ilvl="6">
      <w:numFmt w:val="bullet"/>
      <w:lvlText w:val="•"/>
      <w:lvlJc w:val="left"/>
      <w:pPr>
        <w:ind w:left="5903" w:hanging="428"/>
      </w:pPr>
    </w:lvl>
    <w:lvl w:ilvl="7">
      <w:numFmt w:val="bullet"/>
      <w:lvlText w:val="•"/>
      <w:lvlJc w:val="left"/>
      <w:pPr>
        <w:ind w:left="6794" w:hanging="428"/>
      </w:pPr>
    </w:lvl>
    <w:lvl w:ilvl="8">
      <w:numFmt w:val="bullet"/>
      <w:lvlText w:val="•"/>
      <w:lvlJc w:val="left"/>
      <w:pPr>
        <w:ind w:left="7685" w:hanging="428"/>
      </w:pPr>
    </w:lvl>
  </w:abstractNum>
  <w:abstractNum w:abstractNumId="1" w15:restartNumberingAfterBreak="0">
    <w:nsid w:val="57064FF8"/>
    <w:multiLevelType w:val="multilevel"/>
    <w:tmpl w:val="5B0C39FC"/>
    <w:lvl w:ilvl="0">
      <w:start w:val="4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A656EA"/>
    <w:multiLevelType w:val="multilevel"/>
    <w:tmpl w:val="52A4D94A"/>
    <w:lvl w:ilvl="0">
      <w:start w:val="1"/>
      <w:numFmt w:val="upperRoman"/>
      <w:lvlText w:val="%1."/>
      <w:lvlJc w:val="right"/>
      <w:pPr>
        <w:ind w:left="563" w:hanging="425"/>
      </w:pPr>
      <w:rPr>
        <w:b/>
        <w:bCs/>
        <w:sz w:val="24"/>
        <w:szCs w:val="24"/>
      </w:rPr>
    </w:lvl>
    <w:lvl w:ilvl="1">
      <w:start w:val="1"/>
      <w:numFmt w:val="bullet"/>
      <w:lvlText w:val="−"/>
      <w:lvlJc w:val="left"/>
      <w:pPr>
        <w:ind w:left="497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•"/>
      <w:lvlJc w:val="left"/>
      <w:pPr>
        <w:ind w:left="2341" w:hanging="428"/>
      </w:pPr>
    </w:lvl>
    <w:lvl w:ilvl="3">
      <w:numFmt w:val="bullet"/>
      <w:lvlText w:val="•"/>
      <w:lvlJc w:val="left"/>
      <w:pPr>
        <w:ind w:left="3231" w:hanging="428"/>
      </w:pPr>
    </w:lvl>
    <w:lvl w:ilvl="4">
      <w:numFmt w:val="bullet"/>
      <w:lvlText w:val="•"/>
      <w:lvlJc w:val="left"/>
      <w:pPr>
        <w:ind w:left="4122" w:hanging="428"/>
      </w:pPr>
    </w:lvl>
    <w:lvl w:ilvl="5">
      <w:numFmt w:val="bullet"/>
      <w:lvlText w:val="•"/>
      <w:lvlJc w:val="left"/>
      <w:pPr>
        <w:ind w:left="5013" w:hanging="428"/>
      </w:pPr>
    </w:lvl>
    <w:lvl w:ilvl="6">
      <w:numFmt w:val="bullet"/>
      <w:lvlText w:val="•"/>
      <w:lvlJc w:val="left"/>
      <w:pPr>
        <w:ind w:left="5903" w:hanging="428"/>
      </w:pPr>
    </w:lvl>
    <w:lvl w:ilvl="7">
      <w:numFmt w:val="bullet"/>
      <w:lvlText w:val="•"/>
      <w:lvlJc w:val="left"/>
      <w:pPr>
        <w:ind w:left="6794" w:hanging="428"/>
      </w:pPr>
    </w:lvl>
    <w:lvl w:ilvl="8">
      <w:numFmt w:val="bullet"/>
      <w:lvlText w:val="•"/>
      <w:lvlJc w:val="left"/>
      <w:pPr>
        <w:ind w:left="7685" w:hanging="428"/>
      </w:pPr>
    </w:lvl>
  </w:abstractNum>
  <w:num w:numId="1" w16cid:durableId="1329167931">
    <w:abstractNumId w:val="0"/>
  </w:num>
  <w:num w:numId="2" w16cid:durableId="648679425">
    <w:abstractNumId w:val="1"/>
  </w:num>
  <w:num w:numId="3" w16cid:durableId="839929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25E"/>
    <w:rsid w:val="00150E2B"/>
    <w:rsid w:val="002253FB"/>
    <w:rsid w:val="004F5684"/>
    <w:rsid w:val="005E325E"/>
    <w:rsid w:val="00AD47B5"/>
    <w:rsid w:val="00D20B2F"/>
    <w:rsid w:val="00EC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2C7A9"/>
  <w15:docId w15:val="{413C31FF-7017-49D5-83A1-3D8D53D8A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widowControl w:val="0"/>
      <w:ind w:left="138"/>
      <w:outlineLvl w:val="0"/>
    </w:pPr>
    <w:rPr>
      <w:rFonts w:ascii="Garamond" w:eastAsia="Garamond" w:hAnsi="Garamond" w:cs="Garamond"/>
      <w:b/>
      <w:bCs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b/>
      <w:bCs/>
    </w:rPr>
  </w:style>
  <w:style w:type="paragraph" w:styleId="Zpat">
    <w:name w:val="footer"/>
    <w:link w:val="ZpatChar"/>
    <w:uiPriority w:val="99"/>
    <w:rsid w:val="00C757CD"/>
    <w:pPr>
      <w:tabs>
        <w:tab w:val="center" w:pos="4536"/>
        <w:tab w:val="right" w:pos="9072"/>
      </w:tabs>
    </w:pPr>
    <w:rPr>
      <w:szCs w:val="20"/>
    </w:rPr>
  </w:style>
  <w:style w:type="paragraph" w:styleId="Textpoznpodarou">
    <w:name w:val="footnote text"/>
    <w:semiHidden/>
    <w:rsid w:val="00C757CD"/>
    <w:rPr>
      <w:sz w:val="20"/>
      <w:szCs w:val="20"/>
    </w:rPr>
  </w:style>
  <w:style w:type="character" w:styleId="Znakapoznpodarou">
    <w:name w:val="footnote reference"/>
    <w:semiHidden/>
    <w:rsid w:val="00C757CD"/>
    <w:rPr>
      <w:vertAlign w:val="superscript"/>
    </w:rPr>
  </w:style>
  <w:style w:type="paragraph" w:styleId="Textbubliny">
    <w:name w:val="Balloon Text"/>
    <w:semiHidden/>
    <w:rsid w:val="00C757CD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D944B5"/>
    <w:rPr>
      <w:sz w:val="16"/>
      <w:szCs w:val="16"/>
    </w:rPr>
  </w:style>
  <w:style w:type="paragraph" w:styleId="Textkomente">
    <w:name w:val="annotation text"/>
    <w:link w:val="TextkomenteChar"/>
    <w:rsid w:val="00D944B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944B5"/>
  </w:style>
  <w:style w:type="paragraph" w:styleId="Pedmtkomente">
    <w:name w:val="annotation subject"/>
    <w:basedOn w:val="Textkomente"/>
    <w:next w:val="Textkomente"/>
    <w:link w:val="PedmtkomenteChar"/>
    <w:rsid w:val="00D944B5"/>
    <w:rPr>
      <w:b/>
      <w:bCs/>
    </w:rPr>
  </w:style>
  <w:style w:type="character" w:customStyle="1" w:styleId="PedmtkomenteChar">
    <w:name w:val="Předmět komentáře Char"/>
    <w:link w:val="Pedmtkomente"/>
    <w:rsid w:val="00D944B5"/>
    <w:rPr>
      <w:b/>
      <w:bCs/>
    </w:rPr>
  </w:style>
  <w:style w:type="character" w:styleId="Hypertextovodkaz">
    <w:name w:val="Hyperlink"/>
    <w:rsid w:val="005E0D16"/>
    <w:rPr>
      <w:color w:val="0000FF"/>
      <w:u w:val="single"/>
    </w:rPr>
  </w:style>
  <w:style w:type="paragraph" w:styleId="Odstavecseseznamem">
    <w:name w:val="List Paragraph"/>
    <w:uiPriority w:val="1"/>
    <w:qFormat/>
    <w:rsid w:val="00C61E6A"/>
    <w:pPr>
      <w:ind w:left="708"/>
    </w:pPr>
  </w:style>
  <w:style w:type="character" w:styleId="Nevyeenzmnka">
    <w:name w:val="Unresolved Mention"/>
    <w:basedOn w:val="Standardnpsmoodstavce"/>
    <w:uiPriority w:val="99"/>
    <w:semiHidden/>
    <w:unhideWhenUsed/>
    <w:rsid w:val="00847EB0"/>
    <w:rPr>
      <w:color w:val="605E5C"/>
      <w:shd w:val="clear" w:color="auto" w:fill="E1DFDD"/>
    </w:rPr>
  </w:style>
  <w:style w:type="paragraph" w:styleId="Zhlav">
    <w:name w:val="header"/>
    <w:link w:val="ZhlavChar"/>
    <w:unhideWhenUsed/>
    <w:rsid w:val="00BF476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F476D"/>
    <w:rPr>
      <w:sz w:val="24"/>
      <w:szCs w:val="24"/>
    </w:rPr>
  </w:style>
  <w:style w:type="character" w:customStyle="1" w:styleId="Nadpis1Char">
    <w:name w:val="Nadpis 1 Char"/>
    <w:basedOn w:val="Standardnpsmoodstavce"/>
    <w:uiPriority w:val="9"/>
    <w:rsid w:val="00F66385"/>
    <w:rPr>
      <w:rFonts w:ascii="Garamond" w:eastAsia="Garamond" w:hAnsi="Garamond" w:cs="Garamond"/>
      <w:b/>
      <w:bCs/>
      <w:sz w:val="24"/>
      <w:szCs w:val="24"/>
      <w:lang w:bidi="cs-CZ"/>
    </w:rPr>
  </w:style>
  <w:style w:type="paragraph" w:styleId="Zkladntext">
    <w:name w:val="Body Text"/>
    <w:link w:val="ZkladntextChar"/>
    <w:uiPriority w:val="1"/>
    <w:qFormat/>
    <w:rsid w:val="00F66385"/>
    <w:pPr>
      <w:widowControl w:val="0"/>
      <w:autoSpaceDE w:val="0"/>
      <w:autoSpaceDN w:val="0"/>
    </w:pPr>
    <w:rPr>
      <w:rFonts w:ascii="Garamond" w:eastAsia="Garamond" w:hAnsi="Garamond" w:cs="Garamond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66385"/>
    <w:rPr>
      <w:rFonts w:ascii="Garamond" w:eastAsia="Garamond" w:hAnsi="Garamond" w:cs="Garamond"/>
      <w:sz w:val="24"/>
      <w:szCs w:val="24"/>
      <w:lang w:bidi="cs-CZ"/>
    </w:rPr>
  </w:style>
  <w:style w:type="character" w:customStyle="1" w:styleId="ZpatChar">
    <w:name w:val="Zápatí Char"/>
    <w:basedOn w:val="Standardnpsmoodstavce"/>
    <w:link w:val="Zpat"/>
    <w:uiPriority w:val="99"/>
    <w:rsid w:val="00135CF8"/>
    <w:rPr>
      <w:sz w:val="24"/>
    </w:rPr>
  </w:style>
  <w:style w:type="paragraph" w:customStyle="1" w:styleId="Style3">
    <w:name w:val="Style 3"/>
    <w:rsid w:val="00AF770D"/>
    <w:pPr>
      <w:widowControl w:val="0"/>
      <w:autoSpaceDE w:val="0"/>
      <w:autoSpaceDN w:val="0"/>
      <w:spacing w:line="360" w:lineRule="atLeast"/>
    </w:pPr>
  </w:style>
  <w:style w:type="character" w:styleId="Zstupntext">
    <w:name w:val="Placeholder Text"/>
    <w:basedOn w:val="Standardnpsmoodstavce"/>
    <w:uiPriority w:val="99"/>
    <w:semiHidden/>
    <w:rsid w:val="008A4B8E"/>
    <w:rPr>
      <w:color w:val="808080"/>
    </w:rPr>
  </w:style>
  <w:style w:type="table" w:styleId="Mkatabulky">
    <w:name w:val="Table Grid"/>
    <w:basedOn w:val="Normlntabulka"/>
    <w:uiPriority w:val="59"/>
    <w:rsid w:val="00623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uiPriority w:val="10"/>
    <w:rsid w:val="007B38DA"/>
    <w:rPr>
      <w:b/>
      <w:bCs/>
      <w:sz w:val="24"/>
      <w:szCs w:val="23"/>
    </w:rPr>
  </w:style>
  <w:style w:type="paragraph" w:customStyle="1" w:styleId="Odstavecseseznamem1">
    <w:name w:val="Odstavec se seznamem1"/>
    <w:rsid w:val="007B38DA"/>
    <w:pPr>
      <w:spacing w:after="200" w:line="276" w:lineRule="auto"/>
      <w:ind w:left="720"/>
      <w:contextualSpacing/>
    </w:pPr>
    <w:rPr>
      <w:rFonts w:ascii="CG Times" w:eastAsia="Calibri" w:hAnsi="CG Times"/>
      <w:szCs w:val="22"/>
      <w:lang w:eastAsia="en-US"/>
    </w:rPr>
  </w:style>
  <w:style w:type="character" w:customStyle="1" w:styleId="Zdraznnintenzivn1">
    <w:name w:val="Zdůraznění – intenzivní1"/>
    <w:rsid w:val="007B38DA"/>
    <w:rPr>
      <w:rFonts w:cs="Times New Roman"/>
      <w:b/>
      <w:i/>
      <w:color w:val="4F81BD"/>
    </w:rPr>
  </w:style>
  <w:style w:type="character" w:styleId="Sledovanodkaz">
    <w:name w:val="FollowedHyperlink"/>
    <w:basedOn w:val="Standardnpsmoodstavce"/>
    <w:semiHidden/>
    <w:unhideWhenUsed/>
    <w:rsid w:val="007B38DA"/>
    <w:rPr>
      <w:color w:val="800080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ucha@ksoud.plz.justice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pubenchmark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pora@hp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matejka@ksoud.plz.justic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sucha@ksoud.plz.justice.cz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sHgmUbS/QYuyXV9GBCNdwYSDqg==">CgMxLjA4AHIhMUFoRUs2cVBYVGRHRW1wSExHQW5lOTYyUkZyRlZNUUZB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2844</Words>
  <Characters>16783</Characters>
  <Application>Microsoft Office Word</Application>
  <DocSecurity>0</DocSecurity>
  <Lines>139</Lines>
  <Paragraphs>39</Paragraphs>
  <ScaleCrop>false</ScaleCrop>
  <Company>Krajský soud v Plzni</Company>
  <LinksUpToDate>false</LinksUpToDate>
  <CharactersWithSpaces>19588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HLangova</dc:creator>
  <cp:lastModifiedBy>Polanová Ilona Bc.</cp:lastModifiedBy>
  <cp:revision>6</cp:revision>
  <dcterms:created xsi:type="dcterms:W3CDTF">2026-02-16T06:16:00Z</dcterms:created>
  <dcterms:modified xsi:type="dcterms:W3CDTF">2026-02-16T06:17:00Z</dcterms:modified>
</cp:coreProperties>
</file>