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637A5" w14:textId="77777777" w:rsidR="007572ED" w:rsidRDefault="007572ED">
      <w:pPr>
        <w:spacing w:after="0" w:line="240" w:lineRule="auto"/>
        <w:jc w:val="center"/>
        <w:rPr>
          <w:rFonts w:ascii="Aptos" w:eastAsia="Aptos" w:hAnsi="Aptos" w:cs="Aptos"/>
          <w:b/>
          <w:bCs/>
        </w:rPr>
      </w:pPr>
    </w:p>
    <w:p w14:paraId="3BA18A83" w14:textId="77777777" w:rsidR="007572ED" w:rsidRDefault="00DE6C75">
      <w:pPr>
        <w:spacing w:after="0" w:line="240" w:lineRule="auto"/>
        <w:jc w:val="center"/>
        <w:rPr>
          <w:rFonts w:ascii="Aptos" w:eastAsia="Aptos" w:hAnsi="Aptos" w:cs="Aptos"/>
          <w:b/>
          <w:bCs/>
          <w:sz w:val="28"/>
          <w:szCs w:val="28"/>
        </w:rPr>
      </w:pPr>
      <w:bookmarkStart w:id="0" w:name="_heading=h.y0p17rjg1zi5" w:colFirst="0" w:colLast="0"/>
      <w:bookmarkEnd w:id="0"/>
      <w:r>
        <w:rPr>
          <w:rFonts w:ascii="Aptos" w:eastAsia="Aptos" w:hAnsi="Aptos" w:cs="Aptos"/>
          <w:b/>
          <w:bCs/>
          <w:sz w:val="28"/>
          <w:szCs w:val="28"/>
        </w:rPr>
        <w:t>SMLOUVA O BEZÚPLATNÉM PŘEVODU VLASTNICKÉHO PRÁVA K MAJETKU STÁTU</w:t>
      </w:r>
    </w:p>
    <w:p w14:paraId="3F4B87B3" w14:textId="77777777" w:rsidR="007572ED" w:rsidRDefault="00DE6C75">
      <w:pPr>
        <w:spacing w:after="0" w:line="240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uzavřená dle § 1746 odst. 2 zákona č. 89/2012 Sb., občanský zákoník, a § 21 a násl. zákona č. 219/2000 Sb., o majetku České republiky a jejím vystupování v právních vztazích</w:t>
      </w:r>
    </w:p>
    <w:p w14:paraId="4FA1BC23" w14:textId="77777777" w:rsidR="007572ED" w:rsidRDefault="007572ED">
      <w:pPr>
        <w:spacing w:after="0" w:line="240" w:lineRule="auto"/>
        <w:rPr>
          <w:rFonts w:ascii="Aptos" w:eastAsia="Aptos" w:hAnsi="Aptos" w:cs="Aptos"/>
          <w:b/>
          <w:bCs/>
        </w:rPr>
      </w:pPr>
    </w:p>
    <w:p w14:paraId="0ABB69F4" w14:textId="77777777" w:rsidR="007572ED" w:rsidRDefault="007572ED">
      <w:pPr>
        <w:spacing w:after="0" w:line="240" w:lineRule="auto"/>
        <w:rPr>
          <w:rFonts w:ascii="Aptos" w:eastAsia="Aptos" w:hAnsi="Aptos" w:cs="Aptos"/>
          <w:b/>
          <w:bCs/>
        </w:rPr>
      </w:pPr>
    </w:p>
    <w:p w14:paraId="52DC63F2" w14:textId="77777777" w:rsidR="007572ED" w:rsidRDefault="00DE6C75">
      <w:pPr>
        <w:spacing w:after="0" w:line="240" w:lineRule="auto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Smluvní strany:</w:t>
      </w:r>
    </w:p>
    <w:p w14:paraId="6BF31E7E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68E5B0F8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 xml:space="preserve">Centrum pro regionální rozvoj České republiky </w:t>
      </w:r>
    </w:p>
    <w:p w14:paraId="4EC31B32" w14:textId="3575BA70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bookmarkStart w:id="1" w:name="_heading=h.lkzl6wol03ai" w:colFirst="0" w:colLast="0"/>
      <w:bookmarkEnd w:id="1"/>
      <w:r>
        <w:rPr>
          <w:rFonts w:ascii="Aptos" w:eastAsia="Aptos" w:hAnsi="Aptos" w:cs="Aptos"/>
        </w:rPr>
        <w:t xml:space="preserve">se sídlem: Argentinská1610/4, 170 00, Praha 7 – Holešovice </w:t>
      </w:r>
    </w:p>
    <w:p w14:paraId="2DF725BB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IČO: 04095316 </w:t>
      </w:r>
    </w:p>
    <w:p w14:paraId="7D6F453B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DIČ: není plátce DPH </w:t>
      </w:r>
    </w:p>
    <w:p w14:paraId="30BFE185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Zastoupeno: Petrem Štěpánkem, Ph.D., generálním ředitelem</w:t>
      </w:r>
    </w:p>
    <w:p w14:paraId="4C3B732C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(dále jen „</w:t>
      </w:r>
      <w:r>
        <w:rPr>
          <w:rFonts w:ascii="Aptos" w:eastAsia="Aptos" w:hAnsi="Aptos" w:cs="Aptos"/>
          <w:b/>
          <w:bCs/>
        </w:rPr>
        <w:t>Předávající</w:t>
      </w:r>
      <w:r>
        <w:rPr>
          <w:rFonts w:ascii="Aptos" w:eastAsia="Aptos" w:hAnsi="Aptos" w:cs="Aptos"/>
        </w:rPr>
        <w:t>“)</w:t>
      </w:r>
    </w:p>
    <w:p w14:paraId="1FBE403E" w14:textId="77777777" w:rsidR="007572ED" w:rsidRDefault="007572ED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</w:p>
    <w:p w14:paraId="60B35B85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a</w:t>
      </w:r>
    </w:p>
    <w:p w14:paraId="5BCAE4B7" w14:textId="77777777" w:rsidR="007572ED" w:rsidRDefault="007572ED">
      <w:pPr>
        <w:tabs>
          <w:tab w:val="left" w:pos="1985"/>
        </w:tabs>
        <w:spacing w:after="0" w:line="240" w:lineRule="auto"/>
        <w:rPr>
          <w:rFonts w:ascii="Aptos" w:eastAsia="Aptos" w:hAnsi="Aptos" w:cs="Aptos"/>
          <w:b/>
          <w:bCs/>
        </w:rPr>
      </w:pPr>
    </w:p>
    <w:p w14:paraId="11B533CC" w14:textId="77777777" w:rsidR="007572ED" w:rsidRPr="00DE6C75" w:rsidRDefault="00DE6C75">
      <w:pPr>
        <w:spacing w:after="0" w:line="240" w:lineRule="auto"/>
        <w:rPr>
          <w:rFonts w:ascii="Aptos" w:eastAsia="Aptos" w:hAnsi="Aptos" w:cs="Aptos"/>
          <w:b/>
          <w:bCs/>
        </w:rPr>
      </w:pPr>
      <w:r w:rsidRPr="00DE6C75">
        <w:rPr>
          <w:rFonts w:ascii="Aptos" w:eastAsia="Aptos" w:hAnsi="Aptos" w:cs="Aptos"/>
          <w:b/>
          <w:bCs/>
        </w:rPr>
        <w:t>Montessori Trutnov, z. s.</w:t>
      </w:r>
    </w:p>
    <w:p w14:paraId="6F90E17D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>se sídlem: č.p. 220, 542 32 Velké Svatoňovice</w:t>
      </w:r>
    </w:p>
    <w:p w14:paraId="24276416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 xml:space="preserve">zapsaný ve spolkovém rejstříku vedeném u Krajského soudu v Hradci Králové, </w:t>
      </w:r>
      <w:proofErr w:type="spellStart"/>
      <w:r w:rsidRPr="00DE6C75">
        <w:rPr>
          <w:rFonts w:ascii="Aptos" w:eastAsia="Aptos" w:hAnsi="Aptos" w:cs="Aptos"/>
        </w:rPr>
        <w:t>sp</w:t>
      </w:r>
      <w:proofErr w:type="spellEnd"/>
      <w:r w:rsidRPr="00DE6C75">
        <w:rPr>
          <w:rFonts w:ascii="Aptos" w:eastAsia="Aptos" w:hAnsi="Aptos" w:cs="Aptos"/>
        </w:rPr>
        <w:t xml:space="preserve">. zn. L 11427 </w:t>
      </w:r>
    </w:p>
    <w:p w14:paraId="16375438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>IČO: 06442277</w:t>
      </w:r>
    </w:p>
    <w:p w14:paraId="63A6B2F8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>DIČ: CZ06442277</w:t>
      </w:r>
    </w:p>
    <w:p w14:paraId="0D2CD101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>zastoupen: Terezou Přikrylovou, členem výboru</w:t>
      </w:r>
    </w:p>
    <w:p w14:paraId="0B5ABEFA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>(dále jen „</w:t>
      </w:r>
      <w:r w:rsidRPr="00DE6C75">
        <w:rPr>
          <w:rFonts w:ascii="Aptos" w:eastAsia="Aptos" w:hAnsi="Aptos" w:cs="Aptos"/>
          <w:b/>
          <w:bCs/>
        </w:rPr>
        <w:t>Přejímající</w:t>
      </w:r>
      <w:r w:rsidRPr="00DE6C75">
        <w:rPr>
          <w:rFonts w:ascii="Aptos" w:eastAsia="Aptos" w:hAnsi="Aptos" w:cs="Aptos"/>
        </w:rPr>
        <w:t>“)</w:t>
      </w:r>
    </w:p>
    <w:p w14:paraId="335D255C" w14:textId="77777777" w:rsidR="007572ED" w:rsidRDefault="007572ED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</w:p>
    <w:p w14:paraId="176EF82A" w14:textId="77777777" w:rsidR="007572ED" w:rsidRDefault="00DE6C75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uzavřely níže uvedeného dne, měsíce a roku tuto</w:t>
      </w:r>
    </w:p>
    <w:p w14:paraId="17333083" w14:textId="77777777" w:rsidR="007572ED" w:rsidRDefault="007572ED">
      <w:pPr>
        <w:tabs>
          <w:tab w:val="left" w:pos="1985"/>
        </w:tabs>
        <w:spacing w:after="0" w:line="240" w:lineRule="auto"/>
        <w:rPr>
          <w:rFonts w:ascii="Aptos" w:eastAsia="Aptos" w:hAnsi="Aptos" w:cs="Aptos"/>
        </w:rPr>
      </w:pPr>
    </w:p>
    <w:p w14:paraId="21D8CF7C" w14:textId="77777777" w:rsidR="007572ED" w:rsidRDefault="00DE6C75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smlouvu o bezúplatném převodu vlastnického práva k majetku státu:</w:t>
      </w:r>
    </w:p>
    <w:p w14:paraId="159C7CE0" w14:textId="77777777" w:rsidR="007572ED" w:rsidRDefault="007572ED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</w:p>
    <w:p w14:paraId="2F6F5306" w14:textId="77777777" w:rsidR="007572ED" w:rsidRDefault="00DE6C75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I.</w:t>
      </w:r>
    </w:p>
    <w:p w14:paraId="5CD0E91E" w14:textId="77777777" w:rsidR="007572ED" w:rsidRDefault="00DE6C75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Úvodní prohlášení a účel smlouvy</w:t>
      </w:r>
    </w:p>
    <w:p w14:paraId="558BF8DE" w14:textId="77777777" w:rsidR="007572ED" w:rsidRDefault="007572ED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</w:p>
    <w:p w14:paraId="75D735BC" w14:textId="77777777" w:rsidR="007572ED" w:rsidRDefault="00DE6C75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Česká republika je vlastníkem a Předávajícímu ve smyslu § 9 zákona přísluší hospodařit s následujícím majetkem státu jehož seznam je uvedený v příloze č. 1, která je nedílnou součástí </w:t>
      </w:r>
      <w:r>
        <w:t>této smlouvy (dále jen „</w:t>
      </w:r>
      <w:r>
        <w:rPr>
          <w:b/>
          <w:bCs/>
        </w:rPr>
        <w:t>Movitý majetek</w:t>
      </w:r>
      <w:r>
        <w:t xml:space="preserve">”). </w:t>
      </w:r>
    </w:p>
    <w:p w14:paraId="5C356C60" w14:textId="77777777" w:rsidR="007572ED" w:rsidRDefault="00DE6C75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Movitý majetek Předávající již nepotřebuje. Movitý majetek byl prohlášen za nepotřebný rozhodnutím generálního ředitele Centra pro regionální rozvoj České republiky z 28. 8. 2025, které je součástí Zápisu z majetkové a škodní komise č. 6. </w:t>
      </w:r>
    </w:p>
    <w:p w14:paraId="088B7B1E" w14:textId="77777777" w:rsidR="007572ED" w:rsidRDefault="00DE6C75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Přejímající je subjekt, který využije techniku: </w:t>
      </w:r>
    </w:p>
    <w:p w14:paraId="69FED203" w14:textId="77777777" w:rsidR="007572ED" w:rsidRDefault="00DE6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ke zvyšování počítačové gramotnosti a ke kreativním činnostem</w:t>
      </w:r>
    </w:p>
    <w:p w14:paraId="6FCBAC0E" w14:textId="77777777" w:rsidR="007572ED" w:rsidRDefault="00DE6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vybavování počítačových učeben</w:t>
      </w:r>
    </w:p>
    <w:p w14:paraId="739495A9" w14:textId="77777777" w:rsidR="007572ED" w:rsidRDefault="00DE6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rozvíjí svou činnost mezi mládeží, vytváří nabídku volnočasových aktivit dětí a mládeže </w:t>
      </w:r>
    </w:p>
    <w:p w14:paraId="263E68E9" w14:textId="77777777" w:rsidR="007572ED" w:rsidRDefault="00DE6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k </w:t>
      </w:r>
      <w:r>
        <w:rPr>
          <w:color w:val="000000"/>
        </w:rPr>
        <w:t>rozvoji, propagaci, podpoře a výchově lidí s profesním zaměřením na technické obory, především v oblastech informačních a komunikačních technologií (ICT)</w:t>
      </w:r>
    </w:p>
    <w:p w14:paraId="434B7781" w14:textId="77777777" w:rsidR="007572ED" w:rsidRDefault="00DE6C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ptos" w:eastAsia="Aptos" w:hAnsi="Aptos" w:cs="Aptos"/>
          <w:color w:val="000000"/>
        </w:rPr>
      </w:pPr>
      <w:r>
        <w:rPr>
          <w:color w:val="000000"/>
        </w:rPr>
        <w:t>prezentační a propagační činnosti</w:t>
      </w:r>
    </w:p>
    <w:p w14:paraId="413466EE" w14:textId="77777777" w:rsidR="007572ED" w:rsidRDefault="00DE6C75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Předmětem této smlouvy je bezúplatný převod vlastnického práva k Movitému majetku na Přejímajícího tak, aby mohl být tento Movitý majetek Přejímajícím využit pro účely naplnění cílů, pro které byl zřízen.</w:t>
      </w:r>
    </w:p>
    <w:p w14:paraId="125D94DA" w14:textId="77777777" w:rsidR="007572ED" w:rsidRDefault="00DE6C75">
      <w:pPr>
        <w:numPr>
          <w:ilvl w:val="1"/>
          <w:numId w:val="1"/>
        </w:numPr>
        <w:spacing w:after="0" w:line="240" w:lineRule="auto"/>
        <w:ind w:left="567" w:hanging="567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Předávající prohlašuje, že bezúplatný převod Movitého majetku podle této smlouvy byl        v souladu s čl. V odst. 4. Statutu Předávajícího schválen zřizovatelem Předávajícího.</w:t>
      </w:r>
    </w:p>
    <w:p w14:paraId="2B242140" w14:textId="77777777" w:rsidR="007572ED" w:rsidRDefault="007572ED">
      <w:pPr>
        <w:spacing w:after="0" w:line="240" w:lineRule="auto"/>
        <w:ind w:left="567"/>
        <w:jc w:val="both"/>
        <w:rPr>
          <w:rFonts w:ascii="Aptos" w:eastAsia="Aptos" w:hAnsi="Aptos" w:cs="Aptos"/>
        </w:rPr>
      </w:pPr>
    </w:p>
    <w:p w14:paraId="241C549E" w14:textId="77777777" w:rsidR="007572ED" w:rsidRDefault="007572ED">
      <w:pPr>
        <w:spacing w:after="0" w:line="240" w:lineRule="auto"/>
        <w:jc w:val="both"/>
        <w:rPr>
          <w:rFonts w:ascii="Aptos" w:eastAsia="Aptos" w:hAnsi="Aptos" w:cs="Aptos"/>
        </w:rPr>
      </w:pPr>
    </w:p>
    <w:p w14:paraId="6DE6E5FF" w14:textId="77777777" w:rsidR="007572ED" w:rsidRDefault="00DE6C75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II.</w:t>
      </w:r>
    </w:p>
    <w:p w14:paraId="4E12551B" w14:textId="77777777" w:rsidR="007572ED" w:rsidRDefault="00DE6C75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 xml:space="preserve">Předmět smlouvy </w:t>
      </w:r>
    </w:p>
    <w:p w14:paraId="3057D52F" w14:textId="77777777" w:rsidR="007572ED" w:rsidRDefault="007572ED">
      <w:pPr>
        <w:tabs>
          <w:tab w:val="left" w:pos="1985"/>
        </w:tabs>
        <w:spacing w:after="0" w:line="240" w:lineRule="auto"/>
        <w:jc w:val="center"/>
        <w:rPr>
          <w:rFonts w:ascii="Aptos" w:eastAsia="Aptos" w:hAnsi="Aptos" w:cs="Aptos"/>
          <w:b/>
          <w:bCs/>
        </w:rPr>
      </w:pPr>
    </w:p>
    <w:p w14:paraId="349A46E3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color w:val="000000"/>
        </w:rPr>
        <w:t>Předávající touto smlouvou a za podmínek v ní uvedených bezúplatně převádí na Přejímajícího vlastnické právo k Movitému majetku a Přejímající Movitý majetek přijímá.</w:t>
      </w:r>
      <w:r>
        <w:rPr>
          <w:rFonts w:ascii="Aptos" w:eastAsia="Aptos" w:hAnsi="Aptos" w:cs="Aptos"/>
        </w:rPr>
        <w:t xml:space="preserve"> </w:t>
      </w:r>
    </w:p>
    <w:p w14:paraId="1D9E5200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Předávající a Přejímající se dohodli, že za Movitý majetek Přejímající neposkytne Předávajícímu žádné peněžité plnění ani náhradu a že Movitý majetek bude využit výhradně k veřejně prospěšnému účelu, tj. k naplnění cílů, jak je specifikován v čl. 1.3 této smlouvy.</w:t>
      </w:r>
    </w:p>
    <w:p w14:paraId="5DBC942D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Předávající prohlašuje, že Přejímajícího seznámil se stavem Movitého majetku a že tento odpovídá jeho stáří a užívání. Předávající dále prohlašuje, že z bezpečnostních důvodů ochrany informací byly z Movitého majetku odstraněny datové nosiče (harddisky), které nejsou předmětem převodu podle této smlouvy.</w:t>
      </w:r>
    </w:p>
    <w:p w14:paraId="268D7BCF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bookmarkStart w:id="2" w:name="_heading=h.vbt90bd9q1l8" w:colFirst="0" w:colLast="0"/>
      <w:bookmarkEnd w:id="2"/>
      <w:r>
        <w:rPr>
          <w:rFonts w:ascii="Aptos" w:eastAsia="Aptos" w:hAnsi="Aptos" w:cs="Aptos"/>
        </w:rPr>
        <w:t xml:space="preserve">Přejímající prohlašuje, že si Movitý majetek dobře prohlédl, je mu znám jeho stav a v tomto stavu jej přejímá. Proti technickému stavu Movitého majetku nemá Přejímající žádných námitek. </w:t>
      </w:r>
    </w:p>
    <w:p w14:paraId="1CD37889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Přejímající bere na vědomí a souhlasí s tím, že Předávající nenese odpovědnost za případné vady na převáděném Movitém majetku a neodpovídá za škodu z něho vzniklou, která by kdykoliv Přejímajícímu vznikla. Pro případ, že by v budoucnu jakékoli nároky v souvislosti s uzavřením a plněním této smlouvy vznikly, zavazuje se Přejímající těchto nároků účinně vzdát.</w:t>
      </w:r>
    </w:p>
    <w:p w14:paraId="77C3EC6B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bookmarkStart w:id="3" w:name="_heading=h.75afpwl88gxu" w:colFirst="0" w:colLast="0"/>
      <w:bookmarkEnd w:id="3"/>
      <w:r>
        <w:rPr>
          <w:rFonts w:ascii="Aptos" w:eastAsia="Aptos" w:hAnsi="Aptos" w:cs="Aptos"/>
        </w:rPr>
        <w:t>Přejímající se zavazuje, že Movitý majetek použije výhradně za účelem naplnění cílů, jak je specifikováno v čl. 1.3 této smlouvy. Přejímající prohlašuje, že bere na vědomí, že využití převáděného Movitého majetku k jinému účelu, než je uvedeno v čl. 1.3 této smlouvy, bude považováno za podstatné porušení smlouvy; v takovém případě má Předávající právo od smlouvy odstoupit.</w:t>
      </w:r>
    </w:p>
    <w:p w14:paraId="3251BE1B" w14:textId="77777777" w:rsidR="007572ED" w:rsidRDefault="00DE6C75">
      <w:pPr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Vlastnické právo k předávanému Movitému majetku přechází na Přejímajícího fyzickým převzetím Movitého majetku. Fyzické předání a převzetí Movitého majetku uskuteční zástupci Předávajícího a Přejímajícího bez zbytečného odkladu po uveřejnění této smlouvy v registru smluv. Fyzické předání Movitého majetku bude písemně potvrzeno v samostatném předávacím protokolu. Přejímající prohlašuje, že zajistí odvoz převzatého Movitého majetku výlučně na své náklady.</w:t>
      </w:r>
    </w:p>
    <w:p w14:paraId="04F6E7C1" w14:textId="77777777" w:rsidR="007572ED" w:rsidRDefault="007572ED">
      <w:pPr>
        <w:spacing w:after="0" w:line="240" w:lineRule="auto"/>
        <w:rPr>
          <w:rFonts w:ascii="Aptos" w:eastAsia="Aptos" w:hAnsi="Aptos" w:cs="Aptos"/>
          <w:b/>
          <w:bCs/>
        </w:rPr>
      </w:pPr>
    </w:p>
    <w:p w14:paraId="0F2597B4" w14:textId="77777777" w:rsidR="007572ED" w:rsidRDefault="007572ED">
      <w:pPr>
        <w:spacing w:after="0" w:line="240" w:lineRule="auto"/>
        <w:rPr>
          <w:rFonts w:ascii="Aptos" w:eastAsia="Aptos" w:hAnsi="Aptos" w:cs="Aptos"/>
          <w:b/>
          <w:bCs/>
        </w:rPr>
      </w:pPr>
    </w:p>
    <w:p w14:paraId="30399DE6" w14:textId="77777777" w:rsidR="007572ED" w:rsidRDefault="00DE6C75">
      <w:pPr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Článek III.</w:t>
      </w:r>
    </w:p>
    <w:p w14:paraId="2D6B3B4D" w14:textId="77777777" w:rsidR="007572ED" w:rsidRDefault="00DE6C75">
      <w:pPr>
        <w:spacing w:after="0" w:line="240" w:lineRule="auto"/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Závěrečná ustanovení</w:t>
      </w:r>
    </w:p>
    <w:p w14:paraId="05CEBC0A" w14:textId="77777777" w:rsidR="007572ED" w:rsidRDefault="007572ED">
      <w:pPr>
        <w:spacing w:after="0" w:line="240" w:lineRule="auto"/>
        <w:jc w:val="center"/>
        <w:rPr>
          <w:rFonts w:ascii="Aptos" w:eastAsia="Aptos" w:hAnsi="Aptos" w:cs="Aptos"/>
          <w:b/>
          <w:bCs/>
        </w:rPr>
      </w:pPr>
    </w:p>
    <w:p w14:paraId="67106E8C" w14:textId="77777777" w:rsidR="007572ED" w:rsidRDefault="00DE6C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Tato smlouva nabývá platnosti dnem jejího podpisu oběma smluvními stranami a účinnosti jejím uveřejněním v souladu s ustanovením § 6 odst. 1 zákona č. 340/2015 Sb., o zvláštních podmínkách účinnosti některých smluv, uveřejňování těchto smluv a o registru smluv (zákon o registru smluv), ve znění pozdějších předpisů. Zveřejnění této smlouvy provede Předávající. Pro účely uveřejnění v registru smluv smluvní strany navzájem prohlašují, že smlouva neobsahuje žádné obchodní tajemství.</w:t>
      </w:r>
    </w:p>
    <w:p w14:paraId="7C6DE36C" w14:textId="77777777" w:rsidR="007572ED" w:rsidRDefault="00DE6C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Smluvní strany prohlašují, že ujednání v této smlouvě obsažená jsou jim jasná a srozumitelná, jsou jimi míněna vážně a byla učiněna na základě jejich pravé a svobodné vůle. Na důkaz tohoto tvrzení smluvní strany připojují níže své podpisy. Tato smlouva je podepsána v elektronické podobě, a to za použití elektronických podpisů (tj. zaručeného elektronického podpisu či kvalifikovaného elektronického podpisu), a to v souladu s </w:t>
      </w:r>
      <w:proofErr w:type="spellStart"/>
      <w:r>
        <w:rPr>
          <w:rFonts w:ascii="Aptos" w:eastAsia="Aptos" w:hAnsi="Aptos" w:cs="Aptos"/>
          <w:color w:val="000000"/>
        </w:rPr>
        <w:t>ust</w:t>
      </w:r>
      <w:proofErr w:type="spellEnd"/>
      <w:r>
        <w:rPr>
          <w:rFonts w:ascii="Aptos" w:eastAsia="Aptos" w:hAnsi="Aptos" w:cs="Aptos"/>
          <w:color w:val="000000"/>
        </w:rPr>
        <w:t xml:space="preserve">. § </w:t>
      </w:r>
      <w:r>
        <w:rPr>
          <w:rFonts w:ascii="Aptos" w:eastAsia="Aptos" w:hAnsi="Aptos" w:cs="Aptos"/>
          <w:color w:val="000000"/>
        </w:rPr>
        <w:lastRenderedPageBreak/>
        <w:t>561 odst. 1 občanského zákoníku a zákonem č. 297/2016 Sb., o službách vytvářejících důvěru pro elektronické transakce.</w:t>
      </w:r>
    </w:p>
    <w:p w14:paraId="1EBA9C06" w14:textId="77777777" w:rsidR="007572ED" w:rsidRDefault="00DE6C7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Nedílnou součástí této smlouvy jsou následující přílohy:</w:t>
      </w:r>
    </w:p>
    <w:p w14:paraId="78005A55" w14:textId="77777777" w:rsidR="007572ED" w:rsidRDefault="007572ED">
      <w:pPr>
        <w:spacing w:after="0" w:line="240" w:lineRule="auto"/>
        <w:jc w:val="both"/>
        <w:rPr>
          <w:rFonts w:ascii="Aptos" w:eastAsia="Aptos" w:hAnsi="Aptos" w:cs="Aptos"/>
        </w:rPr>
      </w:pPr>
    </w:p>
    <w:p w14:paraId="40966C02" w14:textId="77777777" w:rsidR="007572ED" w:rsidRDefault="00DE6C75">
      <w:pPr>
        <w:spacing w:after="0" w:line="240" w:lineRule="auto"/>
        <w:ind w:left="567"/>
        <w:jc w:val="both"/>
        <w:rPr>
          <w:rFonts w:ascii="Aptos" w:eastAsia="Aptos" w:hAnsi="Aptos" w:cs="Aptos"/>
        </w:rPr>
      </w:pPr>
      <w:r>
        <w:t>Příloha č. 1 – Specifikace Movitého majetku</w:t>
      </w:r>
    </w:p>
    <w:p w14:paraId="65BA6FC0" w14:textId="77777777" w:rsidR="007572ED" w:rsidRDefault="00757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25A5627B" w14:textId="77777777" w:rsidR="00DE6C75" w:rsidRDefault="00DE6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5D0966E4" w14:textId="77777777" w:rsidR="00DE6C75" w:rsidRDefault="00DE6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0C81FBCC" w14:textId="77777777" w:rsidR="00DE6C75" w:rsidRDefault="00DE6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736530F0" w14:textId="77777777" w:rsidR="00DE6C75" w:rsidRDefault="00DE6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5D55D163" w14:textId="77777777" w:rsidR="00DE6C75" w:rsidRDefault="00DE6C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ptos" w:eastAsia="Aptos" w:hAnsi="Aptos" w:cs="Aptos"/>
          <w:color w:val="000000"/>
        </w:rPr>
      </w:pPr>
    </w:p>
    <w:p w14:paraId="3C5E0F96" w14:textId="355E47C1" w:rsidR="007572ED" w:rsidRDefault="00DE6C75">
      <w:pPr>
        <w:spacing w:after="0" w:line="240" w:lineRule="auto"/>
        <w:ind w:firstLine="708"/>
        <w:rPr>
          <w:rFonts w:ascii="Aptos" w:eastAsia="Aptos" w:hAnsi="Aptos" w:cs="Aptos"/>
          <w:sz w:val="18"/>
          <w:szCs w:val="18"/>
        </w:rPr>
      </w:pPr>
      <w:bookmarkStart w:id="4" w:name="_heading=h.a3f59ihr99k" w:colFirst="0" w:colLast="0"/>
      <w:bookmarkEnd w:id="4"/>
      <w:r>
        <w:rPr>
          <w:rFonts w:ascii="Aptos" w:eastAsia="Aptos" w:hAnsi="Aptos" w:cs="Aptos"/>
        </w:rPr>
        <w:t xml:space="preserve">Dne: </w:t>
      </w:r>
      <w:r>
        <w:rPr>
          <w:rFonts w:ascii="Aptos" w:eastAsia="Aptos" w:hAnsi="Aptos" w:cs="Aptos"/>
          <w:sz w:val="18"/>
          <w:szCs w:val="18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>Dne:</w:t>
      </w:r>
    </w:p>
    <w:p w14:paraId="7F88CA7A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3DCC941F" w14:textId="77777777" w:rsidR="007572ED" w:rsidRDefault="00DE6C7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  <w:t>Předávající: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>Přejímající:</w:t>
      </w:r>
    </w:p>
    <w:p w14:paraId="6C5B2F05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0127B0C8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6AB593BD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52F1A482" w14:textId="77777777" w:rsidR="007572ED" w:rsidRDefault="00DE6C7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  <w:t>…………………………………………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>…………………………………………..</w:t>
      </w:r>
    </w:p>
    <w:p w14:paraId="1B40F548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  <w:t>Petr Štěpánek, Ph.D.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 w:rsidRPr="00DE6C75">
        <w:rPr>
          <w:rFonts w:ascii="Aptos" w:eastAsia="Aptos" w:hAnsi="Aptos" w:cs="Aptos"/>
        </w:rPr>
        <w:t>Tereza Přikrylová</w:t>
      </w:r>
    </w:p>
    <w:p w14:paraId="260E8DC5" w14:textId="77777777" w:rsidR="007572ED" w:rsidRPr="00DE6C75" w:rsidRDefault="00DE6C75">
      <w:pPr>
        <w:spacing w:after="0" w:line="240" w:lineRule="auto"/>
        <w:rPr>
          <w:rFonts w:ascii="Aptos" w:eastAsia="Aptos" w:hAnsi="Aptos" w:cs="Aptos"/>
        </w:rPr>
      </w:pPr>
      <w:r w:rsidRPr="00DE6C75">
        <w:rPr>
          <w:rFonts w:ascii="Aptos" w:eastAsia="Aptos" w:hAnsi="Aptos" w:cs="Aptos"/>
        </w:rPr>
        <w:tab/>
        <w:t>generální ředitel</w:t>
      </w:r>
      <w:r w:rsidRPr="00DE6C75">
        <w:rPr>
          <w:rFonts w:ascii="Aptos" w:eastAsia="Aptos" w:hAnsi="Aptos" w:cs="Aptos"/>
        </w:rPr>
        <w:tab/>
      </w:r>
      <w:r w:rsidRPr="00DE6C75">
        <w:rPr>
          <w:rFonts w:ascii="Aptos" w:eastAsia="Aptos" w:hAnsi="Aptos" w:cs="Aptos"/>
        </w:rPr>
        <w:tab/>
      </w:r>
      <w:r w:rsidRPr="00DE6C75">
        <w:rPr>
          <w:rFonts w:ascii="Aptos" w:eastAsia="Aptos" w:hAnsi="Aptos" w:cs="Aptos"/>
        </w:rPr>
        <w:tab/>
      </w:r>
      <w:r w:rsidRPr="00DE6C75">
        <w:rPr>
          <w:rFonts w:ascii="Aptos" w:eastAsia="Aptos" w:hAnsi="Aptos" w:cs="Aptos"/>
        </w:rPr>
        <w:tab/>
      </w:r>
      <w:r w:rsidRPr="00DE6C75">
        <w:rPr>
          <w:rFonts w:ascii="Aptos" w:eastAsia="Aptos" w:hAnsi="Aptos" w:cs="Aptos"/>
        </w:rPr>
        <w:tab/>
        <w:t>člen výboru</w:t>
      </w:r>
    </w:p>
    <w:p w14:paraId="17618467" w14:textId="77777777" w:rsidR="007572ED" w:rsidRDefault="00DE6C75">
      <w:pPr>
        <w:spacing w:after="0" w:line="240" w:lineRule="auto"/>
        <w:rPr>
          <w:rFonts w:ascii="Aptos" w:eastAsia="Aptos" w:hAnsi="Aptos" w:cs="Aptos"/>
          <w:b/>
          <w:bCs/>
        </w:rPr>
      </w:pPr>
      <w:r w:rsidRPr="00DE6C75">
        <w:rPr>
          <w:rFonts w:ascii="Aptos" w:eastAsia="Aptos" w:hAnsi="Aptos" w:cs="Aptos"/>
        </w:rPr>
        <w:tab/>
        <w:t>Centrum pro regionální rozvoj České republiky</w:t>
      </w:r>
      <w:r w:rsidRPr="00DE6C75">
        <w:rPr>
          <w:rFonts w:ascii="Aptos" w:eastAsia="Aptos" w:hAnsi="Aptos" w:cs="Aptos"/>
        </w:rPr>
        <w:tab/>
        <w:t>Montessori Trutnov, z. s.</w:t>
      </w:r>
    </w:p>
    <w:p w14:paraId="132121FC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79218DB8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1746CF7F" w14:textId="77777777" w:rsidR="007572ED" w:rsidRDefault="00DE6C75">
      <w:pPr>
        <w:spacing w:after="0" w:line="240" w:lineRule="auto"/>
        <w:rPr>
          <w:rFonts w:ascii="Aptos" w:eastAsia="Aptos" w:hAnsi="Aptos" w:cs="Aptos"/>
        </w:rPr>
      </w:pPr>
      <w:r>
        <w:br w:type="page"/>
      </w:r>
    </w:p>
    <w:p w14:paraId="1292F429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2AAD8523" w14:textId="77777777" w:rsidR="007572ED" w:rsidRDefault="00DE6C7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Příloha č. 1 </w:t>
      </w:r>
      <w:r>
        <w:t>– Specifikace Movitého majetku</w:t>
      </w:r>
    </w:p>
    <w:p w14:paraId="5DD96B0D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4"/>
        <w:gridCol w:w="2265"/>
        <w:gridCol w:w="2265"/>
      </w:tblGrid>
      <w:tr w:rsidR="007572ED" w14:paraId="4BEE997C" w14:textId="77777777">
        <w:tc>
          <w:tcPr>
            <w:tcW w:w="1696" w:type="dxa"/>
          </w:tcPr>
          <w:p w14:paraId="78ECBBAB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Čarový kód</w:t>
            </w:r>
          </w:p>
        </w:tc>
        <w:tc>
          <w:tcPr>
            <w:tcW w:w="2834" w:type="dxa"/>
          </w:tcPr>
          <w:p w14:paraId="2CE8892E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Název majetku</w:t>
            </w:r>
          </w:p>
        </w:tc>
        <w:tc>
          <w:tcPr>
            <w:tcW w:w="2265" w:type="dxa"/>
          </w:tcPr>
          <w:p w14:paraId="6FE37F80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Procesor</w:t>
            </w:r>
          </w:p>
        </w:tc>
        <w:tc>
          <w:tcPr>
            <w:tcW w:w="2265" w:type="dxa"/>
          </w:tcPr>
          <w:p w14:paraId="059F50E2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Paměť</w:t>
            </w:r>
          </w:p>
        </w:tc>
      </w:tr>
      <w:tr w:rsidR="007572ED" w14:paraId="43640133" w14:textId="77777777">
        <w:tc>
          <w:tcPr>
            <w:tcW w:w="1696" w:type="dxa"/>
          </w:tcPr>
          <w:p w14:paraId="1B830A68" w14:textId="77777777" w:rsidR="007572ED" w:rsidRDefault="00DE6C7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00066568</w:t>
            </w:r>
          </w:p>
        </w:tc>
        <w:tc>
          <w:tcPr>
            <w:tcW w:w="2834" w:type="dxa"/>
          </w:tcPr>
          <w:p w14:paraId="0D3301E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78DC2D97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31CDE8A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6DC90C8B" w14:textId="77777777">
        <w:tc>
          <w:tcPr>
            <w:tcW w:w="1696" w:type="dxa"/>
          </w:tcPr>
          <w:p w14:paraId="6E8EDEE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00066607</w:t>
            </w:r>
          </w:p>
        </w:tc>
        <w:tc>
          <w:tcPr>
            <w:tcW w:w="2834" w:type="dxa"/>
          </w:tcPr>
          <w:p w14:paraId="7A0990B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5C02A09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6BD88DE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3C748933" w14:textId="77777777">
        <w:tc>
          <w:tcPr>
            <w:tcW w:w="1696" w:type="dxa"/>
          </w:tcPr>
          <w:p w14:paraId="54F315B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00066660</w:t>
            </w:r>
          </w:p>
        </w:tc>
        <w:tc>
          <w:tcPr>
            <w:tcW w:w="2834" w:type="dxa"/>
          </w:tcPr>
          <w:p w14:paraId="0C95435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5544E7A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4F77A7FE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31FDBEBB" w14:textId="77777777">
        <w:tc>
          <w:tcPr>
            <w:tcW w:w="1696" w:type="dxa"/>
          </w:tcPr>
          <w:p w14:paraId="5DC03FC5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00066661</w:t>
            </w:r>
          </w:p>
        </w:tc>
        <w:tc>
          <w:tcPr>
            <w:tcW w:w="2834" w:type="dxa"/>
          </w:tcPr>
          <w:p w14:paraId="335B4507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4F73FCE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2FBAF2B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2B991CA6" w14:textId="77777777">
        <w:tc>
          <w:tcPr>
            <w:tcW w:w="1696" w:type="dxa"/>
          </w:tcPr>
          <w:p w14:paraId="6E8ACF8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00066683</w:t>
            </w:r>
          </w:p>
        </w:tc>
        <w:tc>
          <w:tcPr>
            <w:tcW w:w="2834" w:type="dxa"/>
          </w:tcPr>
          <w:p w14:paraId="5E47F50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098F49E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59123C1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1B6F8A16" w14:textId="77777777">
        <w:tc>
          <w:tcPr>
            <w:tcW w:w="1696" w:type="dxa"/>
          </w:tcPr>
          <w:p w14:paraId="2BECC64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00066687</w:t>
            </w:r>
          </w:p>
        </w:tc>
        <w:tc>
          <w:tcPr>
            <w:tcW w:w="2834" w:type="dxa"/>
          </w:tcPr>
          <w:p w14:paraId="3580421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1473C565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38687C2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7DE136D7" w14:textId="77777777">
        <w:tc>
          <w:tcPr>
            <w:tcW w:w="1696" w:type="dxa"/>
          </w:tcPr>
          <w:p w14:paraId="21111E0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00066689</w:t>
            </w:r>
          </w:p>
        </w:tc>
        <w:tc>
          <w:tcPr>
            <w:tcW w:w="2834" w:type="dxa"/>
          </w:tcPr>
          <w:p w14:paraId="28B99037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71DE651F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7BDA399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6ABDDBC8" w14:textId="77777777">
        <w:tc>
          <w:tcPr>
            <w:tcW w:w="1696" w:type="dxa"/>
          </w:tcPr>
          <w:p w14:paraId="4401CB38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00066693</w:t>
            </w:r>
          </w:p>
        </w:tc>
        <w:tc>
          <w:tcPr>
            <w:tcW w:w="2834" w:type="dxa"/>
          </w:tcPr>
          <w:p w14:paraId="13DDF997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45BCCBF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76E92F05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5F3290AF" w14:textId="77777777">
        <w:tc>
          <w:tcPr>
            <w:tcW w:w="1696" w:type="dxa"/>
          </w:tcPr>
          <w:p w14:paraId="10A5895C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00066697</w:t>
            </w:r>
          </w:p>
        </w:tc>
        <w:tc>
          <w:tcPr>
            <w:tcW w:w="2834" w:type="dxa"/>
          </w:tcPr>
          <w:p w14:paraId="39935202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63BDEA6B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07D706F5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1C3C449C" w14:textId="77777777">
        <w:tc>
          <w:tcPr>
            <w:tcW w:w="1696" w:type="dxa"/>
          </w:tcPr>
          <w:p w14:paraId="31E585CE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00066761</w:t>
            </w:r>
          </w:p>
        </w:tc>
        <w:tc>
          <w:tcPr>
            <w:tcW w:w="2834" w:type="dxa"/>
          </w:tcPr>
          <w:p w14:paraId="4D4B0FD2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53AAB8EA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5784C9B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784C6DCB" w14:textId="77777777">
        <w:tc>
          <w:tcPr>
            <w:tcW w:w="1696" w:type="dxa"/>
          </w:tcPr>
          <w:p w14:paraId="4F20CC31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00066770</w:t>
            </w:r>
          </w:p>
        </w:tc>
        <w:tc>
          <w:tcPr>
            <w:tcW w:w="2834" w:type="dxa"/>
          </w:tcPr>
          <w:p w14:paraId="3846647E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7F8A16C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6F99BF4A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1F2F6E4A" w14:textId="77777777">
        <w:tc>
          <w:tcPr>
            <w:tcW w:w="1696" w:type="dxa"/>
          </w:tcPr>
          <w:p w14:paraId="271D04F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00066775</w:t>
            </w:r>
          </w:p>
        </w:tc>
        <w:tc>
          <w:tcPr>
            <w:tcW w:w="2834" w:type="dxa"/>
          </w:tcPr>
          <w:p w14:paraId="1F53B007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6894B68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2C2B963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7ED4C0E7" w14:textId="77777777">
        <w:tc>
          <w:tcPr>
            <w:tcW w:w="1696" w:type="dxa"/>
          </w:tcPr>
          <w:p w14:paraId="79A6D55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00066777</w:t>
            </w:r>
          </w:p>
        </w:tc>
        <w:tc>
          <w:tcPr>
            <w:tcW w:w="2834" w:type="dxa"/>
          </w:tcPr>
          <w:p w14:paraId="105336E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636D52A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740855E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74290821" w14:textId="77777777">
        <w:tc>
          <w:tcPr>
            <w:tcW w:w="1696" w:type="dxa"/>
          </w:tcPr>
          <w:p w14:paraId="42F9687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00066778</w:t>
            </w:r>
          </w:p>
        </w:tc>
        <w:tc>
          <w:tcPr>
            <w:tcW w:w="2834" w:type="dxa"/>
          </w:tcPr>
          <w:p w14:paraId="75294B2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4C354AFF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338AF014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  <w:tr w:rsidR="007572ED" w14:paraId="6B7E216B" w14:textId="77777777">
        <w:tc>
          <w:tcPr>
            <w:tcW w:w="1696" w:type="dxa"/>
          </w:tcPr>
          <w:p w14:paraId="6529C429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00066779</w:t>
            </w:r>
          </w:p>
        </w:tc>
        <w:tc>
          <w:tcPr>
            <w:tcW w:w="2834" w:type="dxa"/>
          </w:tcPr>
          <w:p w14:paraId="0E574193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color w:val="000000"/>
              </w:rPr>
              <w:t>NTB Lenovo ThinkPad T480</w:t>
            </w:r>
          </w:p>
        </w:tc>
        <w:tc>
          <w:tcPr>
            <w:tcW w:w="2265" w:type="dxa"/>
          </w:tcPr>
          <w:p w14:paraId="447B4E5D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Intel </w:t>
            </w:r>
            <w:proofErr w:type="spellStart"/>
            <w:r>
              <w:rPr>
                <w:rFonts w:ascii="Aptos" w:eastAsia="Aptos" w:hAnsi="Aptos" w:cs="Aptos"/>
              </w:rPr>
              <w:t>Core</w:t>
            </w:r>
            <w:proofErr w:type="spellEnd"/>
            <w:r>
              <w:rPr>
                <w:rFonts w:ascii="Aptos" w:eastAsia="Aptos" w:hAnsi="Aptos" w:cs="Aptos"/>
              </w:rPr>
              <w:t xml:space="preserve"> i5-6400</w:t>
            </w:r>
          </w:p>
        </w:tc>
        <w:tc>
          <w:tcPr>
            <w:tcW w:w="2265" w:type="dxa"/>
          </w:tcPr>
          <w:p w14:paraId="497A14D6" w14:textId="77777777" w:rsidR="007572ED" w:rsidRDefault="00DE6C75">
            <w:pPr>
              <w:spacing w:after="0" w:line="240" w:lineRule="auto"/>
              <w:rPr>
                <w:rFonts w:ascii="Aptos" w:eastAsia="Aptos" w:hAnsi="Aptos" w:cs="Aptos"/>
              </w:rPr>
            </w:pPr>
            <w:proofErr w:type="gramStart"/>
            <w:r>
              <w:rPr>
                <w:rFonts w:ascii="Aptos" w:eastAsia="Aptos" w:hAnsi="Aptos" w:cs="Aptos"/>
              </w:rPr>
              <w:t>8GB</w:t>
            </w:r>
            <w:proofErr w:type="gramEnd"/>
            <w:r>
              <w:rPr>
                <w:rFonts w:ascii="Aptos" w:eastAsia="Aptos" w:hAnsi="Aptos" w:cs="Aptos"/>
              </w:rPr>
              <w:t xml:space="preserve"> DDR4 DIMM</w:t>
            </w:r>
          </w:p>
        </w:tc>
      </w:tr>
    </w:tbl>
    <w:p w14:paraId="60D4F13E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6437BC9A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p w14:paraId="494B3B0F" w14:textId="77777777" w:rsidR="007572ED" w:rsidRDefault="007572ED">
      <w:pPr>
        <w:spacing w:after="0" w:line="240" w:lineRule="auto"/>
        <w:rPr>
          <w:rFonts w:ascii="Aptos" w:eastAsia="Aptos" w:hAnsi="Aptos" w:cs="Aptos"/>
        </w:rPr>
      </w:pPr>
    </w:p>
    <w:sectPr w:rsidR="007572ED">
      <w:footerReference w:type="default" r:id="rId8"/>
      <w:headerReference w:type="first" r:id="rId9"/>
      <w:pgSz w:w="11906" w:h="16838"/>
      <w:pgMar w:top="1418" w:right="1418" w:bottom="1418" w:left="1418" w:header="284" w:footer="3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CBF80" w14:textId="77777777" w:rsidR="00DE6C75" w:rsidRDefault="00DE6C75">
      <w:pPr>
        <w:spacing w:after="0" w:line="240" w:lineRule="auto"/>
      </w:pPr>
      <w:r>
        <w:separator/>
      </w:r>
    </w:p>
  </w:endnote>
  <w:endnote w:type="continuationSeparator" w:id="0">
    <w:p w14:paraId="0B27F667" w14:textId="77777777" w:rsidR="00DE6C75" w:rsidRDefault="00DE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FD77F3-722B-4C3A-A5C3-EF4AA2E7E2C7}"/>
    <w:embedBold r:id="rId2" w:fontKey="{491849F0-6902-477F-A588-DF230FAB6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03881F8-D347-46BC-9947-87C03BF325C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DE71DDE-E441-4E57-9266-A9EC3C406A66}"/>
    <w:embedItalic r:id="rId5" w:fontKey="{51E38964-3DE5-4236-9163-3AE51874677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F0C1FC3-0529-442F-956B-B8F521A31B5C}"/>
    <w:embedBold r:id="rId7" w:fontKey="{771DF702-EAC6-494C-94D0-F978AB8400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C33B164-9EE7-4080-8023-0C2863D1E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8B261" w14:textId="77777777" w:rsidR="007572ED" w:rsidRDefault="00DE6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258D5" w14:textId="77777777" w:rsidR="00DE6C75" w:rsidRDefault="00DE6C75">
      <w:pPr>
        <w:spacing w:after="0" w:line="240" w:lineRule="auto"/>
      </w:pPr>
      <w:r>
        <w:separator/>
      </w:r>
    </w:p>
  </w:footnote>
  <w:footnote w:type="continuationSeparator" w:id="0">
    <w:p w14:paraId="214CA812" w14:textId="77777777" w:rsidR="00DE6C75" w:rsidRDefault="00DE6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0FD1" w14:textId="77777777" w:rsidR="007572ED" w:rsidRDefault="007572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6237"/>
      </w:tabs>
      <w:rPr>
        <w:color w:val="000000"/>
      </w:rPr>
    </w:pPr>
  </w:p>
  <w:p w14:paraId="20BB9840" w14:textId="77777777" w:rsidR="007572ED" w:rsidRDefault="00DE6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6237"/>
      </w:tabs>
      <w:rPr>
        <w:color w:val="000000"/>
      </w:rPr>
    </w:pPr>
    <w:r>
      <w:rPr>
        <w:color w:val="000000"/>
      </w:rPr>
      <w:tab/>
      <w:t xml:space="preserve">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61D239A" wp14:editId="26EB7BF3">
          <wp:simplePos x="0" y="0"/>
          <wp:positionH relativeFrom="column">
            <wp:posOffset>4446</wp:posOffset>
          </wp:positionH>
          <wp:positionV relativeFrom="paragraph">
            <wp:posOffset>635</wp:posOffset>
          </wp:positionV>
          <wp:extent cx="1219200" cy="822960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CC8220" w14:textId="3AE45DB5" w:rsidR="007572ED" w:rsidRDefault="00DE6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6237"/>
      </w:tabs>
      <w:jc w:val="right"/>
      <w:rPr>
        <w:rFonts w:ascii="Aptos" w:eastAsia="Aptos" w:hAnsi="Aptos" w:cs="Aptos"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rFonts w:ascii="Aptos" w:eastAsia="Aptos" w:hAnsi="Aptos" w:cs="Aptos"/>
        <w:color w:val="000000"/>
      </w:rPr>
      <w:t xml:space="preserve">    č.j. CENT 2419/2026</w:t>
    </w:r>
  </w:p>
  <w:p w14:paraId="5BA8EC47" w14:textId="5D2BE8D8" w:rsidR="007572ED" w:rsidRDefault="00DE6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6237"/>
      </w:tabs>
      <w:jc w:val="right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color w:val="000000"/>
      </w:rPr>
      <w:tab/>
      <w:t xml:space="preserve">                                                                                      </w:t>
    </w:r>
    <w:proofErr w:type="spellStart"/>
    <w:r>
      <w:rPr>
        <w:rFonts w:ascii="Aptos" w:eastAsia="Aptos" w:hAnsi="Aptos" w:cs="Aptos"/>
        <w:color w:val="000000"/>
      </w:rPr>
      <w:t>Sml</w:t>
    </w:r>
    <w:proofErr w:type="spellEnd"/>
    <w:r>
      <w:rPr>
        <w:rFonts w:ascii="Aptos" w:eastAsia="Aptos" w:hAnsi="Aptos" w:cs="Aptos"/>
        <w:color w:val="000000"/>
      </w:rPr>
      <w:t>. č.: 7/2026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EB323C"/>
    <w:multiLevelType w:val="multilevel"/>
    <w:tmpl w:val="525263A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491E509C"/>
    <w:multiLevelType w:val="multilevel"/>
    <w:tmpl w:val="6D9EB3C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4FB350C2"/>
    <w:multiLevelType w:val="multilevel"/>
    <w:tmpl w:val="E8E66A1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5148B"/>
    <w:multiLevelType w:val="multilevel"/>
    <w:tmpl w:val="AA8C6DD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234467764">
    <w:abstractNumId w:val="0"/>
  </w:num>
  <w:num w:numId="2" w16cid:durableId="1044603700">
    <w:abstractNumId w:val="3"/>
  </w:num>
  <w:num w:numId="3" w16cid:durableId="102770520">
    <w:abstractNumId w:val="1"/>
  </w:num>
  <w:num w:numId="4" w16cid:durableId="99287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2ED"/>
    <w:rsid w:val="003864BC"/>
    <w:rsid w:val="007572ED"/>
    <w:rsid w:val="00880E02"/>
    <w:rsid w:val="00A10B71"/>
    <w:rsid w:val="00DE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E547"/>
  <w15:docId w15:val="{1D94FA11-62FA-44F5-9489-07B75D3D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vtlmkazvraznn31">
    <w:name w:val="Světlá mřížka – zvýraznění 31"/>
    <w:uiPriority w:val="34"/>
    <w:qFormat/>
    <w:rsid w:val="003C60B9"/>
    <w:pPr>
      <w:ind w:left="720"/>
      <w:contextualSpacing/>
    </w:pPr>
  </w:style>
  <w:style w:type="character" w:styleId="Hypertextovodkaz">
    <w:name w:val="Hyperlink"/>
    <w:uiPriority w:val="99"/>
    <w:unhideWhenUsed/>
    <w:rsid w:val="003565AC"/>
    <w:rPr>
      <w:color w:val="0563C1"/>
      <w:u w:val="single"/>
    </w:rPr>
  </w:style>
  <w:style w:type="paragraph" w:styleId="Zhlav">
    <w:name w:val="header"/>
    <w:link w:val="ZhlavChar"/>
    <w:uiPriority w:val="99"/>
    <w:unhideWhenUsed/>
    <w:rsid w:val="0079726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9726A"/>
    <w:rPr>
      <w:sz w:val="22"/>
      <w:szCs w:val="22"/>
      <w:lang w:val="en-US" w:eastAsia="en-US"/>
    </w:rPr>
  </w:style>
  <w:style w:type="paragraph" w:styleId="Zpat">
    <w:name w:val="footer"/>
    <w:link w:val="ZpatChar"/>
    <w:uiPriority w:val="99"/>
    <w:unhideWhenUsed/>
    <w:rsid w:val="0079726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9726A"/>
    <w:rPr>
      <w:sz w:val="22"/>
      <w:szCs w:val="22"/>
      <w:lang w:val="en-US" w:eastAsia="en-US"/>
    </w:rPr>
  </w:style>
  <w:style w:type="paragraph" w:styleId="Textbubliny">
    <w:name w:val="Balloon Text"/>
    <w:link w:val="TextbublinyChar"/>
    <w:uiPriority w:val="99"/>
    <w:semiHidden/>
    <w:unhideWhenUsed/>
    <w:rsid w:val="00327152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27152"/>
    <w:rPr>
      <w:rFonts w:ascii="Times New Roman" w:hAnsi="Times New Roman"/>
      <w:sz w:val="18"/>
      <w:szCs w:val="18"/>
      <w:lang w:val="en-US" w:eastAsia="en-US"/>
    </w:rPr>
  </w:style>
  <w:style w:type="character" w:styleId="Odkaznakoment">
    <w:name w:val="annotation reference"/>
    <w:uiPriority w:val="99"/>
    <w:unhideWhenUsed/>
    <w:rsid w:val="00327152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447A51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32715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715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27152"/>
    <w:rPr>
      <w:b/>
      <w:bCs/>
      <w:lang w:val="en-US" w:eastAsia="en-US"/>
    </w:rPr>
  </w:style>
  <w:style w:type="paragraph" w:customStyle="1" w:styleId="Barevnseznamzvraznn11">
    <w:name w:val="Barevný seznam – zvýraznění 11"/>
    <w:uiPriority w:val="34"/>
    <w:qFormat/>
    <w:rsid w:val="005A21DF"/>
    <w:pPr>
      <w:ind w:left="708"/>
    </w:pPr>
  </w:style>
  <w:style w:type="character" w:customStyle="1" w:styleId="Nevyeenzmnka1">
    <w:name w:val="Nevyřešená zmínka1"/>
    <w:uiPriority w:val="99"/>
    <w:semiHidden/>
    <w:unhideWhenUsed/>
    <w:rsid w:val="005A21DF"/>
    <w:rPr>
      <w:color w:val="605E5C"/>
      <w:shd w:val="clear" w:color="auto" w:fill="E1DFDD"/>
    </w:rPr>
  </w:style>
  <w:style w:type="paragraph" w:customStyle="1" w:styleId="Barevnstnovnzvraznn11">
    <w:name w:val="Barevné stínování – zvýraznění 11"/>
    <w:hidden/>
    <w:uiPriority w:val="99"/>
    <w:semiHidden/>
    <w:rsid w:val="00C869D4"/>
    <w:rPr>
      <w:lang w:val="en-US" w:eastAsia="en-US"/>
    </w:rPr>
  </w:style>
  <w:style w:type="paragraph" w:styleId="Revize">
    <w:name w:val="Revision"/>
    <w:hidden/>
    <w:uiPriority w:val="99"/>
    <w:semiHidden/>
    <w:rsid w:val="00857BF5"/>
    <w:rPr>
      <w:lang w:val="en-US" w:eastAsia="en-US"/>
    </w:rPr>
  </w:style>
  <w:style w:type="paragraph" w:styleId="Odstavecseseznamem">
    <w:name w:val="List Paragraph"/>
    <w:aliases w:val="Odrážky,Odstavec 1,cp_Odstavec se seznamem,Bullet Number,Bullet List,FooterText,numbered,Paragraphe de liste1,Bulletr List Paragraph,列出段落,列出段落1,List Paragraph21,Listeafsnit1,Parágrafo da Lista1,Odrážkový seznam,Odstavec,リスト段落1"/>
    <w:link w:val="OdstavecseseznamemChar"/>
    <w:uiPriority w:val="1"/>
    <w:qFormat/>
    <w:rsid w:val="00CE092C"/>
    <w:pPr>
      <w:spacing w:after="200" w:line="276" w:lineRule="auto"/>
      <w:ind w:left="720"/>
      <w:contextualSpacing/>
    </w:pPr>
  </w:style>
  <w:style w:type="table" w:styleId="Mkatabulky">
    <w:name w:val="Table Grid"/>
    <w:basedOn w:val="Normlntabulka"/>
    <w:uiPriority w:val="39"/>
    <w:rsid w:val="009D50C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hoz">
    <w:name w:val="Výchozí"/>
    <w:rsid w:val="00BA5D9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cf01">
    <w:name w:val="cf01"/>
    <w:rsid w:val="00490F7F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rsid w:val="00490F7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6834AC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customStyle="1" w:styleId="OdstavecseseznamemChar">
    <w:name w:val="Odstavec se seznamem Char"/>
    <w:aliases w:val="Odrážky Char,Odstavec 1 Char,cp_Odstavec se seznamem Char,Bullet Number Char,Bullet List Char,FooterText Char,numbered Char,Paragraphe de liste1 Char,Bulletr List Paragraph Char,列出段落 Char,列出段落1 Char,List Paragraph21 Char"/>
    <w:link w:val="Odstavecseseznamem"/>
    <w:uiPriority w:val="34"/>
    <w:locked/>
    <w:rsid w:val="000249AE"/>
    <w:rPr>
      <w:sz w:val="22"/>
      <w:szCs w:val="22"/>
      <w:lang w:eastAsia="en-US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04F3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7268A"/>
    <w:rPr>
      <w:color w:val="954F72" w:themeColor="followedHyperlink"/>
      <w:u w:val="single"/>
    </w:rPr>
  </w:style>
  <w:style w:type="character" w:styleId="Siln">
    <w:name w:val="Strong"/>
    <w:uiPriority w:val="22"/>
    <w:qFormat/>
    <w:rsid w:val="00D61BFE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QoL5Ny/A2x9a/ZMycYJMQp9rw==">CgMxLjAyDmgueTBwMTdyamcxemk1Mg5oLmxremw2d29sMDNhaTIOaC52YnQ5MGJkOXExbDgyDmguNzVhZnB3bDg4Z3h1Mg1oLmEzZjU5aWhyOTlrOAByITE3S0FyRS1JNFlkWnVXZTd4My1zUHE5N0hsU0NEeVY4dA==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1005</Words>
  <Characters>5837</Characters>
  <Application>Microsoft Office Word</Application>
  <DocSecurity>4</DocSecurity>
  <Lines>193</Lines>
  <Paragraphs>117</Paragraphs>
  <ScaleCrop>false</ScaleCrop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Vendula Rosová</dc:creator>
  <cp:lastModifiedBy>Bohuslavová Denisa</cp:lastModifiedBy>
  <cp:revision>2</cp:revision>
  <cp:lastPrinted>2026-02-12T10:58:00Z</cp:lastPrinted>
  <dcterms:created xsi:type="dcterms:W3CDTF">2026-02-13T07:56:00Z</dcterms:created>
  <dcterms:modified xsi:type="dcterms:W3CDTF">2026-02-13T07:56:00Z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0x010100326461CD708D984CABB5E520C603CB89</vt:lpwstr>
  </property>
</Properties>
</file>