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101" w:rsidRDefault="005A3A18">
      <w:pPr>
        <w:tabs>
          <w:tab w:val="center" w:pos="4537"/>
          <w:tab w:val="right" w:pos="9174"/>
        </w:tabs>
        <w:spacing w:after="0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1895475" cy="45720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363101" w:rsidRDefault="005A3A18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363101" w:rsidRDefault="005A3A18">
      <w:pPr>
        <w:spacing w:after="566" w:line="259" w:lineRule="auto"/>
        <w:ind w:left="0" w:right="0" w:firstLine="0"/>
        <w:jc w:val="left"/>
      </w:pPr>
      <w:r>
        <w:t xml:space="preserve"> </w:t>
      </w:r>
    </w:p>
    <w:p w:rsidR="00363101" w:rsidRDefault="005A3A18">
      <w:pPr>
        <w:spacing w:after="0" w:line="259" w:lineRule="auto"/>
        <w:ind w:left="0" w:right="101" w:firstLine="0"/>
        <w:jc w:val="center"/>
      </w:pPr>
      <w:r>
        <w:rPr>
          <w:b/>
          <w:sz w:val="28"/>
        </w:rPr>
        <w:t xml:space="preserve">Dodatek č. 5 </w:t>
      </w:r>
    </w:p>
    <w:p w:rsidR="00363101" w:rsidRDefault="005A3A18">
      <w:pPr>
        <w:spacing w:after="0" w:line="259" w:lineRule="auto"/>
        <w:ind w:left="0" w:right="102" w:firstLine="0"/>
        <w:jc w:val="center"/>
      </w:pPr>
      <w:r>
        <w:rPr>
          <w:b/>
          <w:sz w:val="24"/>
        </w:rPr>
        <w:t xml:space="preserve">ke Smlouvě o poskytování a úhradě hrazených služeb </w:t>
      </w:r>
    </w:p>
    <w:p w:rsidR="00363101" w:rsidRDefault="005A3A18">
      <w:pPr>
        <w:spacing w:after="481"/>
        <w:ind w:left="2670" w:hanging="197"/>
      </w:pPr>
      <w:r>
        <w:t>č. 2469A001 ze dne 28.2.2024 (dále jen „Smlouva</w:t>
      </w:r>
      <w:proofErr w:type="gramStart"/>
      <w:r>
        <w:t>“)  (</w:t>
      </w:r>
      <w:proofErr w:type="gramEnd"/>
      <w:r>
        <w:t xml:space="preserve">poskytovatel specializované ambulantní péče) </w:t>
      </w:r>
    </w:p>
    <w:p w:rsidR="00363101" w:rsidRDefault="005A3A18">
      <w:pPr>
        <w:spacing w:after="15"/>
        <w:ind w:left="0" w:right="89" w:firstLine="0"/>
      </w:pPr>
      <w:r>
        <w:t xml:space="preserve">uzavřené mezi smluvními stranami: </w:t>
      </w:r>
    </w:p>
    <w:tbl>
      <w:tblPr>
        <w:tblStyle w:val="TableGrid"/>
        <w:tblW w:w="9276" w:type="dxa"/>
        <w:tblInd w:w="5" w:type="dxa"/>
        <w:tblCellMar>
          <w:top w:w="5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07"/>
        <w:gridCol w:w="5769"/>
      </w:tblGrid>
      <w:tr w:rsidR="00363101">
        <w:trPr>
          <w:trHeight w:val="266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101" w:rsidRDefault="005A3A1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Poskytovatel zdravotních služeb: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101" w:rsidRDefault="005A3A1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Státní léčebné lázně Janské </w:t>
            </w:r>
            <w:proofErr w:type="spellStart"/>
            <w:proofErr w:type="gramStart"/>
            <w:r>
              <w:rPr>
                <w:b/>
              </w:rPr>
              <w:t>Lázně,s.p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363101">
        <w:trPr>
          <w:trHeight w:val="33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101" w:rsidRDefault="005A3A1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Sídlo (obec): </w:t>
            </w:r>
            <w:r>
              <w:t xml:space="preserve">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101" w:rsidRDefault="005A3A18">
            <w:pPr>
              <w:spacing w:after="0" w:line="259" w:lineRule="auto"/>
              <w:ind w:left="0" w:right="0" w:firstLine="0"/>
              <w:jc w:val="left"/>
            </w:pPr>
            <w:r>
              <w:t xml:space="preserve">Janské Lázně </w:t>
            </w:r>
          </w:p>
        </w:tc>
      </w:tr>
      <w:tr w:rsidR="00363101">
        <w:trPr>
          <w:trHeight w:val="314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101" w:rsidRDefault="005A3A1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Ulice, č.p., PSČ: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101" w:rsidRDefault="005A3A18">
            <w:pPr>
              <w:spacing w:after="0" w:line="259" w:lineRule="auto"/>
              <w:ind w:left="0" w:right="0" w:firstLine="0"/>
              <w:jc w:val="left"/>
            </w:pPr>
            <w:r>
              <w:t xml:space="preserve">náměstí Svobody 272, 542 25 </w:t>
            </w:r>
          </w:p>
        </w:tc>
      </w:tr>
      <w:tr w:rsidR="00363101">
        <w:trPr>
          <w:trHeight w:val="670"/>
        </w:trPr>
        <w:tc>
          <w:tcPr>
            <w:tcW w:w="9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101" w:rsidRDefault="005A3A18">
            <w:pPr>
              <w:spacing w:after="68" w:line="259" w:lineRule="auto"/>
              <w:ind w:left="2" w:right="0" w:firstLine="0"/>
              <w:jc w:val="left"/>
            </w:pPr>
            <w:r>
              <w:rPr>
                <w:b/>
              </w:rPr>
              <w:t xml:space="preserve">Zápis v obchodním rejstříku: </w:t>
            </w:r>
          </w:p>
          <w:p w:rsidR="00363101" w:rsidRDefault="005A3A18">
            <w:pPr>
              <w:tabs>
                <w:tab w:val="center" w:pos="404"/>
                <w:tab w:val="center" w:pos="3452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  <w:r>
              <w:tab/>
              <w:t>Krajský soud Hradec Králové, oddíl A.XII, vložka 253, dne 1. 7. 1990</w:t>
            </w:r>
            <w:r>
              <w:rPr>
                <w:b/>
              </w:rPr>
              <w:t xml:space="preserve"> </w:t>
            </w:r>
          </w:p>
        </w:tc>
      </w:tr>
      <w:tr w:rsidR="00363101">
        <w:trPr>
          <w:trHeight w:val="89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101" w:rsidRDefault="005A3A18">
            <w:pPr>
              <w:spacing w:after="54" w:line="259" w:lineRule="auto"/>
              <w:ind w:left="2" w:right="0" w:firstLine="0"/>
              <w:jc w:val="left"/>
            </w:pPr>
            <w:r>
              <w:rPr>
                <w:b/>
              </w:rPr>
              <w:t xml:space="preserve">Zastoupený  </w:t>
            </w:r>
          </w:p>
          <w:p w:rsidR="00363101" w:rsidRDefault="005A3A1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(jméno, funkce):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101" w:rsidRDefault="005A3A18" w:rsidP="005A3A18">
            <w:pPr>
              <w:spacing w:after="49" w:line="259" w:lineRule="auto"/>
              <w:ind w:left="0" w:right="0" w:firstLine="0"/>
              <w:jc w:val="left"/>
            </w:pPr>
            <w:r>
              <w:t xml:space="preserve"> XXX</w:t>
            </w:r>
            <w:r>
              <w:t xml:space="preserve">, ředitel </w:t>
            </w:r>
          </w:p>
          <w:p w:rsidR="00363101" w:rsidRDefault="005A3A1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63101">
        <w:trPr>
          <w:trHeight w:val="33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101" w:rsidRDefault="005A3A1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IČ: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101" w:rsidRDefault="005A3A18">
            <w:pPr>
              <w:spacing w:after="0" w:line="259" w:lineRule="auto"/>
              <w:ind w:left="0" w:right="0" w:firstLine="0"/>
              <w:jc w:val="left"/>
            </w:pPr>
            <w:r>
              <w:t xml:space="preserve">00024007 </w:t>
            </w:r>
          </w:p>
        </w:tc>
      </w:tr>
      <w:tr w:rsidR="00363101">
        <w:trPr>
          <w:trHeight w:val="317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101" w:rsidRDefault="005A3A1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IČZ: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101" w:rsidRDefault="005A3A18">
            <w:pPr>
              <w:spacing w:after="0" w:line="259" w:lineRule="auto"/>
              <w:ind w:left="0" w:right="0" w:firstLine="0"/>
              <w:jc w:val="left"/>
            </w:pPr>
            <w:r>
              <w:t xml:space="preserve">69024000 </w:t>
            </w:r>
          </w:p>
        </w:tc>
      </w:tr>
    </w:tbl>
    <w:p w:rsidR="00363101" w:rsidRDefault="005A3A18">
      <w:pPr>
        <w:spacing w:after="15"/>
        <w:ind w:left="0" w:right="5702" w:firstLine="0"/>
      </w:pPr>
      <w:r>
        <w:t>(dále jen „</w:t>
      </w:r>
      <w:r>
        <w:rPr>
          <w:b/>
        </w:rPr>
        <w:t>Poskytovatel</w:t>
      </w:r>
      <w:r>
        <w:t xml:space="preserve">“) na straně jedné a </w:t>
      </w:r>
    </w:p>
    <w:tbl>
      <w:tblPr>
        <w:tblStyle w:val="TableGrid"/>
        <w:tblW w:w="9314" w:type="dxa"/>
        <w:tblInd w:w="5" w:type="dxa"/>
        <w:tblCellMar>
          <w:top w:w="41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19"/>
        <w:gridCol w:w="5795"/>
      </w:tblGrid>
      <w:tr w:rsidR="00363101">
        <w:trPr>
          <w:trHeight w:val="360"/>
        </w:trPr>
        <w:tc>
          <w:tcPr>
            <w:tcW w:w="9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101" w:rsidRDefault="005A3A1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Všeobecná zdravotní pojišťovna České republiky</w:t>
            </w:r>
            <w:r>
              <w:t xml:space="preserve"> </w:t>
            </w:r>
          </w:p>
        </w:tc>
      </w:tr>
      <w:tr w:rsidR="00363101">
        <w:trPr>
          <w:trHeight w:val="382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101" w:rsidRDefault="005A3A1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Sídlo: 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101" w:rsidRDefault="005A3A18">
            <w:pPr>
              <w:spacing w:after="0" w:line="259" w:lineRule="auto"/>
              <w:ind w:left="0" w:right="0" w:firstLine="0"/>
              <w:jc w:val="left"/>
            </w:pPr>
            <w:r>
              <w:t xml:space="preserve">Orlická 4/2020, Praha 3, 130 00 </w:t>
            </w:r>
          </w:p>
        </w:tc>
      </w:tr>
      <w:tr w:rsidR="00363101">
        <w:trPr>
          <w:trHeight w:val="360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101" w:rsidRDefault="005A3A1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IČ: 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101" w:rsidRDefault="005A3A18">
            <w:pPr>
              <w:spacing w:after="0" w:line="259" w:lineRule="auto"/>
              <w:ind w:left="0" w:right="0" w:firstLine="0"/>
              <w:jc w:val="left"/>
            </w:pPr>
            <w:r>
              <w:t xml:space="preserve">41197518 </w:t>
            </w:r>
          </w:p>
        </w:tc>
      </w:tr>
      <w:tr w:rsidR="00363101">
        <w:trPr>
          <w:trHeight w:val="446"/>
        </w:trPr>
        <w:tc>
          <w:tcPr>
            <w:tcW w:w="9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101" w:rsidRDefault="005A3A1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Regionální pobočka Hradec Králové, pobočka pro Královehradecký a Pardubický kraj </w:t>
            </w:r>
          </w:p>
        </w:tc>
      </w:tr>
      <w:tr w:rsidR="00363101">
        <w:trPr>
          <w:trHeight w:val="866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101" w:rsidRDefault="005A3A18">
            <w:pPr>
              <w:spacing w:after="55" w:line="259" w:lineRule="auto"/>
              <w:ind w:left="0" w:right="0" w:firstLine="0"/>
              <w:jc w:val="left"/>
            </w:pPr>
            <w:r>
              <w:rPr>
                <w:b/>
              </w:rPr>
              <w:t xml:space="preserve">Zastoupená  </w:t>
            </w:r>
          </w:p>
          <w:p w:rsidR="00363101" w:rsidRDefault="005A3A1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(jméno a funkce): 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101" w:rsidRDefault="005A3A1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XXX</w:t>
            </w:r>
            <w:r>
              <w:t xml:space="preserve">, ředitel RP VZP ČR Hradec Králové, pobočky pro Královehradecký a Pardubický kraj </w:t>
            </w:r>
          </w:p>
        </w:tc>
      </w:tr>
      <w:tr w:rsidR="00363101">
        <w:trPr>
          <w:trHeight w:val="425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101" w:rsidRDefault="005A3A1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Doručovací adresa (obec</w:t>
            </w:r>
            <w:proofErr w:type="gramStart"/>
            <w:r>
              <w:rPr>
                <w:b/>
              </w:rPr>
              <w:t xml:space="preserve">):   </w:t>
            </w:r>
            <w:proofErr w:type="gramEnd"/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101" w:rsidRDefault="005A3A18">
            <w:pPr>
              <w:spacing w:after="0" w:line="259" w:lineRule="auto"/>
              <w:ind w:left="0" w:right="0" w:firstLine="0"/>
              <w:jc w:val="left"/>
            </w:pPr>
            <w:r>
              <w:t xml:space="preserve">Pardubice </w:t>
            </w:r>
          </w:p>
        </w:tc>
      </w:tr>
      <w:tr w:rsidR="00363101">
        <w:trPr>
          <w:trHeight w:val="449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101" w:rsidRDefault="005A3A1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Ulice, č.p., PSČ: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101" w:rsidRDefault="005A3A18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22222"/>
              </w:rPr>
              <w:t>Karla IV. 73, 530 02 Pardubice</w:t>
            </w:r>
            <w:r>
              <w:t xml:space="preserve"> </w:t>
            </w:r>
          </w:p>
        </w:tc>
      </w:tr>
    </w:tbl>
    <w:p w:rsidR="00363101" w:rsidRDefault="005A3A18">
      <w:pPr>
        <w:spacing w:after="508"/>
        <w:ind w:left="0" w:right="89" w:firstLine="0"/>
      </w:pPr>
      <w:r>
        <w:t>(dále jen „</w:t>
      </w:r>
      <w:r>
        <w:rPr>
          <w:b/>
        </w:rPr>
        <w:t>Pojišťovna</w:t>
      </w:r>
      <w:r>
        <w:t xml:space="preserve">“) na straně druhé </w:t>
      </w:r>
    </w:p>
    <w:p w:rsidR="00363101" w:rsidRDefault="005A3A18">
      <w:pPr>
        <w:spacing w:after="235" w:line="259" w:lineRule="auto"/>
        <w:ind w:left="477" w:right="572" w:hanging="10"/>
        <w:jc w:val="center"/>
      </w:pPr>
      <w:r>
        <w:rPr>
          <w:b/>
          <w:sz w:val="20"/>
        </w:rPr>
        <w:t xml:space="preserve">Článek I. </w:t>
      </w:r>
    </w:p>
    <w:p w:rsidR="00363101" w:rsidRDefault="005A3A18">
      <w:pPr>
        <w:numPr>
          <w:ilvl w:val="0"/>
          <w:numId w:val="1"/>
        </w:numPr>
        <w:spacing w:after="242"/>
        <w:ind w:right="89" w:hanging="283"/>
      </w:pPr>
      <w:r>
        <w:t xml:space="preserve">Smluvní strany se dohodly, že úhrada hrazených služeb poskytnutých pojištěncům Pojišťovny v období od  1. 1. 2026 do 31. 12. 2026 </w:t>
      </w:r>
      <w:r>
        <w:t>(dále jen „hodnocené období“) bude prováděna způsobem odpovídajícím vyhlášce č. 432/2025 Sb., o stanovení hodnot bodu, výše úhrad hrazených služeb, výše záloh na úhradu hrazených služeb a regulačních omezení pro rok 2026 (dále jen „vyhláška“) s výjimkou do</w:t>
      </w:r>
      <w:r>
        <w:t xml:space="preserve">hodnutou v souladu s § 17 odst. 5 větou šestou zákona č. 48/1997 Sb., o veřejném zdravotním pojištění a o změně a doplnění některých souvisejících zákonů, ve znění pozdějších předpisů (dále jen „ZVZP“), uvedenou v článku II. odst. 3 až 4 </w:t>
      </w:r>
      <w:r>
        <w:rPr>
          <w:i/>
          <w:sz w:val="16"/>
        </w:rPr>
        <w:t xml:space="preserve"> </w:t>
      </w:r>
      <w:r>
        <w:t>a v článku III. o</w:t>
      </w:r>
      <w:r>
        <w:t>dst. 1 tohoto dodatku (dále jen „Dodatek“)</w:t>
      </w:r>
      <w:r>
        <w:rPr>
          <w:i/>
          <w:sz w:val="16"/>
        </w:rPr>
        <w:t>.</w:t>
      </w:r>
      <w:r>
        <w:t xml:space="preserve"> </w:t>
      </w:r>
    </w:p>
    <w:p w:rsidR="00363101" w:rsidRDefault="005A3A18">
      <w:pPr>
        <w:numPr>
          <w:ilvl w:val="0"/>
          <w:numId w:val="1"/>
        </w:numPr>
        <w:ind w:right="89" w:hanging="283"/>
      </w:pPr>
      <w:r>
        <w:t>Smluvní strany prohlašují, že dohoda uvedená v článku II. odst. 3 až 4 a v článku III. odst. 1 tohoto Dodatku upravuje způsob a výši úhrady jiným způsobem, než jak pro výše uvedené období stanoví vyhláška. Tímto</w:t>
      </w:r>
      <w:r>
        <w:t xml:space="preserve"> </w:t>
      </w:r>
      <w:r>
        <w:lastRenderedPageBreak/>
        <w:t xml:space="preserve">prohlášením a zveřejněním tohoto Dodatku smluvní strany plní svou povinnost dle § 17 odst. 9 věty čtvrté ZVZP. </w:t>
      </w:r>
    </w:p>
    <w:p w:rsidR="00363101" w:rsidRDefault="005A3A18">
      <w:pPr>
        <w:numPr>
          <w:ilvl w:val="0"/>
          <w:numId w:val="1"/>
        </w:numPr>
        <w:ind w:right="89" w:hanging="283"/>
      </w:pPr>
      <w:r>
        <w:t>Smluvní strany prohlašují, že ustanovení článku II. odst. 1 a 2 tohoto Dodatku považují za upřesnění příslušného textu vyhlášky, nikoliv za odc</w:t>
      </w:r>
      <w:r>
        <w:t xml:space="preserve">hylná ujednání ve smyslu § 17 odst. 9 věty čtvrté ZVZP. </w:t>
      </w:r>
    </w:p>
    <w:p w:rsidR="00363101" w:rsidRDefault="005A3A18">
      <w:pPr>
        <w:numPr>
          <w:ilvl w:val="0"/>
          <w:numId w:val="1"/>
        </w:numPr>
        <w:spacing w:after="266"/>
        <w:ind w:right="89" w:hanging="283"/>
      </w:pPr>
      <w:r>
        <w:t>Hrazené služby poskytované Poskytovatelem pojištěncům Pojišťovny budou po celé hodnocené období vykazovány a hrazeny podle vyhlášky MZ ČR č. 134/1998 Sb., kterou se vydává seznam zdravotních výkonů s</w:t>
      </w:r>
      <w:r>
        <w:t xml:space="preserve"> bodovými hodnotami, ve znění pozdějších předpisů. </w:t>
      </w:r>
    </w:p>
    <w:p w:rsidR="00363101" w:rsidRDefault="005A3A18">
      <w:pPr>
        <w:spacing w:after="114" w:line="259" w:lineRule="auto"/>
        <w:ind w:left="477" w:right="569" w:hanging="10"/>
        <w:jc w:val="center"/>
      </w:pPr>
      <w:r>
        <w:rPr>
          <w:b/>
          <w:sz w:val="20"/>
        </w:rPr>
        <w:t xml:space="preserve">Článek II. </w:t>
      </w:r>
    </w:p>
    <w:p w:rsidR="00363101" w:rsidRDefault="005A3A18">
      <w:pPr>
        <w:numPr>
          <w:ilvl w:val="0"/>
          <w:numId w:val="2"/>
        </w:numPr>
        <w:ind w:right="89" w:hanging="283"/>
      </w:pPr>
      <w:r>
        <w:t>Smluvní strany se dohodly, že nárok na navýšení hodnoty bodu dle přílohy č. 3 části A) bod 2. písm. b) vyhlášky a nárok na stanovení kladného koeficientu navýšení (KN) dle přílohy č. 3 části A</w:t>
      </w:r>
      <w:r>
        <w:t>) bod 3. písm. b) vyhlášky vznikne pouze v případě, že Poskytovatel bude splňovat stanovený rozsah a rozložení ordinační doby dle uvedených ustanovení vyhlášky po celé hodnocené období. Smluvní strany považují podmínky pro navýšení dle tohoto odstavce za s</w:t>
      </w:r>
      <w:r>
        <w:t>plněné v případě, že jejich splnění vyplývá z Přílohy č. 2 Smlouvy u daného pracoviště (IČP) Poskytovatele v dané odbornosti sjednané s Pojišťovnou nejpozději do 31. ledna hodnoceného období a rozsah i rozložení ordinační doby jsou nasmlouvány a dodržovány</w:t>
      </w:r>
      <w:r>
        <w:t xml:space="preserve"> do 31. prosince hodnoceného období. </w:t>
      </w:r>
    </w:p>
    <w:p w:rsidR="00363101" w:rsidRDefault="005A3A18">
      <w:pPr>
        <w:numPr>
          <w:ilvl w:val="0"/>
          <w:numId w:val="2"/>
        </w:numPr>
        <w:spacing w:after="4"/>
        <w:ind w:right="89" w:hanging="283"/>
      </w:pPr>
      <w:r>
        <w:t xml:space="preserve">Smluvní strany se dohodly, že v souvislosti s navýšením hodnoty bodu dle přílohy č. 3 části A) bod 2. písm. </w:t>
      </w:r>
    </w:p>
    <w:p w:rsidR="00363101" w:rsidRDefault="005A3A18">
      <w:pPr>
        <w:ind w:left="566" w:right="89" w:firstLine="0"/>
      </w:pPr>
      <w:r>
        <w:t>d) vyhlášky a v souvislosti se stanovením koeficientu navýšení (KN) dle přílohy č. 3 části A) bod 3. písm. d)</w:t>
      </w:r>
      <w:r>
        <w:t xml:space="preserve"> vyhlášky Poskytovatel prohlašuje, že na svých pracovištích využívá objednávkový systém, který umožňuje přednostní vyšetření či ošetření těch pojištěnců Pojišťovny, u nichž to vyžaduje jejich zdravotní stav*: </w:t>
      </w:r>
    </w:p>
    <w:p w:rsidR="00363101" w:rsidRDefault="005A3A18">
      <w:pPr>
        <w:spacing w:after="114" w:line="259" w:lineRule="auto"/>
        <w:ind w:left="477" w:right="0" w:hanging="10"/>
        <w:jc w:val="center"/>
      </w:pPr>
      <w:r>
        <w:rPr>
          <w:rFonts w:ascii="MS Gothic" w:eastAsia="MS Gothic" w:hAnsi="MS Gothic" w:cs="MS Gothic"/>
          <w:sz w:val="20"/>
        </w:rPr>
        <w:t>☒</w:t>
      </w:r>
      <w:r>
        <w:rPr>
          <w:b/>
          <w:sz w:val="20"/>
        </w:rPr>
        <w:t xml:space="preserve">ANO/ </w:t>
      </w:r>
      <w:r>
        <w:rPr>
          <w:rFonts w:ascii="MS Gothic" w:eastAsia="MS Gothic" w:hAnsi="MS Gothic" w:cs="MS Gothic"/>
          <w:sz w:val="20"/>
        </w:rPr>
        <w:t>☐</w:t>
      </w:r>
      <w:r>
        <w:rPr>
          <w:b/>
          <w:sz w:val="20"/>
        </w:rPr>
        <w:t xml:space="preserve">NE  </w:t>
      </w:r>
    </w:p>
    <w:p w:rsidR="00363101" w:rsidRDefault="005A3A18">
      <w:pPr>
        <w:spacing w:after="103" w:line="259" w:lineRule="auto"/>
        <w:ind w:left="465" w:right="0" w:firstLine="0"/>
        <w:jc w:val="center"/>
      </w:pPr>
      <w:r>
        <w:t xml:space="preserve">(*zaškrtnout platnou variantu) </w:t>
      </w:r>
    </w:p>
    <w:p w:rsidR="00363101" w:rsidRDefault="005A3A18">
      <w:pPr>
        <w:ind w:left="566" w:right="89" w:firstLine="0"/>
      </w:pPr>
      <w:r>
        <w:t xml:space="preserve">Za objednávkový systém se považuje takový systém, který umožňuje pojištěnci Pojišťovny elektronické, telefonické nebo osobní objednání na pevně stanovenou dobu v rámci ordinační doby Poskytovatele. </w:t>
      </w:r>
    </w:p>
    <w:p w:rsidR="00363101" w:rsidRDefault="005A3A18">
      <w:pPr>
        <w:numPr>
          <w:ilvl w:val="0"/>
          <w:numId w:val="2"/>
        </w:numPr>
        <w:ind w:right="89" w:hanging="283"/>
      </w:pPr>
      <w:r>
        <w:t>Smluvní strany se dohodly, že navýšení hodnoty bodu dle p</w:t>
      </w:r>
      <w:r>
        <w:t>řílohy č. 3 části A) bod 2. písm. a) vyhlášky a stanovení koeficientu navýšení (KN) dle přílohy č. 3 části A) bod 3. písm. a) vyhlášky je podmíněno tím, že ČLK nebo Poskytovatel doloží Pojišťovně nejpozději do 31. ledna hodnoceného období jmenný seznam lék</w:t>
      </w:r>
      <w:r>
        <w:t xml:space="preserve">ařů, kteří jsou držiteli dokladu celoživotního vzdělávání (dále jen „Doklad“), platného po celé hodnocené období.  </w:t>
      </w:r>
    </w:p>
    <w:p w:rsidR="00363101" w:rsidRDefault="005A3A18">
      <w:pPr>
        <w:numPr>
          <w:ilvl w:val="0"/>
          <w:numId w:val="2"/>
        </w:numPr>
        <w:spacing w:after="266"/>
        <w:ind w:right="89" w:hanging="283"/>
      </w:pPr>
      <w:r>
        <w:t>V případě, že Poskytovatel v souladu se Smlouvou poskytuje hrazené služby jen v části hodnoceného období, budou podmínky pro navýšení hodnot</w:t>
      </w:r>
      <w:r>
        <w:t>y bodu dle přílohy č. 3 části A) bod 2. písm. a) až d) vyhlášky a podmínky pro stanovení koeficientu navýšení (KN) dle přílohy č. 3 části A) bod 3. písm. a) až d) vyhlášky považovány za splněné, pokud je Poskytovatel splňuje po celé období poskytování hraz</w:t>
      </w:r>
      <w:r>
        <w:t xml:space="preserve">ených služeb. </w:t>
      </w:r>
    </w:p>
    <w:p w:rsidR="00363101" w:rsidRDefault="005A3A18">
      <w:pPr>
        <w:spacing w:after="114" w:line="259" w:lineRule="auto"/>
        <w:ind w:left="477" w:right="572" w:hanging="10"/>
        <w:jc w:val="center"/>
      </w:pPr>
      <w:r>
        <w:rPr>
          <w:b/>
          <w:sz w:val="20"/>
        </w:rPr>
        <w:t xml:space="preserve">Článek III. </w:t>
      </w:r>
    </w:p>
    <w:p w:rsidR="00363101" w:rsidRDefault="005A3A18">
      <w:pPr>
        <w:numPr>
          <w:ilvl w:val="0"/>
          <w:numId w:val="3"/>
        </w:numPr>
        <w:ind w:right="89" w:hanging="283"/>
      </w:pPr>
      <w:r>
        <w:t xml:space="preserve">Pojišťovna poskytne Poskytovateli předběžnou měsíční úhradu, která bude odpovídat fakturované částce, přičemž částka fakturovaná za poskytnuté hrazené služby nesmí za příslušný měsíc překročit předběžnou měsíční úhradu ve výši </w:t>
      </w:r>
      <w:r>
        <w:rPr>
          <w:b/>
        </w:rPr>
        <w:t>XXX</w:t>
      </w:r>
      <w:bookmarkStart w:id="0" w:name="_GoBack"/>
      <w:bookmarkEnd w:id="0"/>
      <w:r>
        <w:rPr>
          <w:b/>
        </w:rPr>
        <w:t xml:space="preserve"> Kč</w:t>
      </w:r>
      <w:r>
        <w:t xml:space="preserve">. </w:t>
      </w:r>
    </w:p>
    <w:p w:rsidR="00363101" w:rsidRDefault="005A3A18">
      <w:pPr>
        <w:numPr>
          <w:ilvl w:val="0"/>
          <w:numId w:val="3"/>
        </w:numPr>
        <w:ind w:right="89" w:hanging="283"/>
      </w:pPr>
      <w:r>
        <w:t>Základním fakturačním obdobím je kalendářní měsíc. Poskytovatel předkládá Pojišťovně faktury za poskytnuté hrazené služby v termínech dohodnutých ve Smlouvě. Pojišťovna provede úhradu hrazených služeb formou předběžné měsíční úhrady a ročního fin</w:t>
      </w:r>
      <w:r>
        <w:t xml:space="preserve">ančního vypořádání. </w:t>
      </w:r>
    </w:p>
    <w:p w:rsidR="00363101" w:rsidRDefault="005A3A18">
      <w:pPr>
        <w:numPr>
          <w:ilvl w:val="0"/>
          <w:numId w:val="3"/>
        </w:numPr>
        <w:ind w:right="89" w:hanging="283"/>
      </w:pPr>
      <w:r>
        <w:t>Předložení faktury na částku převyšující dohodnutou předběžnou měsíční úhradu opravňuje Pojišťovnu vrátit Poskytovateli příslušnou fakturu k provedení opravy. V takovém případě běží doba splatnosti sjednaná ve Smlouvě až od termínu opě</w:t>
      </w:r>
      <w:r>
        <w:t xml:space="preserve">tovného převzetí faktury Pojišťovnou. </w:t>
      </w:r>
    </w:p>
    <w:p w:rsidR="00363101" w:rsidRDefault="005A3A18">
      <w:pPr>
        <w:numPr>
          <w:ilvl w:val="0"/>
          <w:numId w:val="3"/>
        </w:numPr>
        <w:ind w:right="89" w:hanging="283"/>
      </w:pPr>
      <w:r>
        <w:t xml:space="preserve">Předběžné úhrady za hodnocené období se považují za zálohy a budou finančně vypořádány v rámci celkového finančního vypořádání.  </w:t>
      </w:r>
    </w:p>
    <w:p w:rsidR="00363101" w:rsidRDefault="005A3A18">
      <w:pPr>
        <w:numPr>
          <w:ilvl w:val="0"/>
          <w:numId w:val="3"/>
        </w:numPr>
        <w:ind w:right="89" w:hanging="283"/>
      </w:pPr>
      <w:r>
        <w:t>Pokud vznikne nedoplatek ze strany Pojišťovny, bude Poskytovateli příslušná částka pouk</w:t>
      </w:r>
      <w:r>
        <w:t>ázána samostatnou platbou. Přeplatek ze strany Pojišťovny je Pojišťovna oprávněna započíst proti kterékoliv pohledávce Poskytovatele za Pojišťovnou, a to poté, co doručí Poskytovateli vyúčtování, v němž bude přeplatek uveden.</w:t>
      </w:r>
      <w:r>
        <w:rPr>
          <w:b/>
        </w:rPr>
        <w:t xml:space="preserve"> </w:t>
      </w:r>
    </w:p>
    <w:p w:rsidR="00363101" w:rsidRDefault="005A3A18">
      <w:pPr>
        <w:numPr>
          <w:ilvl w:val="0"/>
          <w:numId w:val="3"/>
        </w:numPr>
        <w:spacing w:after="262"/>
        <w:ind w:right="89" w:hanging="283"/>
      </w:pPr>
      <w:r>
        <w:t>Hrazené služby poskytnuté v o</w:t>
      </w:r>
      <w:r>
        <w:t xml:space="preserve">bdobí před 1. 1. 2026 jsou vykazovány a hrazeny způsobem dohodnutým ve Smlouvě. Pro úhradu těchto služeb platí úhradová ujednání platná pro příslušné kalendářní období, ve kterém byly hrazené služby poskytnuty. </w:t>
      </w:r>
    </w:p>
    <w:p w:rsidR="00363101" w:rsidRDefault="005A3A18">
      <w:pPr>
        <w:spacing w:after="114" w:line="259" w:lineRule="auto"/>
        <w:ind w:left="477" w:right="570" w:hanging="10"/>
        <w:jc w:val="center"/>
      </w:pPr>
      <w:r>
        <w:rPr>
          <w:b/>
          <w:sz w:val="20"/>
        </w:rPr>
        <w:lastRenderedPageBreak/>
        <w:t xml:space="preserve">Článek IV. </w:t>
      </w:r>
    </w:p>
    <w:p w:rsidR="00363101" w:rsidRDefault="005A3A18">
      <w:pPr>
        <w:numPr>
          <w:ilvl w:val="0"/>
          <w:numId w:val="4"/>
        </w:numPr>
        <w:ind w:right="89" w:hanging="283"/>
      </w:pPr>
      <w:r>
        <w:t xml:space="preserve">Tento Dodatek se stává nedílnou součástí Smlouvy a nabývá platnosti dnem jeho uzavření.  </w:t>
      </w:r>
    </w:p>
    <w:p w:rsidR="00363101" w:rsidRDefault="005A3A18">
      <w:pPr>
        <w:numPr>
          <w:ilvl w:val="0"/>
          <w:numId w:val="4"/>
        </w:numPr>
        <w:ind w:right="89" w:hanging="283"/>
      </w:pPr>
      <w:r>
        <w:t xml:space="preserve">Tento Dodatek upravuje práva a povinnosti smluvních stran v období od 1. 1. 2026 do 31. 12. 2026. </w:t>
      </w:r>
    </w:p>
    <w:p w:rsidR="00363101" w:rsidRDefault="005A3A18">
      <w:pPr>
        <w:numPr>
          <w:ilvl w:val="0"/>
          <w:numId w:val="4"/>
        </w:numPr>
        <w:ind w:right="89" w:hanging="283"/>
      </w:pPr>
      <w:r>
        <w:t xml:space="preserve">Tento Dodatek je uzavírán v </w:t>
      </w:r>
      <w:r>
        <w:t xml:space="preserve">elektronické nebo listinné podobě. Dodatek v listinné podobě je vyhotoven ve dvou stejnopisech, z nichž každá smluvní strana obdrží jedno vyhotovení. </w:t>
      </w:r>
    </w:p>
    <w:p w:rsidR="00363101" w:rsidRDefault="005A3A18">
      <w:pPr>
        <w:numPr>
          <w:ilvl w:val="0"/>
          <w:numId w:val="4"/>
        </w:numPr>
        <w:spacing w:after="1177"/>
        <w:ind w:right="89" w:hanging="283"/>
      </w:pPr>
      <w:r>
        <w:t xml:space="preserve">Smluvní strany svým podpisem stvrzují, že tento Dodatek Smlouvy byl uzavřen podle jejich svobodné vůle a </w:t>
      </w:r>
      <w:r>
        <w:t xml:space="preserve">že souhlasí s jeho obsahem. </w:t>
      </w:r>
    </w:p>
    <w:p w:rsidR="00363101" w:rsidRDefault="005A3A18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363101" w:rsidRDefault="005A3A18">
      <w:pPr>
        <w:tabs>
          <w:tab w:val="center" w:pos="1449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2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      Za Poskytovatele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Za Pojišťovnu </w:t>
      </w:r>
    </w:p>
    <w:p w:rsidR="00363101" w:rsidRDefault="005A3A18">
      <w:pPr>
        <w:pStyle w:val="Nadpis1"/>
      </w:pPr>
      <w:r>
        <w:t xml:space="preserve">&lt;EP2_PODPIS&gt; </w:t>
      </w:r>
    </w:p>
    <w:p w:rsidR="00363101" w:rsidRDefault="005A3A18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363101" w:rsidRDefault="005A3A18">
      <w:pPr>
        <w:spacing w:after="0" w:line="259" w:lineRule="auto"/>
        <w:ind w:left="142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363101" w:rsidRDefault="005A3A18">
      <w:pPr>
        <w:spacing w:after="63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363101" w:rsidRDefault="005A3A18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363101" w:rsidRDefault="005A3A18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:rsidR="00363101" w:rsidRDefault="005A3A18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363101" w:rsidRDefault="005A3A18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363101" w:rsidRDefault="005A3A18">
      <w:pPr>
        <w:spacing w:after="1183" w:line="259" w:lineRule="auto"/>
        <w:ind w:left="0" w:right="0" w:firstLine="0"/>
        <w:jc w:val="left"/>
      </w:pPr>
      <w:r>
        <w:t xml:space="preserve"> </w:t>
      </w:r>
    </w:p>
    <w:p w:rsidR="00363101" w:rsidRDefault="005A3A18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363101">
      <w:footerReference w:type="even" r:id="rId8"/>
      <w:footerReference w:type="default" r:id="rId9"/>
      <w:footerReference w:type="first" r:id="rId10"/>
      <w:pgSz w:w="11906" w:h="16838"/>
      <w:pgMar w:top="708" w:right="1316" w:bottom="1482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A3A18">
      <w:pPr>
        <w:spacing w:after="0" w:line="240" w:lineRule="auto"/>
      </w:pPr>
      <w:r>
        <w:separator/>
      </w:r>
    </w:p>
  </w:endnote>
  <w:endnote w:type="continuationSeparator" w:id="0">
    <w:p w:rsidR="00000000" w:rsidRDefault="005A3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101" w:rsidRDefault="005A3A18">
    <w:pPr>
      <w:spacing w:after="0" w:line="239" w:lineRule="auto"/>
      <w:ind w:left="0" w:right="50" w:firstLine="8130"/>
      <w:jc w:val="left"/>
    </w:pPr>
    <w:r>
      <w:rPr>
        <w:sz w:val="16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101" w:rsidRDefault="005A3A18">
    <w:pPr>
      <w:spacing w:after="0" w:line="239" w:lineRule="auto"/>
      <w:ind w:left="0" w:right="50" w:firstLine="8130"/>
      <w:jc w:val="left"/>
    </w:pPr>
    <w:r>
      <w:rPr>
        <w:sz w:val="16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101" w:rsidRDefault="005A3A18">
    <w:pPr>
      <w:spacing w:after="0" w:line="239" w:lineRule="auto"/>
      <w:ind w:left="0" w:right="50" w:firstLine="8130"/>
      <w:jc w:val="left"/>
    </w:pPr>
    <w:r>
      <w:rPr>
        <w:sz w:val="16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A3A18">
      <w:pPr>
        <w:spacing w:after="0" w:line="240" w:lineRule="auto"/>
      </w:pPr>
      <w:r>
        <w:separator/>
      </w:r>
    </w:p>
  </w:footnote>
  <w:footnote w:type="continuationSeparator" w:id="0">
    <w:p w:rsidR="00000000" w:rsidRDefault="005A3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09B"/>
    <w:multiLevelType w:val="hybridMultilevel"/>
    <w:tmpl w:val="29D2C49E"/>
    <w:lvl w:ilvl="0" w:tplc="9B049424">
      <w:start w:val="1"/>
      <w:numFmt w:val="decimal"/>
      <w:lvlText w:val="%1.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B0CED2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B06DB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ECD17E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AA3758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A4191C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F272B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F6B83C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FC66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FC0811"/>
    <w:multiLevelType w:val="hybridMultilevel"/>
    <w:tmpl w:val="4E66FFA4"/>
    <w:lvl w:ilvl="0" w:tplc="DDBE4374">
      <w:start w:val="1"/>
      <w:numFmt w:val="decimal"/>
      <w:lvlText w:val="%1.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5CB2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9062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0EE5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3C62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3A47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A457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7E53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9092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87608A"/>
    <w:multiLevelType w:val="hybridMultilevel"/>
    <w:tmpl w:val="D7DA3F2C"/>
    <w:lvl w:ilvl="0" w:tplc="E138A4F4">
      <w:start w:val="1"/>
      <w:numFmt w:val="decimal"/>
      <w:lvlText w:val="%1.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BCADBC">
      <w:start w:val="1"/>
      <w:numFmt w:val="lowerLetter"/>
      <w:lvlText w:val="%2"/>
      <w:lvlJc w:val="left"/>
      <w:pPr>
        <w:ind w:left="1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62BF30">
      <w:start w:val="1"/>
      <w:numFmt w:val="lowerRoman"/>
      <w:lvlText w:val="%3"/>
      <w:lvlJc w:val="left"/>
      <w:pPr>
        <w:ind w:left="2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AE32CC">
      <w:start w:val="1"/>
      <w:numFmt w:val="decimal"/>
      <w:lvlText w:val="%4"/>
      <w:lvlJc w:val="left"/>
      <w:pPr>
        <w:ind w:left="2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80B3C0">
      <w:start w:val="1"/>
      <w:numFmt w:val="lowerLetter"/>
      <w:lvlText w:val="%5"/>
      <w:lvlJc w:val="left"/>
      <w:pPr>
        <w:ind w:left="3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90143C">
      <w:start w:val="1"/>
      <w:numFmt w:val="lowerRoman"/>
      <w:lvlText w:val="%6"/>
      <w:lvlJc w:val="left"/>
      <w:pPr>
        <w:ind w:left="4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148FFC">
      <w:start w:val="1"/>
      <w:numFmt w:val="decimal"/>
      <w:lvlText w:val="%7"/>
      <w:lvlJc w:val="left"/>
      <w:pPr>
        <w:ind w:left="4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FAC3D4">
      <w:start w:val="1"/>
      <w:numFmt w:val="lowerLetter"/>
      <w:lvlText w:val="%8"/>
      <w:lvlJc w:val="left"/>
      <w:pPr>
        <w:ind w:left="5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3C5E30">
      <w:start w:val="1"/>
      <w:numFmt w:val="lowerRoman"/>
      <w:lvlText w:val="%9"/>
      <w:lvlJc w:val="left"/>
      <w:pPr>
        <w:ind w:left="6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807C69"/>
    <w:multiLevelType w:val="hybridMultilevel"/>
    <w:tmpl w:val="12E2EC44"/>
    <w:lvl w:ilvl="0" w:tplc="A06010A6">
      <w:start w:val="1"/>
      <w:numFmt w:val="decimal"/>
      <w:lvlText w:val="%1.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1CE2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BC35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38FF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D272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5061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B2AC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8F843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4203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101"/>
    <w:rsid w:val="00363101"/>
    <w:rsid w:val="005A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C376"/>
  <w15:docId w15:val="{1EC442FC-7F89-4E52-BEE7-B3AC7A07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23" w:line="268" w:lineRule="auto"/>
      <w:ind w:left="2766" w:right="1416" w:hanging="293"/>
      <w:jc w:val="both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b/>
      <w:color w:val="FFFFF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FFFFFF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lecebne lazne Janske Lazne, statni podnik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Srb</dc:creator>
  <cp:keywords/>
  <cp:lastModifiedBy>Šarlota Kondosová</cp:lastModifiedBy>
  <cp:revision>2</cp:revision>
  <dcterms:created xsi:type="dcterms:W3CDTF">2026-02-02T12:16:00Z</dcterms:created>
  <dcterms:modified xsi:type="dcterms:W3CDTF">2026-02-02T12:16:00Z</dcterms:modified>
</cp:coreProperties>
</file>