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77777777" w:rsidR="00D02D47" w:rsidRPr="00DC5FCE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 w:rsidRPr="00DC5FCE">
        <w:rPr>
          <w:rFonts w:ascii="Arial" w:hAnsi="Arial" w:cs="Arial"/>
          <w:b/>
          <w:bCs/>
          <w:sz w:val="32"/>
          <w:szCs w:val="32"/>
        </w:rPr>
        <w:t>Rámcová smlouva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77777777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proofErr w:type="gramStart"/>
      <w:r w:rsidRPr="00D95EEC">
        <w:rPr>
          <w:rFonts w:ascii="Arial" w:hAnsi="Arial" w:cs="Arial"/>
          <w:sz w:val="22"/>
          <w:szCs w:val="22"/>
        </w:rPr>
        <w:t>59  Praha</w:t>
      </w:r>
      <w:proofErr w:type="gramEnd"/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7777777" w:rsidR="00D02D47" w:rsidRPr="00D95EEC" w:rsidRDefault="0061584E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="00D02D47"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D95EEC">
        <w:rPr>
          <w:rFonts w:ascii="Arial" w:hAnsi="Arial" w:cs="Arial"/>
          <w:sz w:val="22"/>
          <w:szCs w:val="22"/>
        </w:rPr>
        <w:t>Pr</w:t>
      </w:r>
      <w:proofErr w:type="spellEnd"/>
      <w:r w:rsidRPr="00D95E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5EEC">
        <w:rPr>
          <w:rFonts w:ascii="Arial" w:hAnsi="Arial" w:cs="Arial"/>
          <w:sz w:val="22"/>
          <w:szCs w:val="22"/>
        </w:rPr>
        <w:t>vl</w:t>
      </w:r>
      <w:proofErr w:type="spellEnd"/>
      <w:r w:rsidRPr="00D95EEC">
        <w:rPr>
          <w:rFonts w:ascii="Arial" w:hAnsi="Arial" w:cs="Arial"/>
          <w:sz w:val="22"/>
          <w:szCs w:val="22"/>
        </w:rPr>
        <w:t>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304C873B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F31F5B">
        <w:rPr>
          <w:rFonts w:ascii="Arial" w:hAnsi="Arial" w:cs="Arial"/>
          <w:sz w:val="22"/>
          <w:szCs w:val="22"/>
        </w:rPr>
        <w:t>XXX</w:t>
      </w:r>
      <w:r w:rsidRPr="00D95EEC">
        <w:rPr>
          <w:rFonts w:ascii="Arial" w:hAnsi="Arial" w:cs="Arial"/>
          <w:sz w:val="22"/>
          <w:szCs w:val="22"/>
        </w:rPr>
        <w:br/>
        <w:t xml:space="preserve">číslo účtu: </w:t>
      </w:r>
      <w:r w:rsidR="00F31F5B">
        <w:rPr>
          <w:rFonts w:ascii="Arial" w:hAnsi="Arial" w:cs="Arial"/>
          <w:sz w:val="22"/>
          <w:szCs w:val="22"/>
          <w:shd w:val="clear" w:color="auto" w:fill="FFFFFF"/>
        </w:rPr>
        <w:t>XXX</w:t>
      </w:r>
    </w:p>
    <w:p w14:paraId="52C7D772" w14:textId="33056A33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F31F5B">
        <w:rPr>
          <w:rFonts w:ascii="Arial" w:hAnsi="Arial" w:cs="Arial"/>
          <w:sz w:val="22"/>
          <w:szCs w:val="22"/>
        </w:rPr>
        <w:t xml:space="preserve">OU </w:t>
      </w:r>
      <w:proofErr w:type="spellStart"/>
      <w:r w:rsidR="00F31F5B">
        <w:rPr>
          <w:rFonts w:ascii="Arial" w:hAnsi="Arial" w:cs="Arial"/>
          <w:sz w:val="22"/>
          <w:szCs w:val="22"/>
        </w:rPr>
        <w:t>OU</w:t>
      </w:r>
      <w:proofErr w:type="spellEnd"/>
      <w:r w:rsidR="00341387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1BBDA34E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Název </w:t>
      </w:r>
      <w:r w:rsidR="000E5EF9">
        <w:rPr>
          <w:rFonts w:ascii="Arial" w:hAnsi="Arial" w:cs="Arial"/>
          <w:b/>
          <w:sz w:val="22"/>
          <w:szCs w:val="22"/>
          <w:lang w:eastAsia="en-US"/>
        </w:rPr>
        <w:t>Energo-MYKOV s.r.o.</w:t>
      </w:r>
    </w:p>
    <w:p w14:paraId="52C7D779" w14:textId="6EE399BE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Adresa </w:t>
      </w:r>
      <w:r w:rsidR="000E5EF9">
        <w:rPr>
          <w:rFonts w:ascii="Arial" w:hAnsi="Arial" w:cs="Arial"/>
          <w:b/>
          <w:sz w:val="22"/>
          <w:szCs w:val="22"/>
          <w:lang w:eastAsia="en-US"/>
        </w:rPr>
        <w:t>Kyslíková 1984/4, Praha</w:t>
      </w:r>
    </w:p>
    <w:p w14:paraId="52C7D77A" w14:textId="1A314600" w:rsidR="009A2D6F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0E5EF9">
        <w:rPr>
          <w:rFonts w:ascii="Arial" w:hAnsi="Arial" w:cs="Arial"/>
          <w:b/>
          <w:sz w:val="22"/>
          <w:szCs w:val="22"/>
          <w:lang w:eastAsia="en-US"/>
        </w:rPr>
        <w:t>Rostislavem Málkem</w:t>
      </w:r>
    </w:p>
    <w:p w14:paraId="52C7D77B" w14:textId="43B5CB82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CA5187">
        <w:rPr>
          <w:rFonts w:ascii="Arial" w:hAnsi="Arial" w:cs="Arial"/>
          <w:b/>
          <w:sz w:val="22"/>
          <w:szCs w:val="22"/>
          <w:lang w:eastAsia="en-US"/>
        </w:rPr>
        <w:t xml:space="preserve">v OR u </w:t>
      </w:r>
      <w:proofErr w:type="spellStart"/>
      <w:r w:rsidR="00CA5187">
        <w:rPr>
          <w:rFonts w:ascii="Arial" w:hAnsi="Arial" w:cs="Arial"/>
          <w:b/>
          <w:sz w:val="22"/>
          <w:szCs w:val="22"/>
          <w:lang w:eastAsia="en-US"/>
        </w:rPr>
        <w:t>Městs.soudu</w:t>
      </w:r>
      <w:proofErr w:type="spellEnd"/>
      <w:r w:rsidR="00CA5187">
        <w:rPr>
          <w:rFonts w:ascii="Arial" w:hAnsi="Arial" w:cs="Arial"/>
          <w:b/>
          <w:sz w:val="22"/>
          <w:szCs w:val="22"/>
          <w:lang w:eastAsia="en-US"/>
        </w:rPr>
        <w:t xml:space="preserve"> v Praze, </w:t>
      </w:r>
      <w:proofErr w:type="spellStart"/>
      <w:r w:rsidR="00CA5187">
        <w:rPr>
          <w:rFonts w:ascii="Arial" w:hAnsi="Arial" w:cs="Arial"/>
          <w:b/>
          <w:sz w:val="22"/>
          <w:szCs w:val="22"/>
          <w:lang w:eastAsia="en-US"/>
        </w:rPr>
        <w:t>spis.zn</w:t>
      </w:r>
      <w:proofErr w:type="spellEnd"/>
      <w:r w:rsidR="00CA5187">
        <w:rPr>
          <w:rFonts w:ascii="Arial" w:hAnsi="Arial" w:cs="Arial"/>
          <w:b/>
          <w:sz w:val="22"/>
          <w:szCs w:val="22"/>
          <w:lang w:eastAsia="en-US"/>
        </w:rPr>
        <w:t>.</w:t>
      </w:r>
      <w:r w:rsidR="00CA5187" w:rsidRPr="00CA5187">
        <w:t xml:space="preserve"> </w:t>
      </w:r>
      <w:r w:rsidR="00CA5187" w:rsidRPr="00CA5187">
        <w:rPr>
          <w:rFonts w:ascii="Arial" w:hAnsi="Arial" w:cs="Arial"/>
          <w:b/>
          <w:sz w:val="22"/>
          <w:szCs w:val="22"/>
          <w:lang w:eastAsia="en-US"/>
        </w:rPr>
        <w:t>C 65632</w:t>
      </w:r>
      <w:r w:rsidR="00CA5187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52C7D77C" w14:textId="2D9F1136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CA5187">
        <w:rPr>
          <w:rFonts w:ascii="Arial" w:hAnsi="Arial" w:cs="Arial"/>
          <w:b/>
          <w:sz w:val="22"/>
          <w:szCs w:val="22"/>
          <w:lang w:eastAsia="en-US"/>
        </w:rPr>
        <w:t>25736914</w:t>
      </w:r>
    </w:p>
    <w:p w14:paraId="52C7D77D" w14:textId="202E6BDD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CA5187">
        <w:rPr>
          <w:rFonts w:ascii="Arial" w:hAnsi="Arial" w:cs="Arial"/>
          <w:b/>
          <w:sz w:val="22"/>
          <w:szCs w:val="22"/>
          <w:lang w:eastAsia="en-US"/>
        </w:rPr>
        <w:t>CZ25736914</w:t>
      </w:r>
    </w:p>
    <w:p w14:paraId="52C7D77E" w14:textId="52BFC27C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F31F5B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7F" w14:textId="4F26BD58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Číslo účtu: </w:t>
      </w:r>
      <w:r w:rsidR="00F31F5B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80" w14:textId="189E84A1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5919E2">
        <w:rPr>
          <w:rFonts w:ascii="Arial" w:hAnsi="Arial" w:cs="Arial"/>
          <w:sz w:val="22"/>
          <w:szCs w:val="22"/>
        </w:rPr>
        <w:t>Rostislav Málek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0B073349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rámcová smlouva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207BC1">
        <w:rPr>
          <w:rFonts w:ascii="Arial" w:hAnsi="Arial" w:cs="Arial"/>
          <w:b/>
          <w:sz w:val="22"/>
          <w:szCs w:val="22"/>
        </w:rPr>
        <w:t>Stavební opravy objektů</w:t>
      </w:r>
      <w:r w:rsidRPr="003F1355">
        <w:rPr>
          <w:rFonts w:ascii="Arial" w:hAnsi="Arial" w:cs="Arial"/>
          <w:b/>
          <w:sz w:val="22"/>
          <w:szCs w:val="22"/>
        </w:rPr>
        <w:t xml:space="preserve"> v areálu </w:t>
      </w:r>
      <w:r w:rsidR="00C73AAC">
        <w:rPr>
          <w:rFonts w:ascii="Arial" w:hAnsi="Arial" w:cs="Arial"/>
          <w:b/>
          <w:sz w:val="22"/>
          <w:szCs w:val="22"/>
        </w:rPr>
        <w:t>F</w:t>
      </w:r>
      <w:r w:rsidRPr="003F1355">
        <w:rPr>
          <w:rFonts w:ascii="Arial" w:hAnsi="Arial" w:cs="Arial"/>
          <w:b/>
          <w:sz w:val="22"/>
          <w:szCs w:val="22"/>
        </w:rPr>
        <w:t>T</w:t>
      </w:r>
      <w:r w:rsidR="00E74CFC" w:rsidRPr="003F1355">
        <w:rPr>
          <w:rFonts w:ascii="Arial" w:hAnsi="Arial" w:cs="Arial"/>
          <w:b/>
          <w:sz w:val="22"/>
          <w:szCs w:val="22"/>
        </w:rPr>
        <w:t>N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1" w14:textId="4A0119A2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Předmětem této smlouvy jsou</w:t>
      </w:r>
      <w:r>
        <w:rPr>
          <w:rFonts w:ascii="Arial" w:hAnsi="Arial" w:cs="Arial"/>
          <w:sz w:val="22"/>
          <w:szCs w:val="22"/>
        </w:rPr>
        <w:t xml:space="preserve"> </w:t>
      </w:r>
      <w:r w:rsidR="002D17DA">
        <w:rPr>
          <w:rFonts w:ascii="Arial" w:hAnsi="Arial" w:cs="Arial"/>
          <w:sz w:val="22"/>
          <w:szCs w:val="22"/>
        </w:rPr>
        <w:t>Stavební opravy</w:t>
      </w:r>
      <w:r w:rsidR="00783F11">
        <w:rPr>
          <w:rFonts w:ascii="Arial" w:hAnsi="Arial" w:cs="Arial"/>
          <w:sz w:val="22"/>
          <w:szCs w:val="22"/>
        </w:rPr>
        <w:t xml:space="preserve"> objektů</w:t>
      </w:r>
      <w:r w:rsidRPr="000C2E3F">
        <w:rPr>
          <w:rFonts w:ascii="Arial" w:hAnsi="Arial" w:cs="Arial"/>
          <w:b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v areálu </w:t>
      </w:r>
      <w:r w:rsidR="00C73AAC">
        <w:rPr>
          <w:rFonts w:ascii="Arial" w:hAnsi="Arial" w:cs="Arial"/>
          <w:sz w:val="22"/>
          <w:szCs w:val="22"/>
        </w:rPr>
        <w:t xml:space="preserve">Fakultní </w:t>
      </w:r>
      <w:r w:rsidRPr="000C2E3F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 za podmínek podle této rámcové smlouvy.</w:t>
      </w:r>
      <w:r w:rsidRPr="000C2E3F">
        <w:rPr>
          <w:rFonts w:ascii="Arial" w:hAnsi="Arial" w:cs="Arial"/>
          <w:sz w:val="22"/>
          <w:szCs w:val="22"/>
        </w:rPr>
        <w:t xml:space="preserve"> </w:t>
      </w:r>
    </w:p>
    <w:p w14:paraId="52C7D792" w14:textId="562CAF3E" w:rsidR="00D02D47" w:rsidRPr="000C2E3F" w:rsidRDefault="00D02D47" w:rsidP="00D02D47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Předmět smlouvy zahrnuje zejména položky a činnosti uvedené v cenách </w:t>
      </w:r>
      <w:r w:rsidR="009A2D6F">
        <w:rPr>
          <w:rFonts w:ascii="Arial" w:hAnsi="Arial" w:cs="Arial"/>
          <w:sz w:val="22"/>
          <w:szCs w:val="22"/>
        </w:rPr>
        <w:t xml:space="preserve">za jednotku </w:t>
      </w:r>
      <w:r w:rsidR="00CC0155" w:rsidRPr="00CC0155">
        <w:rPr>
          <w:rFonts w:ascii="Arial" w:hAnsi="Arial" w:cs="Arial"/>
          <w:sz w:val="22"/>
          <w:szCs w:val="22"/>
        </w:rPr>
        <w:t>v příloze</w:t>
      </w:r>
      <w:r w:rsidRPr="00CC0155">
        <w:rPr>
          <w:rFonts w:ascii="Arial" w:hAnsi="Arial" w:cs="Arial"/>
          <w:sz w:val="22"/>
          <w:szCs w:val="22"/>
        </w:rPr>
        <w:t xml:space="preserve"> č. 1</w:t>
      </w:r>
      <w:r w:rsidRPr="00CC0155">
        <w:rPr>
          <w:rFonts w:ascii="Arial" w:hAnsi="Arial" w:cs="Arial"/>
          <w:color w:val="000000"/>
          <w:sz w:val="22"/>
          <w:szCs w:val="22"/>
        </w:rPr>
        <w:t>.</w:t>
      </w:r>
    </w:p>
    <w:p w14:paraId="52C7D793" w14:textId="20494927" w:rsidR="00D02D47" w:rsidRPr="00892F74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</w:t>
      </w:r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6" w14:textId="717D95F1" w:rsidR="00D02D47" w:rsidRPr="002262BB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je povinen nastoupit k pracím dle objednávky nejpozději do 1</w:t>
      </w:r>
      <w:r w:rsidR="00B02DAF">
        <w:rPr>
          <w:rFonts w:ascii="Arial" w:hAnsi="Arial" w:cs="Arial"/>
          <w:sz w:val="22"/>
          <w:szCs w:val="22"/>
        </w:rPr>
        <w:t>5</w:t>
      </w:r>
      <w:r w:rsidRPr="000C2E3F">
        <w:rPr>
          <w:rFonts w:ascii="Arial" w:hAnsi="Arial" w:cs="Arial"/>
          <w:sz w:val="22"/>
          <w:szCs w:val="22"/>
        </w:rPr>
        <w:t xml:space="preserve"> dnů od obdržení objednávky, pokud se smluvní strany nedohodnou jinak. Objednávky se zasílají na</w:t>
      </w:r>
      <w:r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</w:t>
      </w:r>
      <w:r w:rsidRPr="000C2E3F">
        <w:rPr>
          <w:rFonts w:ascii="Arial" w:hAnsi="Arial" w:cs="Arial"/>
          <w:sz w:val="22"/>
          <w:szCs w:val="22"/>
        </w:rPr>
        <w:t xml:space="preserve">ailovou adresu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</w:t>
      </w:r>
      <w:r w:rsidR="00B02DAF">
        <w:rPr>
          <w:rFonts w:ascii="Arial" w:hAnsi="Arial" w:cs="Arial"/>
          <w:sz w:val="22"/>
          <w:szCs w:val="22"/>
        </w:rPr>
        <w:t>.</w:t>
      </w:r>
      <w:r w:rsidRPr="002262BB">
        <w:rPr>
          <w:rFonts w:ascii="Arial" w:hAnsi="Arial" w:cs="Arial"/>
          <w:sz w:val="22"/>
          <w:szCs w:val="22"/>
        </w:rPr>
        <w:t xml:space="preserve">  </w:t>
      </w:r>
    </w:p>
    <w:p w14:paraId="52C7D797" w14:textId="77777777" w:rsidR="00D02D47" w:rsidRPr="000C2E3F" w:rsidRDefault="00D02D47" w:rsidP="00D02D47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C" w14:textId="785C4BAB" w:rsidR="00D02D47" w:rsidRPr="007B6F7C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 xml:space="preserve">Tato rámcová smlouva se uzavírá na dobu </w:t>
      </w:r>
      <w:r>
        <w:rPr>
          <w:rFonts w:ascii="Arial" w:hAnsi="Arial" w:cs="Arial"/>
          <w:b/>
          <w:sz w:val="22"/>
          <w:szCs w:val="22"/>
        </w:rPr>
        <w:t xml:space="preserve">nejdéle </w:t>
      </w:r>
      <w:r w:rsidR="00AE0725">
        <w:rPr>
          <w:rFonts w:ascii="Arial" w:hAnsi="Arial" w:cs="Arial"/>
          <w:b/>
          <w:sz w:val="22"/>
          <w:szCs w:val="22"/>
        </w:rPr>
        <w:t>3</w:t>
      </w:r>
      <w:r w:rsidRPr="007B6F7C">
        <w:rPr>
          <w:rFonts w:ascii="Arial" w:hAnsi="Arial" w:cs="Arial"/>
          <w:b/>
          <w:sz w:val="22"/>
          <w:szCs w:val="22"/>
        </w:rPr>
        <w:t xml:space="preserve"> roky</w:t>
      </w:r>
      <w:r w:rsidRPr="007B6F7C">
        <w:rPr>
          <w:rFonts w:ascii="Arial" w:hAnsi="Arial" w:cs="Arial"/>
          <w:sz w:val="22"/>
          <w:szCs w:val="22"/>
        </w:rPr>
        <w:t xml:space="preserve"> nebo do vyčerpání finančního limitu ve výši </w:t>
      </w:r>
      <w:r w:rsidR="00AE0725">
        <w:rPr>
          <w:rFonts w:ascii="Arial" w:hAnsi="Arial" w:cs="Arial"/>
          <w:b/>
          <w:bCs/>
          <w:sz w:val="22"/>
          <w:szCs w:val="22"/>
        </w:rPr>
        <w:t>4</w:t>
      </w:r>
      <w:r w:rsidR="00B95BDF">
        <w:rPr>
          <w:rFonts w:ascii="Arial" w:hAnsi="Arial" w:cs="Arial"/>
          <w:sz w:val="22"/>
          <w:szCs w:val="22"/>
        </w:rPr>
        <w:t>.</w:t>
      </w:r>
      <w:r w:rsidR="00111EBD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0</w:t>
      </w:r>
      <w:r w:rsidR="00B95BDF" w:rsidRPr="009A2D6F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.0</w:t>
      </w:r>
      <w:r w:rsidR="00B95BDF" w:rsidRPr="009A2D6F">
        <w:rPr>
          <w:rFonts w:ascii="Arial" w:hAnsi="Arial" w:cs="Arial"/>
          <w:b/>
          <w:sz w:val="22"/>
          <w:szCs w:val="22"/>
        </w:rPr>
        <w:t>00,</w:t>
      </w:r>
      <w:r w:rsidR="00B95BDF">
        <w:rPr>
          <w:rFonts w:ascii="Arial" w:hAnsi="Arial" w:cs="Arial"/>
          <w:b/>
          <w:sz w:val="22"/>
          <w:szCs w:val="22"/>
        </w:rPr>
        <w:t xml:space="preserve"> -</w:t>
      </w:r>
      <w:r w:rsidR="003F1355">
        <w:rPr>
          <w:rFonts w:ascii="Arial" w:hAnsi="Arial" w:cs="Arial"/>
          <w:b/>
          <w:sz w:val="22"/>
          <w:szCs w:val="22"/>
        </w:rPr>
        <w:t xml:space="preserve"> Kč</w:t>
      </w:r>
      <w:r w:rsidR="00F91358" w:rsidRPr="003F1355">
        <w:rPr>
          <w:rFonts w:ascii="Arial" w:hAnsi="Arial" w:cs="Arial"/>
          <w:b/>
          <w:sz w:val="22"/>
          <w:szCs w:val="22"/>
        </w:rPr>
        <w:t xml:space="preserve"> bez DPH</w:t>
      </w:r>
      <w:r w:rsidRPr="007B6F7C">
        <w:rPr>
          <w:rFonts w:ascii="Arial" w:hAnsi="Arial" w:cs="Arial"/>
          <w:sz w:val="22"/>
          <w:szCs w:val="22"/>
        </w:rPr>
        <w:t xml:space="preserve"> za činnosti provedené podle této rámcové smlouvy, podle toho, který okamžik nastane dříve.</w:t>
      </w:r>
    </w:p>
    <w:p w14:paraId="52C7D79D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 xml:space="preserve">Jednotlivé práce budou prováděny v termínech dle objednávek a vhodných klimatických podmínek. </w:t>
      </w:r>
    </w:p>
    <w:p w14:paraId="52C7D79E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>Objednatel se zavazuje, že po dokončení prací dílo převezme a zaplatí za jeho zhotovení dohodnutou cenu dle nabídky.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77777777" w:rsidR="00D02D47" w:rsidRPr="000C2E3F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 a</w:t>
      </w:r>
      <w:r w:rsidRPr="000C2E3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2E3F">
        <w:rPr>
          <w:rFonts w:ascii="Arial" w:hAnsi="Arial" w:cs="Arial"/>
          <w:bCs/>
          <w:sz w:val="22"/>
          <w:szCs w:val="22"/>
        </w:rPr>
        <w:t>jsou přílohou č. 1 této smlouvy.</w:t>
      </w:r>
    </w:p>
    <w:p w14:paraId="52C7D7A5" w14:textId="77777777" w:rsidR="00D02D47" w:rsidRPr="00936253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36253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</w:t>
      </w:r>
    </w:p>
    <w:p w14:paraId="52C7D7A6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7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8" w14:textId="1B149C9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6</w:t>
      </w:r>
    </w:p>
    <w:p w14:paraId="52C7D7A9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Platební podmínky, fakturace</w:t>
      </w:r>
    </w:p>
    <w:p w14:paraId="52C7D7AA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B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objednateli fakturovány na základě předávacích protokolů po dokončení každé objednávky. </w:t>
      </w:r>
    </w:p>
    <w:p w14:paraId="52C7D7AC" w14:textId="45CCC632" w:rsidR="00D02D47" w:rsidRPr="008B2D78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Za objednatele předávací protokol </w:t>
      </w:r>
      <w:r w:rsidRPr="008B2D78">
        <w:rPr>
          <w:rFonts w:ascii="Arial" w:hAnsi="Arial" w:cs="Arial"/>
          <w:sz w:val="22"/>
          <w:szCs w:val="22"/>
        </w:rPr>
        <w:t>schvaluj</w:t>
      </w:r>
      <w:r w:rsidR="008B2D78" w:rsidRPr="008B2D78">
        <w:rPr>
          <w:rFonts w:ascii="Arial" w:hAnsi="Arial" w:cs="Arial"/>
          <w:sz w:val="22"/>
          <w:szCs w:val="22"/>
        </w:rPr>
        <w:t>e</w:t>
      </w:r>
      <w:r w:rsidR="00F067F7">
        <w:rPr>
          <w:rFonts w:ascii="Arial" w:hAnsi="Arial" w:cs="Arial"/>
          <w:sz w:val="22"/>
          <w:szCs w:val="22"/>
        </w:rPr>
        <w:t xml:space="preserve"> pan František Vach nebo pan David Procházka.</w:t>
      </w:r>
    </w:p>
    <w:p w14:paraId="52C7D7AD" w14:textId="77777777" w:rsidR="00D02D47" w:rsidRPr="007B6F7C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>Datum schválení předávacího protokolu se považuje za datum uskutečnění zdanitelného plnění dle zákona o DPH (</w:t>
      </w:r>
      <w:r w:rsidRPr="007B6F7C">
        <w:rPr>
          <w:rFonts w:ascii="Arial" w:hAnsi="Arial" w:cs="Arial"/>
          <w:iCs/>
          <w:sz w:val="22"/>
          <w:szCs w:val="22"/>
        </w:rPr>
        <w:t>zákon 235/2004 Sb.)</w:t>
      </w:r>
      <w:r w:rsidRPr="007B6F7C">
        <w:rPr>
          <w:rFonts w:ascii="Arial" w:hAnsi="Arial" w:cs="Arial"/>
          <w:sz w:val="22"/>
          <w:szCs w:val="22"/>
        </w:rPr>
        <w:t>, jakož i za datum předání a převzetí díla.</w:t>
      </w:r>
    </w:p>
    <w:p w14:paraId="52C7D7AE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Faktura musí být vystavena do 1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 xml:space="preserve"> dnů ode dne, kdy vznikla povinnost přiznat daň, nebo přiznat uskutečnění plnění, tedy od podepsání předávacího protokolu</w:t>
      </w:r>
    </w:p>
    <w:p w14:paraId="52C7D7AF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Zhotovi</w:t>
      </w:r>
      <w:r w:rsidRPr="000C2E3F">
        <w:rPr>
          <w:rFonts w:ascii="Arial" w:hAnsi="Arial" w:cs="Arial"/>
          <w:iCs/>
          <w:sz w:val="22"/>
          <w:szCs w:val="22"/>
        </w:rPr>
        <w:t>tel odpovídá za posouzení plnění z hlediska § 92a zák. 235/2004 Sb. a za vystavení daňového dokladu (faktury) s náležitostmi podle § 29 odst. 2 zák. 235/2004 Sb.</w:t>
      </w:r>
    </w:p>
    <w:p w14:paraId="52C7D7B0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Splatnost faktury je 60 dní (+ </w:t>
      </w:r>
      <w:r>
        <w:rPr>
          <w:rFonts w:ascii="Arial" w:hAnsi="Arial" w:cs="Arial"/>
          <w:sz w:val="22"/>
          <w:szCs w:val="22"/>
        </w:rPr>
        <w:t>6</w:t>
      </w:r>
      <w:r w:rsidRPr="000C2E3F"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kalendářních dnů bez penalizace po splatnosti faktury). Plnění DPH bude uvedeno dle sazby platné v době zdanitelného plnění. K faktuře musí být přiložen objednatelem odsouhlasený a schválený předávací protokol. </w:t>
      </w:r>
    </w:p>
    <w:p w14:paraId="52C7D7B1" w14:textId="77777777" w:rsidR="00D02D47" w:rsidRPr="000C2E3F" w:rsidRDefault="00D02D47" w:rsidP="00D02D4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</w:t>
      </w:r>
      <w:r>
        <w:rPr>
          <w:rFonts w:ascii="Arial" w:hAnsi="Arial" w:cs="Arial"/>
          <w:sz w:val="22"/>
          <w:szCs w:val="22"/>
        </w:rPr>
        <w:t xml:space="preserve"> fakturu</w:t>
      </w:r>
      <w:r w:rsidRPr="000C2E3F">
        <w:rPr>
          <w:rFonts w:ascii="Arial" w:hAnsi="Arial" w:cs="Arial"/>
          <w:sz w:val="22"/>
          <w:szCs w:val="22"/>
        </w:rPr>
        <w:t xml:space="preserve"> do 15 dnů po </w:t>
      </w:r>
      <w:r>
        <w:rPr>
          <w:rFonts w:ascii="Arial" w:hAnsi="Arial" w:cs="Arial"/>
          <w:sz w:val="22"/>
          <w:szCs w:val="22"/>
        </w:rPr>
        <w:t xml:space="preserve">jejím </w:t>
      </w:r>
      <w:r w:rsidRPr="000C2E3F">
        <w:rPr>
          <w:rFonts w:ascii="Arial" w:hAnsi="Arial" w:cs="Arial"/>
          <w:sz w:val="22"/>
          <w:szCs w:val="22"/>
        </w:rPr>
        <w:t>obdržení k opravě. V takovém případě začíná běžet nová lhůta splatnosti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5EB4801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7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provádění díla provádět požární dohled na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236D0BA4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8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04605DE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9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>d běží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5D94A6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10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1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C2E3F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provedené práce do termínu dle objednávk</w:t>
      </w:r>
      <w:r>
        <w:rPr>
          <w:rFonts w:ascii="Arial" w:hAnsi="Arial" w:cs="Arial"/>
          <w:sz w:val="22"/>
          <w:szCs w:val="22"/>
        </w:rPr>
        <w:t>y, pokud nedojde k dohodě jinak</w:t>
      </w:r>
      <w:r w:rsidRPr="000C2E3F">
        <w:rPr>
          <w:rFonts w:ascii="Arial" w:hAnsi="Arial" w:cs="Arial"/>
          <w:sz w:val="22"/>
          <w:szCs w:val="22"/>
        </w:rPr>
        <w:t xml:space="preserve">. </w:t>
      </w:r>
    </w:p>
    <w:p w14:paraId="52C7D7D2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Veškerá zařízení pro provedení prací na základě objednávky si celé zabezpečuje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tel.</w:t>
      </w:r>
    </w:p>
    <w:p w14:paraId="52C7D7D3" w14:textId="77777777" w:rsidR="00D02D47" w:rsidRPr="009F131B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na sebe přejímá zodpovědnost za škody způsobené svojí činností nebo činností svých </w:t>
      </w:r>
      <w:r>
        <w:rPr>
          <w:rFonts w:ascii="Arial" w:hAnsi="Arial" w:cs="Arial"/>
          <w:sz w:val="22"/>
          <w:szCs w:val="22"/>
        </w:rPr>
        <w:t>subdodavatelů</w:t>
      </w:r>
      <w:r w:rsidRPr="000C2E3F">
        <w:rPr>
          <w:rFonts w:ascii="Arial" w:hAnsi="Arial" w:cs="Arial"/>
          <w:sz w:val="22"/>
          <w:szCs w:val="22"/>
        </w:rPr>
        <w:t xml:space="preserve"> na zhotoveném díle po celou dobu provádění prací, tzn. do převzetí celého díla objednatelem, stejně tak za škody způsobené čin</w:t>
      </w:r>
      <w:r>
        <w:rPr>
          <w:rFonts w:ascii="Arial" w:hAnsi="Arial" w:cs="Arial"/>
          <w:sz w:val="22"/>
          <w:szCs w:val="22"/>
        </w:rPr>
        <w:t>ností třetí nezúčastněné osoby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poškození bezplatně do původního stavu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nejpozději ke dni předání a převzetí díla.</w:t>
      </w:r>
    </w:p>
    <w:p w14:paraId="52C7D7D4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lastRenderedPageBreak/>
        <w:t xml:space="preserve">Objednatel předá </w:t>
      </w:r>
      <w:r>
        <w:rPr>
          <w:rFonts w:ascii="Arial" w:hAnsi="Arial" w:cs="Arial"/>
          <w:sz w:val="22"/>
          <w:szCs w:val="22"/>
        </w:rPr>
        <w:t>zhotovi</w:t>
      </w:r>
      <w:r w:rsidRPr="009F131B">
        <w:rPr>
          <w:rFonts w:ascii="Arial" w:hAnsi="Arial" w:cs="Arial"/>
          <w:sz w:val="22"/>
          <w:szCs w:val="22"/>
        </w:rPr>
        <w:t>teli před zahájením prací prostor pro provedení opravy a poskytne mu dostupné informace o uložení inženýrských sítí v místě.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77777777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 a atesty použitých materiálů a výrobků a doklad o uložení odpadu. 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0E38C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11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1517EA0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12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04932711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57C6">
        <w:rPr>
          <w:rFonts w:ascii="Arial" w:hAnsi="Arial" w:cs="Arial"/>
          <w:sz w:val="22"/>
          <w:szCs w:val="22"/>
        </w:rPr>
        <w:t>9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3A39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>00,</w:t>
      </w:r>
      <w:r w:rsidR="00435899">
        <w:rPr>
          <w:rFonts w:ascii="Arial" w:hAnsi="Arial" w:cs="Arial"/>
          <w:sz w:val="22"/>
          <w:szCs w:val="22"/>
        </w:rPr>
        <w:t>-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D620E5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13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6" w14:textId="4861BFA2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6D0E">
        <w:rPr>
          <w:rFonts w:ascii="Arial" w:hAnsi="Arial" w:cs="Arial"/>
          <w:sz w:val="22"/>
          <w:szCs w:val="22"/>
        </w:rPr>
        <w:t>Příloha č. 1: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Položkový ceník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F7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9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A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B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C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E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0C6F917A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proofErr w:type="gramStart"/>
      <w:r w:rsidRPr="000C2E3F">
        <w:rPr>
          <w:rFonts w:ascii="Arial" w:hAnsi="Arial" w:cs="Arial"/>
          <w:sz w:val="22"/>
          <w:szCs w:val="22"/>
        </w:rPr>
        <w:t xml:space="preserve">dne:  </w:t>
      </w:r>
      <w:r w:rsidR="00F31F5B">
        <w:rPr>
          <w:rFonts w:ascii="Arial" w:hAnsi="Arial" w:cs="Arial"/>
          <w:sz w:val="22"/>
          <w:szCs w:val="22"/>
        </w:rPr>
        <w:t>10.2.2026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  <w:r w:rsidR="00F31F5B">
        <w:rPr>
          <w:rFonts w:ascii="Arial" w:hAnsi="Arial" w:cs="Arial"/>
          <w:sz w:val="22"/>
          <w:szCs w:val="22"/>
        </w:rPr>
        <w:t xml:space="preserve"> 26.1.2026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3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2C7D80F" w14:textId="3BCFA95B" w:rsidR="00D02D47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5031">
        <w:rPr>
          <w:rFonts w:ascii="Arial" w:hAnsi="Arial" w:cs="Arial"/>
          <w:sz w:val="22"/>
          <w:szCs w:val="22"/>
        </w:rPr>
        <w:t>doc. MUDr. Zdeněk Beneš, CSc.</w:t>
      </w:r>
      <w:r w:rsidR="00F45508">
        <w:rPr>
          <w:rFonts w:ascii="Arial" w:hAnsi="Arial" w:cs="Arial"/>
          <w:sz w:val="22"/>
          <w:szCs w:val="22"/>
        </w:rPr>
        <w:t xml:space="preserve">                                        Rostislav Málek-jednatel</w:t>
      </w:r>
    </w:p>
    <w:p w14:paraId="52C7D810" w14:textId="7BFFA369" w:rsidR="00D02D47" w:rsidRPr="000C2E3F" w:rsidRDefault="00A710EE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D503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Fakultní Thomayerovy nemocnice</w:t>
      </w:r>
      <w:r w:rsidR="00F45508">
        <w:rPr>
          <w:rFonts w:ascii="Arial" w:hAnsi="Arial" w:cs="Arial"/>
          <w:sz w:val="22"/>
          <w:szCs w:val="22"/>
        </w:rPr>
        <w:t xml:space="preserve">                             Energo-MYKOV s.r.o.</w:t>
      </w:r>
    </w:p>
    <w:p w14:paraId="52C7D811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3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597F45CD" w:rsidR="00BD0680" w:rsidRDefault="00F31F5B">
      <w:r>
        <w:t xml:space="preserve">OU </w:t>
      </w:r>
      <w:proofErr w:type="spellStart"/>
      <w:r>
        <w:t>OU</w:t>
      </w:r>
      <w:proofErr w:type="spellEnd"/>
      <w:r>
        <w:t xml:space="preserve"> = osobní údaj</w:t>
      </w:r>
    </w:p>
    <w:sectPr w:rsidR="00BD0680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3384" w14:textId="77777777" w:rsidR="00CA61BB" w:rsidRDefault="00CA61BB">
      <w:pPr>
        <w:spacing w:after="0" w:line="240" w:lineRule="auto"/>
      </w:pPr>
      <w:r>
        <w:separator/>
      </w:r>
    </w:p>
  </w:endnote>
  <w:endnote w:type="continuationSeparator" w:id="0">
    <w:p w14:paraId="7E2381FF" w14:textId="77777777" w:rsidR="00CA61BB" w:rsidRDefault="00CA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FE4B18" w:rsidRDefault="00FE4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FE4B18" w:rsidRDefault="00FE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B14C" w14:textId="77777777" w:rsidR="00CA61BB" w:rsidRDefault="00CA61BB">
      <w:pPr>
        <w:spacing w:after="0" w:line="240" w:lineRule="auto"/>
      </w:pPr>
      <w:r>
        <w:separator/>
      </w:r>
    </w:p>
  </w:footnote>
  <w:footnote w:type="continuationSeparator" w:id="0">
    <w:p w14:paraId="69E27B08" w14:textId="77777777" w:rsidR="00CA61BB" w:rsidRDefault="00CA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77777777" w:rsidR="00FE4B18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FE4B18" w:rsidRPr="007E43AF" w:rsidRDefault="00FE4B18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3"/>
  </w:num>
  <w:num w:numId="2" w16cid:durableId="1353262859">
    <w:abstractNumId w:val="6"/>
  </w:num>
  <w:num w:numId="3" w16cid:durableId="577639264">
    <w:abstractNumId w:val="8"/>
  </w:num>
  <w:num w:numId="4" w16cid:durableId="1444416456">
    <w:abstractNumId w:val="4"/>
  </w:num>
  <w:num w:numId="5" w16cid:durableId="192110517">
    <w:abstractNumId w:val="9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0"/>
  </w:num>
  <w:num w:numId="9" w16cid:durableId="1574856649">
    <w:abstractNumId w:val="5"/>
  </w:num>
  <w:num w:numId="10" w16cid:durableId="234051080">
    <w:abstractNumId w:val="1"/>
  </w:num>
  <w:num w:numId="11" w16cid:durableId="2049599076">
    <w:abstractNumId w:val="7"/>
  </w:num>
  <w:num w:numId="12" w16cid:durableId="188101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D47"/>
    <w:rsid w:val="00022352"/>
    <w:rsid w:val="00030152"/>
    <w:rsid w:val="000421F5"/>
    <w:rsid w:val="00092464"/>
    <w:rsid w:val="000E5EF9"/>
    <w:rsid w:val="00111EBD"/>
    <w:rsid w:val="00116064"/>
    <w:rsid w:val="00167355"/>
    <w:rsid w:val="00207BC1"/>
    <w:rsid w:val="00261433"/>
    <w:rsid w:val="00274FDD"/>
    <w:rsid w:val="002969B9"/>
    <w:rsid w:val="002A11A2"/>
    <w:rsid w:val="002D17DA"/>
    <w:rsid w:val="002E2422"/>
    <w:rsid w:val="0034085C"/>
    <w:rsid w:val="00341387"/>
    <w:rsid w:val="003533BB"/>
    <w:rsid w:val="003A39B8"/>
    <w:rsid w:val="003B4D73"/>
    <w:rsid w:val="003F1355"/>
    <w:rsid w:val="00435899"/>
    <w:rsid w:val="00473199"/>
    <w:rsid w:val="00486438"/>
    <w:rsid w:val="004C1473"/>
    <w:rsid w:val="005919E2"/>
    <w:rsid w:val="005B01DC"/>
    <w:rsid w:val="005F5282"/>
    <w:rsid w:val="006074D9"/>
    <w:rsid w:val="0061584E"/>
    <w:rsid w:val="00636120"/>
    <w:rsid w:val="00681FFB"/>
    <w:rsid w:val="006A51FF"/>
    <w:rsid w:val="00783F11"/>
    <w:rsid w:val="00797B5D"/>
    <w:rsid w:val="007B0A7E"/>
    <w:rsid w:val="007C72DC"/>
    <w:rsid w:val="007D5031"/>
    <w:rsid w:val="007F2629"/>
    <w:rsid w:val="007F2E42"/>
    <w:rsid w:val="008652EE"/>
    <w:rsid w:val="00892F74"/>
    <w:rsid w:val="008B2D78"/>
    <w:rsid w:val="00962F82"/>
    <w:rsid w:val="00972B69"/>
    <w:rsid w:val="009A2D6F"/>
    <w:rsid w:val="009E775D"/>
    <w:rsid w:val="00A00742"/>
    <w:rsid w:val="00A710EE"/>
    <w:rsid w:val="00A956AD"/>
    <w:rsid w:val="00AA42C2"/>
    <w:rsid w:val="00AE0725"/>
    <w:rsid w:val="00B02DAF"/>
    <w:rsid w:val="00B455F9"/>
    <w:rsid w:val="00B46C64"/>
    <w:rsid w:val="00B522AF"/>
    <w:rsid w:val="00B563CF"/>
    <w:rsid w:val="00B71721"/>
    <w:rsid w:val="00B73F08"/>
    <w:rsid w:val="00B844C2"/>
    <w:rsid w:val="00B95BDF"/>
    <w:rsid w:val="00BC3735"/>
    <w:rsid w:val="00BD0680"/>
    <w:rsid w:val="00BD555B"/>
    <w:rsid w:val="00C56526"/>
    <w:rsid w:val="00C73AAC"/>
    <w:rsid w:val="00C757C6"/>
    <w:rsid w:val="00CA5187"/>
    <w:rsid w:val="00CA61BB"/>
    <w:rsid w:val="00CB3DC1"/>
    <w:rsid w:val="00CC0155"/>
    <w:rsid w:val="00CE13A1"/>
    <w:rsid w:val="00D02D47"/>
    <w:rsid w:val="00D43D72"/>
    <w:rsid w:val="00D64D63"/>
    <w:rsid w:val="00D7453C"/>
    <w:rsid w:val="00D9596D"/>
    <w:rsid w:val="00D95EEC"/>
    <w:rsid w:val="00E207AF"/>
    <w:rsid w:val="00E479A1"/>
    <w:rsid w:val="00E74CFC"/>
    <w:rsid w:val="00E82CD4"/>
    <w:rsid w:val="00EA5945"/>
    <w:rsid w:val="00EB1CA5"/>
    <w:rsid w:val="00EE11C3"/>
    <w:rsid w:val="00F067F7"/>
    <w:rsid w:val="00F2394E"/>
    <w:rsid w:val="00F31F5B"/>
    <w:rsid w:val="00F45508"/>
    <w:rsid w:val="00F573D4"/>
    <w:rsid w:val="00F8252F"/>
    <w:rsid w:val="00F91358"/>
    <w:rsid w:val="00FB506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4B2BE-2BDE-40FD-9639-A270A674E62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4B9892-8474-41A1-A270-10B076E44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8B0F0-4A46-4AB5-BBD8-522434A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1595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2020-12-08T09:34:00Z</cp:lastPrinted>
  <dcterms:created xsi:type="dcterms:W3CDTF">2026-02-11T12:10:00Z</dcterms:created>
  <dcterms:modified xsi:type="dcterms:W3CDTF">2026-02-11T12:10:00Z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