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434"/>
        <w:gridCol w:w="6701"/>
      </w:tblGrid>
      <w:tr w:rsidR="00B75D1C" w14:paraId="3F1A19E9" w14:textId="77777777">
        <w:tblPrEx>
          <w:tblCellMar>
            <w:top w:w="0" w:type="dxa"/>
            <w:bottom w:w="0" w:type="dxa"/>
          </w:tblCellMar>
        </w:tblPrEx>
        <w:trPr>
          <w:trHeight w:hRule="exact" w:val="216"/>
          <w:jc w:val="center"/>
        </w:trPr>
        <w:tc>
          <w:tcPr>
            <w:tcW w:w="2434" w:type="dxa"/>
            <w:shd w:val="clear" w:color="auto" w:fill="auto"/>
          </w:tcPr>
          <w:p w14:paraId="3E6A3EBB" w14:textId="77777777" w:rsidR="00B75D1C" w:rsidRDefault="00B75D1C">
            <w:pPr>
              <w:rPr>
                <w:sz w:val="10"/>
                <w:szCs w:val="10"/>
              </w:rPr>
            </w:pPr>
          </w:p>
        </w:tc>
        <w:tc>
          <w:tcPr>
            <w:tcW w:w="6701" w:type="dxa"/>
            <w:shd w:val="clear" w:color="auto" w:fill="auto"/>
            <w:vAlign w:val="bottom"/>
          </w:tcPr>
          <w:p w14:paraId="0CF571C4" w14:textId="77777777" w:rsidR="00B75D1C" w:rsidRDefault="00692136">
            <w:pPr>
              <w:pStyle w:val="Jin0"/>
              <w:jc w:val="center"/>
            </w:pPr>
            <w:r>
              <w:rPr>
                <w:b/>
                <w:bCs/>
              </w:rPr>
              <w:t>SMLOUVA</w:t>
            </w:r>
          </w:p>
        </w:tc>
      </w:tr>
    </w:tbl>
    <w:p w14:paraId="6760D1D7" w14:textId="77777777" w:rsidR="00B75D1C" w:rsidRDefault="00692136">
      <w:pPr>
        <w:pStyle w:val="Titulektabulky0"/>
        <w:jc w:val="center"/>
      </w:pPr>
      <w:r>
        <w:rPr>
          <w:b/>
          <w:bCs/>
        </w:rPr>
        <w:t>o poskytování služeb v oblasti recruitmentu</w:t>
      </w:r>
    </w:p>
    <w:p w14:paraId="085F08EA" w14:textId="77777777" w:rsidR="00B75D1C" w:rsidRDefault="00692136">
      <w:pPr>
        <w:pStyle w:val="Titulektabulky0"/>
        <w:jc w:val="center"/>
        <w:rPr>
          <w:sz w:val="18"/>
          <w:szCs w:val="18"/>
        </w:rPr>
      </w:pPr>
      <w:r>
        <w:rPr>
          <w:sz w:val="18"/>
          <w:szCs w:val="18"/>
        </w:rPr>
        <w:t>uzavřená níže uvedeného dne podle § 1746 odst. 2 občanského zákoníku mezi smluvními stranami:</w:t>
      </w:r>
    </w:p>
    <w:p w14:paraId="40E5AA63" w14:textId="77777777" w:rsidR="00B75D1C" w:rsidRDefault="00B75D1C">
      <w:pPr>
        <w:spacing w:after="459" w:line="1" w:lineRule="exact"/>
      </w:pPr>
    </w:p>
    <w:p w14:paraId="45C66657" w14:textId="77777777" w:rsidR="00B75D1C" w:rsidRDefault="00B75D1C">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34"/>
        <w:gridCol w:w="6701"/>
      </w:tblGrid>
      <w:tr w:rsidR="00B75D1C" w14:paraId="3824759A" w14:textId="77777777">
        <w:tblPrEx>
          <w:tblCellMar>
            <w:top w:w="0" w:type="dxa"/>
            <w:bottom w:w="0" w:type="dxa"/>
          </w:tblCellMar>
        </w:tblPrEx>
        <w:trPr>
          <w:trHeight w:hRule="exact" w:val="250"/>
          <w:jc w:val="center"/>
        </w:trPr>
        <w:tc>
          <w:tcPr>
            <w:tcW w:w="2434" w:type="dxa"/>
            <w:shd w:val="clear" w:color="auto" w:fill="auto"/>
          </w:tcPr>
          <w:p w14:paraId="6750F14B" w14:textId="77777777" w:rsidR="00B75D1C" w:rsidRDefault="00692136">
            <w:pPr>
              <w:pStyle w:val="Jin0"/>
            </w:pPr>
            <w:r>
              <w:t>Obchodní firma:</w:t>
            </w:r>
          </w:p>
        </w:tc>
        <w:tc>
          <w:tcPr>
            <w:tcW w:w="6701" w:type="dxa"/>
            <w:shd w:val="clear" w:color="auto" w:fill="auto"/>
          </w:tcPr>
          <w:p w14:paraId="2745B459" w14:textId="77777777" w:rsidR="00B75D1C" w:rsidRDefault="00692136">
            <w:pPr>
              <w:pStyle w:val="Jin0"/>
              <w:ind w:left="1120"/>
            </w:pPr>
            <w:r>
              <w:t>ADECCO spol. s r. o.</w:t>
            </w:r>
          </w:p>
        </w:tc>
      </w:tr>
      <w:tr w:rsidR="00B75D1C" w14:paraId="714AADBA" w14:textId="77777777">
        <w:tblPrEx>
          <w:tblCellMar>
            <w:top w:w="0" w:type="dxa"/>
            <w:bottom w:w="0" w:type="dxa"/>
          </w:tblCellMar>
        </w:tblPrEx>
        <w:trPr>
          <w:trHeight w:hRule="exact" w:val="269"/>
          <w:jc w:val="center"/>
        </w:trPr>
        <w:tc>
          <w:tcPr>
            <w:tcW w:w="2434" w:type="dxa"/>
            <w:shd w:val="clear" w:color="auto" w:fill="auto"/>
            <w:vAlign w:val="bottom"/>
          </w:tcPr>
          <w:p w14:paraId="69C0626B" w14:textId="77777777" w:rsidR="00B75D1C" w:rsidRDefault="00692136">
            <w:pPr>
              <w:pStyle w:val="Jin0"/>
            </w:pPr>
            <w:r>
              <w:t>sídlo:</w:t>
            </w:r>
          </w:p>
        </w:tc>
        <w:tc>
          <w:tcPr>
            <w:tcW w:w="6701" w:type="dxa"/>
            <w:shd w:val="clear" w:color="auto" w:fill="auto"/>
            <w:vAlign w:val="bottom"/>
          </w:tcPr>
          <w:p w14:paraId="148C9C08" w14:textId="77777777" w:rsidR="00B75D1C" w:rsidRDefault="00692136">
            <w:pPr>
              <w:pStyle w:val="Jin0"/>
              <w:ind w:left="1120"/>
            </w:pPr>
            <w:r>
              <w:t>Pikrtova 1737/1a, Nusle, 140 00 Praha 4</w:t>
            </w:r>
          </w:p>
        </w:tc>
      </w:tr>
      <w:tr w:rsidR="00B75D1C" w14:paraId="4195E165" w14:textId="77777777">
        <w:tblPrEx>
          <w:tblCellMar>
            <w:top w:w="0" w:type="dxa"/>
            <w:bottom w:w="0" w:type="dxa"/>
          </w:tblCellMar>
        </w:tblPrEx>
        <w:trPr>
          <w:trHeight w:hRule="exact" w:val="269"/>
          <w:jc w:val="center"/>
        </w:trPr>
        <w:tc>
          <w:tcPr>
            <w:tcW w:w="2434" w:type="dxa"/>
            <w:shd w:val="clear" w:color="auto" w:fill="auto"/>
            <w:vAlign w:val="center"/>
          </w:tcPr>
          <w:p w14:paraId="58F7BC11" w14:textId="77777777" w:rsidR="00B75D1C" w:rsidRDefault="00692136">
            <w:pPr>
              <w:pStyle w:val="Jin0"/>
            </w:pPr>
            <w:r>
              <w:t>identifikační číslo:</w:t>
            </w:r>
          </w:p>
        </w:tc>
        <w:tc>
          <w:tcPr>
            <w:tcW w:w="6701" w:type="dxa"/>
            <w:shd w:val="clear" w:color="auto" w:fill="auto"/>
            <w:vAlign w:val="center"/>
          </w:tcPr>
          <w:p w14:paraId="32F6CFFD" w14:textId="77777777" w:rsidR="00B75D1C" w:rsidRDefault="00692136">
            <w:pPr>
              <w:pStyle w:val="Jin0"/>
              <w:ind w:left="1120"/>
            </w:pPr>
            <w:r>
              <w:t>458 06 403</w:t>
            </w:r>
          </w:p>
        </w:tc>
      </w:tr>
      <w:tr w:rsidR="00B75D1C" w14:paraId="7B2BC38F" w14:textId="77777777">
        <w:tblPrEx>
          <w:tblCellMar>
            <w:top w:w="0" w:type="dxa"/>
            <w:bottom w:w="0" w:type="dxa"/>
          </w:tblCellMar>
        </w:tblPrEx>
        <w:trPr>
          <w:trHeight w:hRule="exact" w:val="274"/>
          <w:jc w:val="center"/>
        </w:trPr>
        <w:tc>
          <w:tcPr>
            <w:tcW w:w="2434" w:type="dxa"/>
            <w:shd w:val="clear" w:color="auto" w:fill="auto"/>
            <w:vAlign w:val="center"/>
          </w:tcPr>
          <w:p w14:paraId="2DF4BA48" w14:textId="77777777" w:rsidR="00B75D1C" w:rsidRDefault="00692136">
            <w:pPr>
              <w:pStyle w:val="Jin0"/>
            </w:pPr>
            <w:r>
              <w:t>daňové identifikační číslo:</w:t>
            </w:r>
          </w:p>
        </w:tc>
        <w:tc>
          <w:tcPr>
            <w:tcW w:w="6701" w:type="dxa"/>
            <w:shd w:val="clear" w:color="auto" w:fill="auto"/>
            <w:vAlign w:val="center"/>
          </w:tcPr>
          <w:p w14:paraId="209B26C9" w14:textId="77777777" w:rsidR="00B75D1C" w:rsidRDefault="00692136">
            <w:pPr>
              <w:pStyle w:val="Jin0"/>
              <w:ind w:left="1120"/>
            </w:pPr>
            <w:r>
              <w:t>CZ45806403</w:t>
            </w:r>
          </w:p>
        </w:tc>
      </w:tr>
      <w:tr w:rsidR="00B75D1C" w14:paraId="179FF4B8" w14:textId="77777777">
        <w:tblPrEx>
          <w:tblCellMar>
            <w:top w:w="0" w:type="dxa"/>
            <w:bottom w:w="0" w:type="dxa"/>
          </w:tblCellMar>
        </w:tblPrEx>
        <w:trPr>
          <w:trHeight w:hRule="exact" w:val="278"/>
          <w:jc w:val="center"/>
        </w:trPr>
        <w:tc>
          <w:tcPr>
            <w:tcW w:w="2434" w:type="dxa"/>
            <w:shd w:val="clear" w:color="auto" w:fill="auto"/>
            <w:vAlign w:val="bottom"/>
          </w:tcPr>
          <w:p w14:paraId="58FA3D48" w14:textId="77777777" w:rsidR="00B75D1C" w:rsidRDefault="00692136">
            <w:pPr>
              <w:pStyle w:val="Jin0"/>
            </w:pPr>
            <w:r>
              <w:t>bankovní spojení:</w:t>
            </w:r>
          </w:p>
        </w:tc>
        <w:tc>
          <w:tcPr>
            <w:tcW w:w="6701" w:type="dxa"/>
            <w:shd w:val="clear" w:color="auto" w:fill="auto"/>
            <w:vAlign w:val="bottom"/>
          </w:tcPr>
          <w:p w14:paraId="130DE892" w14:textId="77777777" w:rsidR="00B75D1C" w:rsidRDefault="00692136">
            <w:pPr>
              <w:pStyle w:val="Jin0"/>
              <w:ind w:left="1120"/>
            </w:pPr>
            <w:r>
              <w:t>UniCredit Bank</w:t>
            </w:r>
          </w:p>
        </w:tc>
      </w:tr>
      <w:tr w:rsidR="00B75D1C" w14:paraId="4AA8DBAC" w14:textId="77777777">
        <w:tblPrEx>
          <w:tblCellMar>
            <w:top w:w="0" w:type="dxa"/>
            <w:bottom w:w="0" w:type="dxa"/>
          </w:tblCellMar>
        </w:tblPrEx>
        <w:trPr>
          <w:trHeight w:hRule="exact" w:val="269"/>
          <w:jc w:val="center"/>
        </w:trPr>
        <w:tc>
          <w:tcPr>
            <w:tcW w:w="2434" w:type="dxa"/>
            <w:shd w:val="clear" w:color="auto" w:fill="auto"/>
          </w:tcPr>
          <w:p w14:paraId="6E7BFBDA" w14:textId="77777777" w:rsidR="00B75D1C" w:rsidRDefault="00692136">
            <w:pPr>
              <w:pStyle w:val="Jin0"/>
            </w:pPr>
            <w:r>
              <w:t>číslo účtu:</w:t>
            </w:r>
          </w:p>
        </w:tc>
        <w:tc>
          <w:tcPr>
            <w:tcW w:w="6701" w:type="dxa"/>
            <w:shd w:val="clear" w:color="auto" w:fill="auto"/>
          </w:tcPr>
          <w:p w14:paraId="2579BF33" w14:textId="77777777" w:rsidR="00B75D1C" w:rsidRDefault="00692136">
            <w:pPr>
              <w:pStyle w:val="Jin0"/>
              <w:ind w:left="1120"/>
            </w:pPr>
            <w:r>
              <w:t>1387544997/2700</w:t>
            </w:r>
          </w:p>
        </w:tc>
      </w:tr>
      <w:tr w:rsidR="00B75D1C" w14:paraId="39E12E66" w14:textId="77777777">
        <w:tblPrEx>
          <w:tblCellMar>
            <w:top w:w="0" w:type="dxa"/>
            <w:bottom w:w="0" w:type="dxa"/>
          </w:tblCellMar>
        </w:tblPrEx>
        <w:trPr>
          <w:trHeight w:hRule="exact" w:val="1099"/>
          <w:jc w:val="center"/>
        </w:trPr>
        <w:tc>
          <w:tcPr>
            <w:tcW w:w="2434" w:type="dxa"/>
            <w:shd w:val="clear" w:color="auto" w:fill="auto"/>
          </w:tcPr>
          <w:p w14:paraId="4B002EA6" w14:textId="77777777" w:rsidR="00B75D1C" w:rsidRDefault="00692136">
            <w:pPr>
              <w:pStyle w:val="Jin0"/>
            </w:pPr>
            <w:r>
              <w:t>zastoupena:</w:t>
            </w:r>
          </w:p>
        </w:tc>
        <w:tc>
          <w:tcPr>
            <w:tcW w:w="6701" w:type="dxa"/>
            <w:shd w:val="clear" w:color="auto" w:fill="auto"/>
            <w:vAlign w:val="bottom"/>
          </w:tcPr>
          <w:p w14:paraId="610A75FD" w14:textId="77777777" w:rsidR="00B75D1C" w:rsidRDefault="00692136">
            <w:pPr>
              <w:pStyle w:val="Jin0"/>
              <w:spacing w:line="259" w:lineRule="auto"/>
              <w:ind w:left="1120"/>
            </w:pPr>
            <w:r>
              <w:t>Kamila Hlubučková Stejskalová na pozici Branch Manager na základě plné moci ze dne 21.8.2023</w:t>
            </w:r>
          </w:p>
          <w:p w14:paraId="695D4306" w14:textId="77777777" w:rsidR="00B75D1C" w:rsidRDefault="00692136">
            <w:pPr>
              <w:pStyle w:val="Jin0"/>
              <w:spacing w:line="259" w:lineRule="auto"/>
              <w:ind w:left="1120"/>
            </w:pPr>
            <w:r>
              <w:t xml:space="preserve">Daniel Vera </w:t>
            </w:r>
            <w:r>
              <w:t>Maroto na pozici Operations Director na základě plné moci ze dne 7.1.2020</w:t>
            </w:r>
          </w:p>
        </w:tc>
      </w:tr>
      <w:tr w:rsidR="00B75D1C" w14:paraId="0BAF55F7" w14:textId="77777777">
        <w:tblPrEx>
          <w:tblCellMar>
            <w:top w:w="0" w:type="dxa"/>
            <w:bottom w:w="0" w:type="dxa"/>
          </w:tblCellMar>
        </w:tblPrEx>
        <w:trPr>
          <w:trHeight w:hRule="exact" w:val="278"/>
          <w:jc w:val="center"/>
        </w:trPr>
        <w:tc>
          <w:tcPr>
            <w:tcW w:w="2434" w:type="dxa"/>
            <w:shd w:val="clear" w:color="auto" w:fill="auto"/>
            <w:vAlign w:val="bottom"/>
          </w:tcPr>
          <w:p w14:paraId="0EBDC424" w14:textId="77777777" w:rsidR="00B75D1C" w:rsidRDefault="00692136">
            <w:pPr>
              <w:pStyle w:val="Jin0"/>
            </w:pPr>
            <w:r>
              <w:t>kontaktní osoba:</w:t>
            </w:r>
          </w:p>
        </w:tc>
        <w:tc>
          <w:tcPr>
            <w:tcW w:w="6701" w:type="dxa"/>
            <w:shd w:val="clear" w:color="auto" w:fill="auto"/>
            <w:vAlign w:val="bottom"/>
          </w:tcPr>
          <w:p w14:paraId="211A5EB0" w14:textId="77777777" w:rsidR="00B75D1C" w:rsidRDefault="00692136">
            <w:pPr>
              <w:pStyle w:val="Jin0"/>
              <w:ind w:left="1120"/>
            </w:pPr>
            <w:r>
              <w:t>Kamila Hlubučková Stejskalová na pozici Branch Manager</w:t>
            </w:r>
          </w:p>
        </w:tc>
      </w:tr>
      <w:tr w:rsidR="00B75D1C" w14:paraId="2889BE72" w14:textId="77777777">
        <w:tblPrEx>
          <w:tblCellMar>
            <w:top w:w="0" w:type="dxa"/>
            <w:bottom w:w="0" w:type="dxa"/>
          </w:tblCellMar>
        </w:tblPrEx>
        <w:trPr>
          <w:trHeight w:hRule="exact" w:val="1368"/>
          <w:jc w:val="center"/>
        </w:trPr>
        <w:tc>
          <w:tcPr>
            <w:tcW w:w="2434" w:type="dxa"/>
            <w:shd w:val="clear" w:color="auto" w:fill="auto"/>
          </w:tcPr>
          <w:p w14:paraId="608197E8" w14:textId="77777777" w:rsidR="00B75D1C" w:rsidRDefault="00692136">
            <w:pPr>
              <w:pStyle w:val="Jin0"/>
            </w:pPr>
            <w:r>
              <w:t>obchodní rejstřík:</w:t>
            </w:r>
          </w:p>
        </w:tc>
        <w:tc>
          <w:tcPr>
            <w:tcW w:w="6701" w:type="dxa"/>
            <w:shd w:val="clear" w:color="auto" w:fill="auto"/>
            <w:vAlign w:val="bottom"/>
          </w:tcPr>
          <w:p w14:paraId="66AD7B71" w14:textId="77777777" w:rsidR="00B75D1C" w:rsidRDefault="00692136">
            <w:pPr>
              <w:pStyle w:val="Jin0"/>
              <w:spacing w:line="259" w:lineRule="auto"/>
              <w:ind w:left="1120"/>
            </w:pPr>
            <w:r>
              <w:t>Městský soud v Praze, oddíl C, vložka č. 12018</w:t>
            </w:r>
          </w:p>
          <w:p w14:paraId="286587ED" w14:textId="77777777" w:rsidR="00B75D1C" w:rsidRDefault="00692136">
            <w:pPr>
              <w:pStyle w:val="Jin0"/>
              <w:spacing w:line="259" w:lineRule="auto"/>
              <w:ind w:left="1120"/>
            </w:pPr>
            <w:r>
              <w:t xml:space="preserve">povolení ke zprostředkování </w:t>
            </w:r>
            <w:r>
              <w:t>zaměstnání na území ČR dle ust.</w:t>
            </w:r>
          </w:p>
          <w:p w14:paraId="5A1C5BD3" w14:textId="77777777" w:rsidR="00B75D1C" w:rsidRDefault="00692136">
            <w:pPr>
              <w:pStyle w:val="Jin0"/>
              <w:spacing w:line="259" w:lineRule="auto"/>
              <w:ind w:left="1120"/>
            </w:pPr>
            <w:r>
              <w:t>§ 14 odst. 1 písm. a) zákona č. 435/2004 Sb.,</w:t>
            </w:r>
          </w:p>
          <w:p w14:paraId="0CFB877F" w14:textId="77777777" w:rsidR="00B75D1C" w:rsidRDefault="00692136">
            <w:pPr>
              <w:pStyle w:val="Jin0"/>
              <w:spacing w:line="259" w:lineRule="auto"/>
              <w:ind w:left="1120"/>
            </w:pPr>
            <w:r>
              <w:t>o zaměstnanosti, ve znění pozdějších předpisů, vydáno MPSV pod č. 2010/92423-422/5 dne 25. 2. 2011</w:t>
            </w:r>
          </w:p>
        </w:tc>
      </w:tr>
    </w:tbl>
    <w:p w14:paraId="475BF4CE" w14:textId="77777777" w:rsidR="00B75D1C" w:rsidRDefault="00692136">
      <w:pPr>
        <w:pStyle w:val="Titulektabulky0"/>
      </w:pPr>
      <w:r>
        <w:t>na straně jedné (dále jen „ADECCO“ nebo „Agentura“)</w:t>
      </w:r>
    </w:p>
    <w:p w14:paraId="2DCB5110" w14:textId="77777777" w:rsidR="00B75D1C" w:rsidRDefault="00B75D1C">
      <w:pPr>
        <w:spacing w:after="799" w:line="1" w:lineRule="exact"/>
      </w:pPr>
    </w:p>
    <w:p w14:paraId="6BF19E90" w14:textId="77777777" w:rsidR="00B75D1C" w:rsidRDefault="00B75D1C">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34"/>
        <w:gridCol w:w="6706"/>
      </w:tblGrid>
      <w:tr w:rsidR="00B75D1C" w14:paraId="7667EC7B" w14:textId="77777777">
        <w:tblPrEx>
          <w:tblCellMar>
            <w:top w:w="0" w:type="dxa"/>
            <w:bottom w:w="0" w:type="dxa"/>
          </w:tblCellMar>
        </w:tblPrEx>
        <w:trPr>
          <w:trHeight w:hRule="exact" w:val="245"/>
          <w:jc w:val="center"/>
        </w:trPr>
        <w:tc>
          <w:tcPr>
            <w:tcW w:w="2434" w:type="dxa"/>
            <w:shd w:val="clear" w:color="auto" w:fill="auto"/>
          </w:tcPr>
          <w:p w14:paraId="2F5CECA8" w14:textId="77777777" w:rsidR="00B75D1C" w:rsidRDefault="00692136">
            <w:pPr>
              <w:pStyle w:val="Jin0"/>
            </w:pPr>
            <w:r>
              <w:t>obchodní firma:</w:t>
            </w:r>
          </w:p>
        </w:tc>
        <w:tc>
          <w:tcPr>
            <w:tcW w:w="6706" w:type="dxa"/>
            <w:shd w:val="clear" w:color="auto" w:fill="auto"/>
          </w:tcPr>
          <w:p w14:paraId="1AEFA3B4" w14:textId="77777777" w:rsidR="00B75D1C" w:rsidRDefault="00692136">
            <w:pPr>
              <w:pStyle w:val="Jin0"/>
              <w:ind w:left="1120"/>
            </w:pPr>
            <w:r>
              <w:t>Statutární město Pardubice</w:t>
            </w:r>
          </w:p>
        </w:tc>
      </w:tr>
      <w:tr w:rsidR="00B75D1C" w14:paraId="037F0621" w14:textId="77777777">
        <w:tblPrEx>
          <w:tblCellMar>
            <w:top w:w="0" w:type="dxa"/>
            <w:bottom w:w="0" w:type="dxa"/>
          </w:tblCellMar>
        </w:tblPrEx>
        <w:trPr>
          <w:trHeight w:hRule="exact" w:val="278"/>
          <w:jc w:val="center"/>
        </w:trPr>
        <w:tc>
          <w:tcPr>
            <w:tcW w:w="2434" w:type="dxa"/>
            <w:shd w:val="clear" w:color="auto" w:fill="auto"/>
            <w:vAlign w:val="bottom"/>
          </w:tcPr>
          <w:p w14:paraId="0BE81E74" w14:textId="77777777" w:rsidR="00B75D1C" w:rsidRDefault="00692136">
            <w:pPr>
              <w:pStyle w:val="Jin0"/>
            </w:pPr>
            <w:r>
              <w:t>sídlo:</w:t>
            </w:r>
          </w:p>
        </w:tc>
        <w:tc>
          <w:tcPr>
            <w:tcW w:w="6706" w:type="dxa"/>
            <w:shd w:val="clear" w:color="auto" w:fill="auto"/>
            <w:vAlign w:val="bottom"/>
          </w:tcPr>
          <w:p w14:paraId="62E4EDAE" w14:textId="77777777" w:rsidR="00B75D1C" w:rsidRDefault="00692136">
            <w:pPr>
              <w:pStyle w:val="Jin0"/>
              <w:ind w:left="1120"/>
            </w:pPr>
            <w:r>
              <w:t>Pernštýnské náměstí 1, Staré město, 530 02 Pardubice</w:t>
            </w:r>
          </w:p>
        </w:tc>
      </w:tr>
      <w:tr w:rsidR="00B75D1C" w14:paraId="4065D20F" w14:textId="77777777">
        <w:tblPrEx>
          <w:tblCellMar>
            <w:top w:w="0" w:type="dxa"/>
            <w:bottom w:w="0" w:type="dxa"/>
          </w:tblCellMar>
        </w:tblPrEx>
        <w:trPr>
          <w:trHeight w:hRule="exact" w:val="269"/>
          <w:jc w:val="center"/>
        </w:trPr>
        <w:tc>
          <w:tcPr>
            <w:tcW w:w="2434" w:type="dxa"/>
            <w:shd w:val="clear" w:color="auto" w:fill="auto"/>
            <w:vAlign w:val="center"/>
          </w:tcPr>
          <w:p w14:paraId="3B1AD244" w14:textId="77777777" w:rsidR="00B75D1C" w:rsidRDefault="00692136">
            <w:pPr>
              <w:pStyle w:val="Jin0"/>
            </w:pPr>
            <w:r>
              <w:t>identifikační číslo:</w:t>
            </w:r>
          </w:p>
        </w:tc>
        <w:tc>
          <w:tcPr>
            <w:tcW w:w="6706" w:type="dxa"/>
            <w:shd w:val="clear" w:color="auto" w:fill="auto"/>
            <w:vAlign w:val="center"/>
          </w:tcPr>
          <w:p w14:paraId="0F014FFA" w14:textId="77777777" w:rsidR="00B75D1C" w:rsidRDefault="00692136">
            <w:pPr>
              <w:pStyle w:val="Jin0"/>
              <w:ind w:left="1120"/>
            </w:pPr>
            <w:r>
              <w:t>00274046</w:t>
            </w:r>
          </w:p>
        </w:tc>
      </w:tr>
      <w:tr w:rsidR="00B75D1C" w14:paraId="33FAEFAC" w14:textId="77777777">
        <w:tblPrEx>
          <w:tblCellMar>
            <w:top w:w="0" w:type="dxa"/>
            <w:bottom w:w="0" w:type="dxa"/>
          </w:tblCellMar>
        </w:tblPrEx>
        <w:trPr>
          <w:trHeight w:hRule="exact" w:val="274"/>
          <w:jc w:val="center"/>
        </w:trPr>
        <w:tc>
          <w:tcPr>
            <w:tcW w:w="2434" w:type="dxa"/>
            <w:shd w:val="clear" w:color="auto" w:fill="auto"/>
            <w:vAlign w:val="center"/>
          </w:tcPr>
          <w:p w14:paraId="1D3851AF" w14:textId="77777777" w:rsidR="00B75D1C" w:rsidRDefault="00692136">
            <w:pPr>
              <w:pStyle w:val="Jin0"/>
            </w:pPr>
            <w:r>
              <w:t>daňové identifikační číslo:</w:t>
            </w:r>
          </w:p>
        </w:tc>
        <w:tc>
          <w:tcPr>
            <w:tcW w:w="6706" w:type="dxa"/>
            <w:shd w:val="clear" w:color="auto" w:fill="auto"/>
            <w:vAlign w:val="center"/>
          </w:tcPr>
          <w:p w14:paraId="14A25DF3" w14:textId="77777777" w:rsidR="00B75D1C" w:rsidRDefault="00692136">
            <w:pPr>
              <w:pStyle w:val="Jin0"/>
              <w:ind w:left="1120"/>
            </w:pPr>
            <w:r>
              <w:t>CZ00274046</w:t>
            </w:r>
          </w:p>
        </w:tc>
      </w:tr>
      <w:tr w:rsidR="00B75D1C" w14:paraId="23E6CD80" w14:textId="77777777">
        <w:tblPrEx>
          <w:tblCellMar>
            <w:top w:w="0" w:type="dxa"/>
            <w:bottom w:w="0" w:type="dxa"/>
          </w:tblCellMar>
        </w:tblPrEx>
        <w:trPr>
          <w:trHeight w:hRule="exact" w:val="278"/>
          <w:jc w:val="center"/>
        </w:trPr>
        <w:tc>
          <w:tcPr>
            <w:tcW w:w="2434" w:type="dxa"/>
            <w:shd w:val="clear" w:color="auto" w:fill="auto"/>
            <w:vAlign w:val="bottom"/>
          </w:tcPr>
          <w:p w14:paraId="3CC95C65" w14:textId="77777777" w:rsidR="00B75D1C" w:rsidRDefault="00692136">
            <w:pPr>
              <w:pStyle w:val="Jin0"/>
            </w:pPr>
            <w:r>
              <w:t>bankovní spojení:</w:t>
            </w:r>
          </w:p>
        </w:tc>
        <w:tc>
          <w:tcPr>
            <w:tcW w:w="6706" w:type="dxa"/>
            <w:shd w:val="clear" w:color="auto" w:fill="auto"/>
            <w:vAlign w:val="bottom"/>
          </w:tcPr>
          <w:p w14:paraId="13EA7067" w14:textId="77777777" w:rsidR="00B75D1C" w:rsidRDefault="00692136">
            <w:pPr>
              <w:pStyle w:val="Jin0"/>
              <w:ind w:left="1120"/>
            </w:pPr>
            <w:r>
              <w:t>Komerční banka a.s.</w:t>
            </w:r>
          </w:p>
        </w:tc>
      </w:tr>
      <w:tr w:rsidR="00B75D1C" w14:paraId="7FBAB378" w14:textId="77777777">
        <w:tblPrEx>
          <w:tblCellMar>
            <w:top w:w="0" w:type="dxa"/>
            <w:bottom w:w="0" w:type="dxa"/>
          </w:tblCellMar>
        </w:tblPrEx>
        <w:trPr>
          <w:trHeight w:hRule="exact" w:val="269"/>
          <w:jc w:val="center"/>
        </w:trPr>
        <w:tc>
          <w:tcPr>
            <w:tcW w:w="2434" w:type="dxa"/>
            <w:shd w:val="clear" w:color="auto" w:fill="auto"/>
          </w:tcPr>
          <w:p w14:paraId="6866762C" w14:textId="77777777" w:rsidR="00B75D1C" w:rsidRDefault="00692136">
            <w:pPr>
              <w:pStyle w:val="Jin0"/>
            </w:pPr>
            <w:r>
              <w:t>číslo účtu:</w:t>
            </w:r>
          </w:p>
        </w:tc>
        <w:tc>
          <w:tcPr>
            <w:tcW w:w="6706" w:type="dxa"/>
            <w:shd w:val="clear" w:color="auto" w:fill="auto"/>
          </w:tcPr>
          <w:p w14:paraId="3DD06B8C" w14:textId="77777777" w:rsidR="00B75D1C" w:rsidRDefault="00692136">
            <w:pPr>
              <w:pStyle w:val="Jin0"/>
              <w:ind w:left="1120"/>
            </w:pPr>
            <w:r>
              <w:t>326561/0100</w:t>
            </w:r>
          </w:p>
        </w:tc>
      </w:tr>
      <w:tr w:rsidR="00B75D1C" w14:paraId="27DD855C" w14:textId="77777777">
        <w:tblPrEx>
          <w:tblCellMar>
            <w:top w:w="0" w:type="dxa"/>
            <w:bottom w:w="0" w:type="dxa"/>
          </w:tblCellMar>
        </w:tblPrEx>
        <w:trPr>
          <w:trHeight w:hRule="exact" w:val="288"/>
          <w:jc w:val="center"/>
        </w:trPr>
        <w:tc>
          <w:tcPr>
            <w:tcW w:w="2434" w:type="dxa"/>
            <w:shd w:val="clear" w:color="auto" w:fill="auto"/>
            <w:vAlign w:val="bottom"/>
          </w:tcPr>
          <w:p w14:paraId="38840C17" w14:textId="77777777" w:rsidR="00B75D1C" w:rsidRDefault="00692136">
            <w:pPr>
              <w:pStyle w:val="Jin0"/>
            </w:pPr>
            <w:r>
              <w:t>zastoupena:</w:t>
            </w:r>
          </w:p>
        </w:tc>
        <w:tc>
          <w:tcPr>
            <w:tcW w:w="6706" w:type="dxa"/>
            <w:shd w:val="clear" w:color="auto" w:fill="auto"/>
            <w:vAlign w:val="bottom"/>
          </w:tcPr>
          <w:p w14:paraId="3CD08DD2" w14:textId="77777777" w:rsidR="00B75D1C" w:rsidRDefault="00692136">
            <w:pPr>
              <w:pStyle w:val="Jin0"/>
              <w:ind w:left="1120"/>
            </w:pPr>
            <w:r>
              <w:t xml:space="preserve">Mgr. Jiří </w:t>
            </w:r>
            <w:r>
              <w:t>Turek, vedoucí kanceláře tajemníka</w:t>
            </w:r>
          </w:p>
        </w:tc>
      </w:tr>
      <w:tr w:rsidR="00B75D1C" w14:paraId="0EB0EC57" w14:textId="77777777">
        <w:tblPrEx>
          <w:tblCellMar>
            <w:top w:w="0" w:type="dxa"/>
            <w:bottom w:w="0" w:type="dxa"/>
          </w:tblCellMar>
        </w:tblPrEx>
        <w:trPr>
          <w:trHeight w:hRule="exact" w:val="1642"/>
          <w:jc w:val="center"/>
        </w:trPr>
        <w:tc>
          <w:tcPr>
            <w:tcW w:w="2434" w:type="dxa"/>
            <w:shd w:val="clear" w:color="auto" w:fill="auto"/>
          </w:tcPr>
          <w:p w14:paraId="7851EC9D" w14:textId="77777777" w:rsidR="00B75D1C" w:rsidRDefault="00692136">
            <w:pPr>
              <w:pStyle w:val="Jin0"/>
            </w:pPr>
            <w:r>
              <w:t>kontaktní osoba:</w:t>
            </w:r>
          </w:p>
        </w:tc>
        <w:tc>
          <w:tcPr>
            <w:tcW w:w="6706" w:type="dxa"/>
            <w:tcBorders>
              <w:bottom w:val="single" w:sz="4" w:space="0" w:color="auto"/>
            </w:tcBorders>
            <w:shd w:val="clear" w:color="auto" w:fill="auto"/>
          </w:tcPr>
          <w:p w14:paraId="79EF4D33" w14:textId="2A4D1B3C" w:rsidR="00B75D1C" w:rsidRDefault="00692136">
            <w:pPr>
              <w:pStyle w:val="Jin0"/>
              <w:spacing w:line="259" w:lineRule="auto"/>
              <w:ind w:left="1120"/>
            </w:pPr>
            <w:r>
              <w:t>Daniela Staňková, personální oddělení kanceláře tajemníka Magistrátu města Pardubic, e-mail:</w:t>
            </w:r>
            <w:hyperlink r:id="rId7" w:history="1">
              <w:r>
                <w:t xml:space="preserve"> </w:t>
              </w:r>
              <w:r>
                <w:rPr>
                  <w:color w:val="0000FF"/>
                  <w:u w:val="single"/>
                  <w:lang w:val="en-US" w:eastAsia="en-US" w:bidi="en-US"/>
                </w:rPr>
                <w:t>xxxxxxxx</w:t>
              </w:r>
              <w:r>
                <w:rPr>
                  <w:u w:val="single"/>
                  <w:lang w:val="en-US" w:eastAsia="en-US" w:bidi="en-US"/>
                </w:rPr>
                <w:t>,</w:t>
              </w:r>
            </w:hyperlink>
            <w:r>
              <w:rPr>
                <w:u w:val="single"/>
                <w:lang w:val="en-US" w:eastAsia="en-US" w:bidi="en-US"/>
              </w:rPr>
              <w:t xml:space="preserve"> </w:t>
            </w:r>
            <w:r>
              <w:t>tel.: xxx xxx xxx.</w:t>
            </w:r>
          </w:p>
          <w:p w14:paraId="6C719BA1" w14:textId="77777777" w:rsidR="00B75D1C" w:rsidRDefault="00692136">
            <w:pPr>
              <w:pStyle w:val="Jin0"/>
              <w:spacing w:line="259" w:lineRule="auto"/>
              <w:ind w:left="1120"/>
            </w:pPr>
            <w:r>
              <w:t>Veronika Pospíšilová, personální oddělení kanceláře tajemníka</w:t>
            </w:r>
          </w:p>
          <w:p w14:paraId="5D6C644D" w14:textId="77777777" w:rsidR="00B75D1C" w:rsidRDefault="00692136">
            <w:pPr>
              <w:pStyle w:val="Jin0"/>
              <w:spacing w:line="259" w:lineRule="auto"/>
              <w:ind w:left="1120"/>
            </w:pPr>
            <w:r>
              <w:t>Magistrátu města Pardubic, e-mail:</w:t>
            </w:r>
          </w:p>
          <w:p w14:paraId="2250BEB5" w14:textId="015F8256" w:rsidR="00B75D1C" w:rsidRDefault="00692136">
            <w:pPr>
              <w:pStyle w:val="Jin0"/>
              <w:spacing w:line="259" w:lineRule="auto"/>
              <w:ind w:left="1120"/>
            </w:pPr>
            <w:hyperlink r:id="rId8" w:history="1">
              <w:r>
                <w:rPr>
                  <w:color w:val="0000FF"/>
                  <w:u w:val="single"/>
                  <w:lang w:val="en-US" w:eastAsia="en-US" w:bidi="en-US"/>
                </w:rPr>
                <w:t>xxxxxxxxxx</w:t>
              </w:r>
              <w:r>
                <w:rPr>
                  <w:u w:val="single"/>
                  <w:lang w:val="en-US" w:eastAsia="en-US" w:bidi="en-US"/>
                </w:rPr>
                <w:t>,</w:t>
              </w:r>
            </w:hyperlink>
            <w:r>
              <w:rPr>
                <w:lang w:val="en-US" w:eastAsia="en-US" w:bidi="en-US"/>
              </w:rPr>
              <w:t xml:space="preserve"> </w:t>
            </w:r>
            <w:r>
              <w:t>tel.: xxx xxx xxx.</w:t>
            </w:r>
          </w:p>
        </w:tc>
      </w:tr>
    </w:tbl>
    <w:p w14:paraId="34677D21" w14:textId="77777777" w:rsidR="00B75D1C" w:rsidRDefault="00692136">
      <w:pPr>
        <w:pStyle w:val="Titulektabulky0"/>
        <w:ind w:left="10"/>
      </w:pPr>
      <w:r>
        <w:t xml:space="preserve">na </w:t>
      </w:r>
      <w:r>
        <w:t>straně druhé jako uživatel (dále jen „Klient“)</w:t>
      </w:r>
    </w:p>
    <w:p w14:paraId="01382552" w14:textId="77777777" w:rsidR="00B75D1C" w:rsidRDefault="00B75D1C">
      <w:pPr>
        <w:spacing w:after="279" w:line="1" w:lineRule="exact"/>
      </w:pPr>
    </w:p>
    <w:p w14:paraId="61FC7575" w14:textId="77777777" w:rsidR="00B75D1C" w:rsidRDefault="00692136">
      <w:pPr>
        <w:pStyle w:val="Zkladntext1"/>
        <w:spacing w:after="460"/>
      </w:pPr>
      <w:r>
        <w:t>(společně též „Smluvní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34"/>
        <w:gridCol w:w="6701"/>
      </w:tblGrid>
      <w:tr w:rsidR="00B75D1C" w14:paraId="46A2629B" w14:textId="77777777">
        <w:tblPrEx>
          <w:tblCellMar>
            <w:top w:w="0" w:type="dxa"/>
            <w:bottom w:w="0" w:type="dxa"/>
          </w:tblCellMar>
        </w:tblPrEx>
        <w:trPr>
          <w:trHeight w:hRule="exact" w:val="259"/>
          <w:jc w:val="center"/>
        </w:trPr>
        <w:tc>
          <w:tcPr>
            <w:tcW w:w="2434" w:type="dxa"/>
            <w:shd w:val="clear" w:color="auto" w:fill="auto"/>
          </w:tcPr>
          <w:p w14:paraId="2D32EBF6" w14:textId="77777777" w:rsidR="00B75D1C" w:rsidRDefault="00B75D1C">
            <w:pPr>
              <w:rPr>
                <w:sz w:val="10"/>
                <w:szCs w:val="10"/>
              </w:rPr>
            </w:pPr>
          </w:p>
        </w:tc>
        <w:tc>
          <w:tcPr>
            <w:tcW w:w="6701" w:type="dxa"/>
            <w:shd w:val="clear" w:color="auto" w:fill="auto"/>
          </w:tcPr>
          <w:p w14:paraId="1593153C" w14:textId="77777777" w:rsidR="00B75D1C" w:rsidRDefault="00692136">
            <w:pPr>
              <w:pStyle w:val="Jin0"/>
              <w:ind w:firstLine="740"/>
            </w:pPr>
            <w:r>
              <w:rPr>
                <w:b/>
                <w:bCs/>
              </w:rPr>
              <w:t>I. Vymezení některých pojmů</w:t>
            </w:r>
          </w:p>
        </w:tc>
      </w:tr>
    </w:tbl>
    <w:p w14:paraId="5EADBCE8" w14:textId="77777777" w:rsidR="00B75D1C" w:rsidRDefault="00B75D1C">
      <w:pPr>
        <w:spacing w:after="139" w:line="1" w:lineRule="exact"/>
      </w:pPr>
    </w:p>
    <w:p w14:paraId="4A350000" w14:textId="77777777" w:rsidR="00B75D1C" w:rsidRDefault="00692136">
      <w:pPr>
        <w:pStyle w:val="Zkladntext1"/>
        <w:numPr>
          <w:ilvl w:val="0"/>
          <w:numId w:val="1"/>
        </w:numPr>
        <w:tabs>
          <w:tab w:val="left" w:pos="413"/>
        </w:tabs>
        <w:spacing w:line="259" w:lineRule="auto"/>
        <w:ind w:left="440" w:hanging="440"/>
      </w:pPr>
      <w:r>
        <w:t>„Kandidátem“ se rozumí fyzická osoba vyhledaná Agenturou za účelem obsazení určité Pozice dle specifikace Klienta.</w:t>
      </w:r>
    </w:p>
    <w:p w14:paraId="6E4DD32B" w14:textId="77777777" w:rsidR="00B75D1C" w:rsidRDefault="00692136">
      <w:pPr>
        <w:pStyle w:val="Zkladntext1"/>
        <w:numPr>
          <w:ilvl w:val="0"/>
          <w:numId w:val="1"/>
        </w:numPr>
        <w:tabs>
          <w:tab w:val="left" w:pos="413"/>
        </w:tabs>
        <w:spacing w:line="259" w:lineRule="auto"/>
        <w:ind w:left="440" w:hanging="440"/>
      </w:pPr>
      <w:r>
        <w:t xml:space="preserve">„Pracovníkem“ se rozumí </w:t>
      </w:r>
      <w:r>
        <w:t>Kandidát vyhledaný Agenturou, kterého Klient zaměstná, a to bez ohledu na právní základ smluvního vztahu mezi Klientem a zaměstnaným Kandidátem.</w:t>
      </w:r>
    </w:p>
    <w:p w14:paraId="3AAB0A4A" w14:textId="77777777" w:rsidR="00B75D1C" w:rsidRDefault="00692136">
      <w:pPr>
        <w:pStyle w:val="Zkladntext1"/>
        <w:numPr>
          <w:ilvl w:val="0"/>
          <w:numId w:val="1"/>
        </w:numPr>
        <w:tabs>
          <w:tab w:val="left" w:pos="413"/>
        </w:tabs>
        <w:spacing w:line="259" w:lineRule="auto"/>
        <w:ind w:left="440" w:hanging="440"/>
      </w:pPr>
      <w:r>
        <w:t>„Zaměstnáním Pracovníka“ se rozumí poskytnutí Práce Pracovníkovi Klientem nebo kteroukoliv jinou spřízněnou či spolupracující osobou bez ohledu na právní základ smluvního vztahu mezi Klientem a Pracovníkem (tj. pro účely této smlouvy se zaměstnáním rozumí jak práce vykonávaná v pracovněprávním, tak v občanskoprávním vztahu).</w:t>
      </w:r>
    </w:p>
    <w:p w14:paraId="4EB6817D" w14:textId="77777777" w:rsidR="00B75D1C" w:rsidRDefault="00692136">
      <w:pPr>
        <w:pStyle w:val="Zkladntext1"/>
        <w:numPr>
          <w:ilvl w:val="0"/>
          <w:numId w:val="1"/>
        </w:numPr>
        <w:tabs>
          <w:tab w:val="left" w:pos="395"/>
        </w:tabs>
        <w:ind w:left="440" w:hanging="440"/>
        <w:jc w:val="both"/>
      </w:pPr>
      <w:r>
        <w:t xml:space="preserve">„Pozicí“ se rozumí jakékoliv pracovní místo, pozice nebo funkce bez ohledu na to, zda je součástí </w:t>
      </w:r>
      <w:r>
        <w:lastRenderedPageBreak/>
        <w:t>organizační struktury Klienta či nikoliv nebo zda je určena pro zaměstnance nebo pro jiného pracovníka.</w:t>
      </w:r>
    </w:p>
    <w:p w14:paraId="4A9272A0" w14:textId="77777777" w:rsidR="00B75D1C" w:rsidRDefault="00692136">
      <w:pPr>
        <w:pStyle w:val="Zkladntext1"/>
        <w:numPr>
          <w:ilvl w:val="0"/>
          <w:numId w:val="1"/>
        </w:numPr>
        <w:tabs>
          <w:tab w:val="left" w:pos="395"/>
        </w:tabs>
        <w:ind w:left="440" w:hanging="440"/>
        <w:jc w:val="both"/>
      </w:pPr>
      <w:r>
        <w:t>„Prací“ se rozumí jakákoliv činnost Pracovníka vykonávaná pro Klienta bez ohledu na to, zda je vykonávána na základě pracovní smlouvy nebo dohody podle zákona č. 262/2006 Sb., zákoníku práce, ve znění pozdějších předpisů (dále také „zákoník práce“) nebo na základě občanskoprávní či jiné smlouvy bez ohledu na její formu.</w:t>
      </w:r>
    </w:p>
    <w:p w14:paraId="6F443246" w14:textId="77777777" w:rsidR="00B75D1C" w:rsidRDefault="00692136">
      <w:pPr>
        <w:pStyle w:val="Zkladntext1"/>
        <w:numPr>
          <w:ilvl w:val="0"/>
          <w:numId w:val="1"/>
        </w:numPr>
        <w:tabs>
          <w:tab w:val="left" w:pos="395"/>
        </w:tabs>
        <w:jc w:val="both"/>
      </w:pPr>
      <w:r>
        <w:t>„Nástupem do Práce“ se rozumí započetí výkonu Práce Pracovníkem u Klienta.</w:t>
      </w:r>
    </w:p>
    <w:p w14:paraId="26499294" w14:textId="77777777" w:rsidR="00B75D1C" w:rsidRDefault="00692136">
      <w:pPr>
        <w:pStyle w:val="Zkladntext1"/>
        <w:numPr>
          <w:ilvl w:val="0"/>
          <w:numId w:val="1"/>
        </w:numPr>
        <w:tabs>
          <w:tab w:val="left" w:pos="395"/>
        </w:tabs>
        <w:ind w:left="440" w:hanging="440"/>
        <w:jc w:val="both"/>
      </w:pPr>
      <w:r>
        <w:t>„Hrubou měsíční mzdou“ se rozumí celková hrubá měsíční mzda či odměna, včetně bonusové složky mzdy, která má Kandidátovi náležet za výkon Práce na základě pracovní smlouvy, pokud by odpracoval jeden celý měsíc po zahájení výkonu práce dle pracovní smlouvy. Pokud bude Kandidát poskytovat Klientovi služby/Práci na základě jiného než pracovněprávního vztahu (např. jako nezávislý poradce/konzultant), rozumí se Hrubou měsíční mzdou celková měsíční odměna, včetně bonusové složky, která má Kandidátovi náležet za v</w:t>
      </w:r>
      <w:r>
        <w:t>ýkon Práce na základě jiného než pracovněprávního vztahu, pokud by odpracoval jeden celý měsíc po zahájení výkonu Práce.</w:t>
      </w:r>
    </w:p>
    <w:p w14:paraId="6F890803" w14:textId="77777777" w:rsidR="00B75D1C" w:rsidRDefault="00692136">
      <w:pPr>
        <w:pStyle w:val="Zkladntext1"/>
        <w:numPr>
          <w:ilvl w:val="0"/>
          <w:numId w:val="1"/>
        </w:numPr>
        <w:tabs>
          <w:tab w:val="left" w:pos="395"/>
        </w:tabs>
        <w:spacing w:after="500"/>
        <w:jc w:val="both"/>
      </w:pPr>
      <w:r>
        <w:t>„Garancí“ se rozumí období, po kterém má Klient nárok na refundaci.</w:t>
      </w:r>
    </w:p>
    <w:p w14:paraId="77054988" w14:textId="77777777" w:rsidR="00B75D1C" w:rsidRDefault="00692136">
      <w:pPr>
        <w:pStyle w:val="Nadpis20"/>
        <w:keepNext/>
        <w:keepLines/>
        <w:numPr>
          <w:ilvl w:val="0"/>
          <w:numId w:val="2"/>
        </w:numPr>
        <w:tabs>
          <w:tab w:val="left" w:pos="395"/>
        </w:tabs>
      </w:pPr>
      <w:bookmarkStart w:id="0" w:name="bookmark3"/>
      <w:r>
        <w:t>Předmět smlouvy</w:t>
      </w:r>
      <w:bookmarkEnd w:id="0"/>
    </w:p>
    <w:p w14:paraId="20E2DCB8" w14:textId="77777777" w:rsidR="00B75D1C" w:rsidRDefault="00692136">
      <w:pPr>
        <w:pStyle w:val="Zkladntext1"/>
        <w:spacing w:after="240"/>
        <w:jc w:val="both"/>
      </w:pPr>
      <w:r>
        <w:t>Agentura se zavazuje, že na žádost a dle Specifikace Klienta vyhledá a doporučí Klientovi vhodného Kandidáta nebo více Kandidátů na požadovanou Pozici a Klient se zavazuje zaplatit za poskytnuté služby Agentuře sjednanou odměnu a další platby podle podmínek této smlouvy.</w:t>
      </w:r>
    </w:p>
    <w:p w14:paraId="3A3A517E" w14:textId="77777777" w:rsidR="00B75D1C" w:rsidRDefault="00692136">
      <w:pPr>
        <w:pStyle w:val="Nadpis20"/>
        <w:keepNext/>
        <w:keepLines/>
        <w:numPr>
          <w:ilvl w:val="0"/>
          <w:numId w:val="2"/>
        </w:numPr>
        <w:tabs>
          <w:tab w:val="left" w:pos="438"/>
        </w:tabs>
      </w:pPr>
      <w:bookmarkStart w:id="1" w:name="bookmark5"/>
      <w:r>
        <w:t>Práva a povinnosti smluvních stran</w:t>
      </w:r>
      <w:bookmarkEnd w:id="1"/>
    </w:p>
    <w:p w14:paraId="6A550FA9" w14:textId="77777777" w:rsidR="00B75D1C" w:rsidRDefault="00692136">
      <w:pPr>
        <w:pStyle w:val="Zkladntext1"/>
        <w:numPr>
          <w:ilvl w:val="0"/>
          <w:numId w:val="3"/>
        </w:numPr>
        <w:tabs>
          <w:tab w:val="left" w:pos="395"/>
        </w:tabs>
        <w:ind w:left="440" w:hanging="440"/>
        <w:jc w:val="both"/>
      </w:pPr>
      <w:r>
        <w:t>Agentura se zavazuje poskytovat služby dle této smlouvy s náležitou péčí a s využitím veškerých svých znalostí, dovedností a know-how v oblasti recruitmentu ve prospěch Klienta.</w:t>
      </w:r>
    </w:p>
    <w:p w14:paraId="5C46ABC5" w14:textId="77777777" w:rsidR="00B75D1C" w:rsidRDefault="00692136">
      <w:pPr>
        <w:pStyle w:val="Zkladntext1"/>
        <w:numPr>
          <w:ilvl w:val="0"/>
          <w:numId w:val="3"/>
        </w:numPr>
        <w:tabs>
          <w:tab w:val="left" w:pos="395"/>
        </w:tabs>
        <w:ind w:left="440" w:hanging="440"/>
        <w:jc w:val="both"/>
      </w:pPr>
      <w:r>
        <w:t>Klient poskytne Agentuře Specifikaci Pozice a požadavků na Kandidáty, a to formou emailové objednávky, která musí obsahovat alespoň</w:t>
      </w:r>
    </w:p>
    <w:p w14:paraId="1E389B8E" w14:textId="77777777" w:rsidR="00B75D1C" w:rsidRDefault="00692136">
      <w:pPr>
        <w:pStyle w:val="Zkladntext1"/>
        <w:numPr>
          <w:ilvl w:val="0"/>
          <w:numId w:val="4"/>
        </w:numPr>
        <w:tabs>
          <w:tab w:val="left" w:pos="858"/>
        </w:tabs>
        <w:ind w:firstLine="440"/>
        <w:jc w:val="both"/>
      </w:pPr>
      <w:r>
        <w:t>název Pozice a stručný popis náplně Práce,</w:t>
      </w:r>
    </w:p>
    <w:p w14:paraId="7CB45B24" w14:textId="77777777" w:rsidR="00B75D1C" w:rsidRDefault="00692136">
      <w:pPr>
        <w:pStyle w:val="Zkladntext1"/>
        <w:numPr>
          <w:ilvl w:val="0"/>
          <w:numId w:val="4"/>
        </w:numPr>
        <w:tabs>
          <w:tab w:val="left" w:pos="858"/>
        </w:tabs>
        <w:ind w:firstLine="440"/>
        <w:jc w:val="both"/>
      </w:pPr>
      <w:r>
        <w:t>místo výkonu Práce (obec),</w:t>
      </w:r>
    </w:p>
    <w:p w14:paraId="2E197C00" w14:textId="77777777" w:rsidR="00B75D1C" w:rsidRDefault="00692136">
      <w:pPr>
        <w:pStyle w:val="Zkladntext1"/>
        <w:numPr>
          <w:ilvl w:val="0"/>
          <w:numId w:val="4"/>
        </w:numPr>
        <w:tabs>
          <w:tab w:val="left" w:pos="858"/>
        </w:tabs>
        <w:ind w:firstLine="440"/>
        <w:jc w:val="both"/>
      </w:pPr>
      <w:r>
        <w:t xml:space="preserve">požadavky na Kandidáty (vzdělání, délka praxe v oboru, jazykové a odborné </w:t>
      </w:r>
      <w:r>
        <w:t>znalosti atd.)</w:t>
      </w:r>
    </w:p>
    <w:p w14:paraId="22B6D2A9" w14:textId="77777777" w:rsidR="00B75D1C" w:rsidRDefault="00692136">
      <w:pPr>
        <w:pStyle w:val="Zkladntext1"/>
        <w:numPr>
          <w:ilvl w:val="0"/>
          <w:numId w:val="4"/>
        </w:numPr>
        <w:tabs>
          <w:tab w:val="left" w:pos="858"/>
        </w:tabs>
        <w:ind w:firstLine="440"/>
        <w:jc w:val="both"/>
      </w:pPr>
      <w:r>
        <w:t>předpokládané rozmezí Hrubé měsíční mzdy a případné výhody či benefity a</w:t>
      </w:r>
    </w:p>
    <w:p w14:paraId="5ABC5BE2" w14:textId="77777777" w:rsidR="00B75D1C" w:rsidRDefault="00692136">
      <w:pPr>
        <w:pStyle w:val="Zkladntext1"/>
        <w:numPr>
          <w:ilvl w:val="0"/>
          <w:numId w:val="4"/>
        </w:numPr>
        <w:tabs>
          <w:tab w:val="left" w:pos="858"/>
        </w:tabs>
        <w:ind w:firstLine="440"/>
        <w:jc w:val="both"/>
      </w:pPr>
      <w:r>
        <w:t>předpokládaný den nástupu do Práce (dále jen „Specifikace“).</w:t>
      </w:r>
    </w:p>
    <w:p w14:paraId="071DD9AD" w14:textId="77777777" w:rsidR="00B75D1C" w:rsidRDefault="00692136">
      <w:pPr>
        <w:pStyle w:val="Zkladntext1"/>
        <w:ind w:left="440" w:firstLine="20"/>
        <w:jc w:val="both"/>
      </w:pPr>
      <w:r>
        <w:t>Agentura se zavazuje objednávku, tedy požadavek Klienta na vyhledání Kandidáta/Kandidátů, do 3 (slovy: tří) pracovních dnů potvrdit, nebo odmítnout. K žádosti Agentury je Klient povinen sdělit Agentuře informace vyjasňující specifikace nezbytně nutné pro vyhledání vhodného Kandidáta.</w:t>
      </w:r>
    </w:p>
    <w:p w14:paraId="1F347CE5" w14:textId="77777777" w:rsidR="00B75D1C" w:rsidRDefault="00692136">
      <w:pPr>
        <w:pStyle w:val="Zkladntext1"/>
        <w:numPr>
          <w:ilvl w:val="0"/>
          <w:numId w:val="3"/>
        </w:numPr>
        <w:tabs>
          <w:tab w:val="left" w:pos="395"/>
        </w:tabs>
        <w:ind w:left="440" w:hanging="440"/>
        <w:jc w:val="both"/>
      </w:pPr>
      <w:r>
        <w:t>Agentura provede vyhledání a kvalifikovaný výběr vhodných Kandidátů dle vlastní interní metodiky, sestaví informativní hodnocení Kandidátů a případně na žádost Klienta zorganizuje interview s Kandidáty.</w:t>
      </w:r>
    </w:p>
    <w:p w14:paraId="3BA815C3" w14:textId="77777777" w:rsidR="00B75D1C" w:rsidRDefault="00692136">
      <w:pPr>
        <w:pStyle w:val="Zkladntext1"/>
        <w:numPr>
          <w:ilvl w:val="0"/>
          <w:numId w:val="3"/>
        </w:numPr>
        <w:tabs>
          <w:tab w:val="left" w:pos="395"/>
        </w:tabs>
        <w:ind w:left="440" w:hanging="440"/>
        <w:jc w:val="both"/>
      </w:pPr>
      <w:r>
        <w:t>Smluvní strany jsou povinny poskytovat si vzájemnou součinnost, zejména se mohou strany kdykoliv navzájem kontaktovat a požádat o projednání určitých nejasností nebo o součinnost či konzultaci při formulování Specifikace Pozice či požadavků na Kandidáty.</w:t>
      </w:r>
    </w:p>
    <w:p w14:paraId="3A57B900" w14:textId="77777777" w:rsidR="00B75D1C" w:rsidRDefault="00692136">
      <w:pPr>
        <w:pStyle w:val="Zkladntext1"/>
        <w:numPr>
          <w:ilvl w:val="0"/>
          <w:numId w:val="3"/>
        </w:numPr>
        <w:tabs>
          <w:tab w:val="left" w:pos="395"/>
        </w:tabs>
        <w:ind w:left="440" w:hanging="440"/>
        <w:jc w:val="both"/>
      </w:pPr>
      <w:r>
        <w:t>Klient je povinen poskytnout Agentuře potřebnou součinnost a informovat ji o všech skutečnostech, které mohou být rozhodné pro obsazení požadované Pozice.</w:t>
      </w:r>
    </w:p>
    <w:p w14:paraId="526102B3" w14:textId="77777777" w:rsidR="00B75D1C" w:rsidRDefault="00692136">
      <w:pPr>
        <w:pStyle w:val="Zkladntext1"/>
        <w:numPr>
          <w:ilvl w:val="0"/>
          <w:numId w:val="3"/>
        </w:numPr>
        <w:tabs>
          <w:tab w:val="left" w:pos="395"/>
        </w:tabs>
        <w:spacing w:after="240"/>
        <w:ind w:left="440" w:hanging="440"/>
        <w:jc w:val="both"/>
      </w:pPr>
      <w:r>
        <w:t xml:space="preserve">Klient je dále povinen vyjádřit se včas k Agenturou vyhledaným Kandidátům, a ve lhůtě do 10 (slovy: deseti) pracovních dnů ode dne, v němž byli Agenturou vyhledaní Kandidáti prezentováni (formou zaslaných profilů) Klientovi, sdělit, zda Kandidáta odmítá (a z jakého důvodu), nebo zda se má Kandidát dostavit k pohovoru s Klientem (včetně sdělení konkrétní termínu pohovoru a místa konání). Má-li Klient zájem, aby se Kandidát dostavil k pohovoru, je Agentura povinna nejpozději do 5 (slovy: pěti) pracovních dnů </w:t>
      </w:r>
      <w:r>
        <w:t>od vyjádření zájmu Klienta o této skutečnosti informovat daného Kandidáta a sdělit mu podrobnosti týkající se pohovoru.</w:t>
      </w:r>
    </w:p>
    <w:p w14:paraId="6EB174BA" w14:textId="77777777" w:rsidR="00B75D1C" w:rsidRDefault="00692136">
      <w:pPr>
        <w:pStyle w:val="Zkladntext1"/>
        <w:numPr>
          <w:ilvl w:val="0"/>
          <w:numId w:val="3"/>
        </w:numPr>
        <w:tabs>
          <w:tab w:val="left" w:pos="397"/>
        </w:tabs>
        <w:ind w:left="440" w:hanging="440"/>
        <w:jc w:val="both"/>
      </w:pPr>
      <w:r>
        <w:t xml:space="preserve">Do 3 (slovy: tří) pracovních dnů od proběhnuvšího pohovoru Kandidáta u Klienta je Klient povinen sdělit Agentuře, zda Kandidáta odmítá (a z jakého důvodu), nebo zda má zájem pozvat Kandidáta k výběrovému řízení, tj. zda má kandidát podat přihlášku do vypsaného výběrového řízení, včetně </w:t>
      </w:r>
      <w:r>
        <w:lastRenderedPageBreak/>
        <w:t>specifikace konkrétního výběrového řízení (číslo a název výběrového řízení) Agentura je povinna informovat Kandidáta o stanovisku Klienta dle věty prvé tohoto ustanovení a v případě pozvání k účasti ve vypsaném výběrovém řízení jej instruovat k přihlášce do konkrétního výběrového řízení vyhlášeného klientem, a to do 3 (slovy: tří) pracovních dnů od obdržení stanoviska od Klienta.</w:t>
      </w:r>
    </w:p>
    <w:p w14:paraId="28D7EC66" w14:textId="77777777" w:rsidR="00B75D1C" w:rsidRDefault="00692136">
      <w:pPr>
        <w:pStyle w:val="Zkladntext1"/>
        <w:numPr>
          <w:ilvl w:val="0"/>
          <w:numId w:val="3"/>
        </w:numPr>
        <w:tabs>
          <w:tab w:val="left" w:pos="397"/>
        </w:tabs>
        <w:ind w:left="440" w:hanging="440"/>
        <w:jc w:val="both"/>
      </w:pPr>
      <w:r>
        <w:t>Kandidát je po ukončení výběrového řízení informován o výsledku tohoto výběrového řízení přímo od Klienta. O skutečnosti, zda se Klient rozhodl nepřijmout/přijmout Kandidáta na uvedenou Pozici, je Klient povinen Agenturu ve lhůtě do 5 (slovy: pěti) pracovních dnů písemně informovat. Současně Agenturu, v případě přijetí Kandidáta, bude v této lhůtě Klient informovat o Hrubé měsíční mzdě, benefitech, předpokládaném nástupu do Práce a o dalších relevantních informacích.</w:t>
      </w:r>
    </w:p>
    <w:p w14:paraId="7E94BD06" w14:textId="77777777" w:rsidR="00B75D1C" w:rsidRDefault="00692136">
      <w:pPr>
        <w:pStyle w:val="Zkladntext1"/>
        <w:numPr>
          <w:ilvl w:val="0"/>
          <w:numId w:val="3"/>
        </w:numPr>
        <w:tabs>
          <w:tab w:val="left" w:pos="397"/>
        </w:tabs>
        <w:ind w:left="440" w:hanging="440"/>
        <w:jc w:val="both"/>
      </w:pPr>
      <w:r>
        <w:t>V případě, že Kandidát přestane vykonávat Práci pro Klienta z důvodu rozvázání smluvního vztahu, je Klient povinen tuto informaci sdělit Agentuře, a to nejpozději do 10 (slovy: deseti) pracovních dnů ode dne ukončení Zaměstnání. Součástí této informace musí být i důvody ukončení Zaměstnání, jsou-li Klientovi známy.</w:t>
      </w:r>
    </w:p>
    <w:p w14:paraId="2B248352" w14:textId="77777777" w:rsidR="00B75D1C" w:rsidRDefault="00692136">
      <w:pPr>
        <w:pStyle w:val="Zkladntext1"/>
        <w:numPr>
          <w:ilvl w:val="0"/>
          <w:numId w:val="3"/>
        </w:numPr>
        <w:tabs>
          <w:tab w:val="left" w:pos="397"/>
        </w:tabs>
        <w:ind w:left="440" w:hanging="440"/>
        <w:jc w:val="both"/>
      </w:pPr>
      <w:r>
        <w:t>Agentura neodpovídá Klientovi za prodlení s vyhledáním vhodného Kandidáta v důsledku prodlení Klienta, zejména jde-li o nedostatečnou součinnosti ze strany Klienta. Není porušením povinnosti Agentury kontaktovat či informovat Kandidáta, jestliže kontaktování či informování Kandidáta není možné z důvodu jeho nedosažitelnosti.</w:t>
      </w:r>
    </w:p>
    <w:p w14:paraId="32CEA93F" w14:textId="77777777" w:rsidR="00B75D1C" w:rsidRDefault="00692136">
      <w:pPr>
        <w:pStyle w:val="Zkladntext1"/>
        <w:numPr>
          <w:ilvl w:val="0"/>
          <w:numId w:val="3"/>
        </w:numPr>
        <w:tabs>
          <w:tab w:val="left" w:pos="397"/>
        </w:tabs>
        <w:ind w:left="440" w:hanging="440"/>
        <w:jc w:val="both"/>
      </w:pPr>
      <w:r>
        <w:t>V případě, že byl představený Kandidát v předchozích 12 (slovy: dvanácti) měsících prezentován Klientovi jiným zprostředkovatelem, či jinou třetí osobou, nebo sám kontaktoval Klienta se žádostí o zaměstnání, nevzniká Agentuře nárok na odměnu. V takovém případě je Klient povinen explicitně tuto informaci Agentuře sdělit do 10 (slovy: deseti) pracovních dnů od prezentace takového Kandidáta. Pokud tak Klient neučiní, vztahují se na takového Kandidáta práva a povinnosti obou stran uvedené v čl. IV. a V.</w:t>
      </w:r>
    </w:p>
    <w:p w14:paraId="3D3FA22A" w14:textId="77777777" w:rsidR="00B75D1C" w:rsidRDefault="00692136">
      <w:pPr>
        <w:pStyle w:val="Zkladntext1"/>
        <w:numPr>
          <w:ilvl w:val="0"/>
          <w:numId w:val="3"/>
        </w:numPr>
        <w:tabs>
          <w:tab w:val="left" w:pos="397"/>
        </w:tabs>
        <w:ind w:left="440" w:hanging="440"/>
        <w:jc w:val="both"/>
      </w:pPr>
      <w:r>
        <w:t>Agentura nemá odpovědnost za neplnění povinností vyhledanými Kandidáty ve vztahu ke Klientovi. Výběr vhodného Pracovníka je povinností Klienta. Agentura však vyvine maximální úsilí k tomu, aby vyhledaní Kandidáti byli osobami způsobilými v souladu se specifikací pracovní Pozice požadované Klientem.</w:t>
      </w:r>
    </w:p>
    <w:p w14:paraId="4D3CFBA6" w14:textId="77777777" w:rsidR="00B75D1C" w:rsidRDefault="00692136">
      <w:pPr>
        <w:pStyle w:val="Zkladntext1"/>
        <w:numPr>
          <w:ilvl w:val="0"/>
          <w:numId w:val="3"/>
        </w:numPr>
        <w:tabs>
          <w:tab w:val="left" w:pos="397"/>
        </w:tabs>
        <w:ind w:left="440" w:hanging="440"/>
        <w:jc w:val="both"/>
      </w:pPr>
      <w:r>
        <w:t>Agentura se zavazuje, že nebude žádným způsobem kontaktovat zaměstnané Pracovníky vyhledané Agenturou za účelem zprostředkování zaměstnání pro jinou osobu po dobu účinnosti této smlouvy a dále ještě 1 (slovy: jeden) rok po ukončení této smlouvy.</w:t>
      </w:r>
    </w:p>
    <w:p w14:paraId="378EF9B4" w14:textId="77777777" w:rsidR="00B75D1C" w:rsidRDefault="00692136">
      <w:pPr>
        <w:pStyle w:val="Zkladntext1"/>
        <w:numPr>
          <w:ilvl w:val="0"/>
          <w:numId w:val="3"/>
        </w:numPr>
        <w:tabs>
          <w:tab w:val="left" w:pos="397"/>
        </w:tabs>
        <w:spacing w:after="240"/>
        <w:ind w:left="440" w:hanging="440"/>
        <w:jc w:val="both"/>
      </w:pPr>
      <w:r>
        <w:t xml:space="preserve">Klient se zavazuje, že nebude kontaktovat pracovníky Agentury za účelem navázání </w:t>
      </w:r>
      <w:r>
        <w:t>samostatné smluvní spolupráce založené na závislé či nezávislé činnosti pracovníka Agentury pro Klienta.</w:t>
      </w:r>
    </w:p>
    <w:p w14:paraId="030E4589" w14:textId="77777777" w:rsidR="00B75D1C" w:rsidRDefault="00692136">
      <w:pPr>
        <w:pStyle w:val="Nadpis20"/>
        <w:keepNext/>
        <w:keepLines/>
        <w:numPr>
          <w:ilvl w:val="0"/>
          <w:numId w:val="5"/>
        </w:numPr>
        <w:tabs>
          <w:tab w:val="left" w:pos="399"/>
        </w:tabs>
      </w:pPr>
      <w:bookmarkStart w:id="2" w:name="bookmark7"/>
      <w:r>
        <w:t>Odměna a platební podmínky</w:t>
      </w:r>
      <w:bookmarkEnd w:id="2"/>
    </w:p>
    <w:p w14:paraId="558E55C3" w14:textId="77777777" w:rsidR="00B75D1C" w:rsidRDefault="00692136">
      <w:pPr>
        <w:pStyle w:val="Zkladntext1"/>
        <w:numPr>
          <w:ilvl w:val="0"/>
          <w:numId w:val="6"/>
        </w:numPr>
        <w:tabs>
          <w:tab w:val="left" w:pos="397"/>
        </w:tabs>
        <w:ind w:left="440" w:hanging="440"/>
        <w:jc w:val="both"/>
      </w:pPr>
      <w:r>
        <w:t>Agentuře náleží odměna za Klientem zaměstnaného kandidáta vyhledaného Agenturou bez ohledu na právní základ smluvního vztahu s vyhledaným Kandidátem, a to ve výši 2,5 násobku celkové nástupní Hrubé měsíční mzdy, přičemž minimální výše odměny za zaměstnaného Kandidáta činí 50.000,- Kč (slovy: padesát tisíc korun českých). Pro účely tohoto ustanovení se celkovou Hrubou měsíční mzdou rozumí výše mzdy, jak je uvedena na platovém výměru Kandidáta (je-li Kandidát u Klienta v pracovněprávním vztahu).</w:t>
      </w:r>
    </w:p>
    <w:p w14:paraId="507CEE23" w14:textId="77777777" w:rsidR="00B75D1C" w:rsidRDefault="00692136">
      <w:pPr>
        <w:pStyle w:val="Zkladntext1"/>
        <w:numPr>
          <w:ilvl w:val="0"/>
          <w:numId w:val="6"/>
        </w:numPr>
        <w:tabs>
          <w:tab w:val="left" w:pos="397"/>
        </w:tabs>
        <w:ind w:left="440" w:hanging="440"/>
        <w:jc w:val="both"/>
      </w:pPr>
      <w:r>
        <w:t>Nárok na odměnu dle odst. 1 vzniká Agentuře nástupem vyhledaného Kandidáta do Práce kdykoliv v období 12 (slovy: dvanácti) měsíců ode dne jeho doporučení (zpravidla od doručení informativního hodnocení takového Kandidáta Klientovi). Agentura má nárok na odměnu vůči Klientovi za obdobných podmínek rovněž v případě, kdy vyhledaný Kandidát nastoupí ve výše uvedené lhůtě do Práce u jiné osoby organizačně, vlastnicky nebo personálně spřízněné či spojené s Klientem. Agentura má nárok na odměnu dle této smlouvy ro</w:t>
      </w:r>
      <w:r>
        <w:t>vněž v případě, kdy vyhledaný Kandidát je zaměstnán nebo nastoupí do Práce až po ukončení této smlouvy, pokud se tak stane ve výše uvedené lhůtě.</w:t>
      </w:r>
    </w:p>
    <w:p w14:paraId="63C88C74" w14:textId="77777777" w:rsidR="00B75D1C" w:rsidRDefault="00692136">
      <w:pPr>
        <w:pStyle w:val="Zkladntext1"/>
        <w:numPr>
          <w:ilvl w:val="0"/>
          <w:numId w:val="6"/>
        </w:numPr>
        <w:tabs>
          <w:tab w:val="left" w:pos="397"/>
        </w:tabs>
        <w:ind w:left="440" w:hanging="440"/>
        <w:jc w:val="both"/>
      </w:pPr>
      <w:r>
        <w:t>Odměna zahrnuje veškeré náklady Agentury související s poskytováním služeb podle této smlouvy s výjimkou nákladů na inzerci v tištěných médiích a jiné extra náklady (např. marketingové kampaně, mzdový průzkum), které bude eventuálně Klient požadovat a které schválí, a to prostřednictvím separátní smlouvy, případně objednávky.</w:t>
      </w:r>
    </w:p>
    <w:p w14:paraId="1FC132E2" w14:textId="77777777" w:rsidR="00B75D1C" w:rsidRDefault="00692136">
      <w:pPr>
        <w:pStyle w:val="Zkladntext1"/>
        <w:numPr>
          <w:ilvl w:val="0"/>
          <w:numId w:val="6"/>
        </w:numPr>
        <w:tabs>
          <w:tab w:val="left" w:pos="396"/>
        </w:tabs>
        <w:ind w:left="460" w:hanging="460"/>
        <w:jc w:val="both"/>
      </w:pPr>
      <w:r>
        <w:t>Odměna a případné extra náklady včetně DPH jsou splatné na základě faktury vystavené Agenturou.</w:t>
      </w:r>
    </w:p>
    <w:p w14:paraId="51C9BB6D" w14:textId="77777777" w:rsidR="00B75D1C" w:rsidRDefault="00692136">
      <w:pPr>
        <w:pStyle w:val="Zkladntext1"/>
        <w:numPr>
          <w:ilvl w:val="0"/>
          <w:numId w:val="6"/>
        </w:numPr>
        <w:tabs>
          <w:tab w:val="left" w:pos="396"/>
        </w:tabs>
        <w:ind w:left="460" w:hanging="460"/>
        <w:jc w:val="both"/>
      </w:pPr>
      <w:r>
        <w:t xml:space="preserve">Spolu s odměnou a případnými extra náklady dle čl. IV. odst. 4 této smlouvy bude Agentura účtovat daň z přidané hodnoty v souladu s aktuálně platnými právními předpisy. Vystavené faktury budou </w:t>
      </w:r>
      <w:r>
        <w:lastRenderedPageBreak/>
        <w:t>neprodleně doručeny Klientovi a jsou splatné do 14 (slovy: čtrnácti) kalendářních dnů od data jejich vystavení.</w:t>
      </w:r>
    </w:p>
    <w:p w14:paraId="43282EB2" w14:textId="77777777" w:rsidR="00B75D1C" w:rsidRDefault="00692136">
      <w:pPr>
        <w:pStyle w:val="Zkladntext1"/>
        <w:numPr>
          <w:ilvl w:val="0"/>
          <w:numId w:val="6"/>
        </w:numPr>
        <w:tabs>
          <w:tab w:val="left" w:pos="396"/>
        </w:tabs>
        <w:ind w:left="460" w:hanging="460"/>
        <w:jc w:val="both"/>
      </w:pPr>
      <w:r>
        <w:t xml:space="preserve">Smluvní stany se dohodly, že faktury budou doručovány Klientovi následujícím způsobem: elektronické faktury na emailovou adresu Klienta: </w:t>
      </w:r>
      <w:hyperlink r:id="rId9" w:history="1">
        <w:r>
          <w:t>posta@mmp.cz</w:t>
        </w:r>
      </w:hyperlink>
      <w:r>
        <w:t>.</w:t>
      </w:r>
    </w:p>
    <w:p w14:paraId="7794444B" w14:textId="77777777" w:rsidR="00B75D1C" w:rsidRDefault="00692136">
      <w:pPr>
        <w:pStyle w:val="Zkladntext1"/>
        <w:numPr>
          <w:ilvl w:val="0"/>
          <w:numId w:val="6"/>
        </w:numPr>
        <w:tabs>
          <w:tab w:val="left" w:pos="396"/>
        </w:tabs>
        <w:spacing w:after="240"/>
        <w:ind w:left="460" w:hanging="460"/>
        <w:jc w:val="both"/>
      </w:pPr>
      <w:r>
        <w:t xml:space="preserve">Maximální výše finančního plnění poskytnutého Klientem Agentuře za dobu trvání smluvního vztahu na základě této smlouvy činí </w:t>
      </w:r>
      <w:r>
        <w:rPr>
          <w:b/>
          <w:bCs/>
        </w:rPr>
        <w:t xml:space="preserve">200.000,- Kč </w:t>
      </w:r>
      <w:r>
        <w:t>(slovy: dvě stě tisíc korun českých) bez DPH.</w:t>
      </w:r>
    </w:p>
    <w:p w14:paraId="0E0CE517" w14:textId="77777777" w:rsidR="00B75D1C" w:rsidRDefault="00692136">
      <w:pPr>
        <w:pStyle w:val="Nadpis20"/>
        <w:keepNext/>
        <w:keepLines/>
        <w:numPr>
          <w:ilvl w:val="0"/>
          <w:numId w:val="5"/>
        </w:numPr>
        <w:tabs>
          <w:tab w:val="left" w:pos="396"/>
        </w:tabs>
      </w:pPr>
      <w:bookmarkStart w:id="3" w:name="bookmark9"/>
      <w:r>
        <w:t>Garance</w:t>
      </w:r>
      <w:bookmarkEnd w:id="3"/>
    </w:p>
    <w:p w14:paraId="1FBD4FF1" w14:textId="77777777" w:rsidR="00B75D1C" w:rsidRDefault="00692136">
      <w:pPr>
        <w:pStyle w:val="Zkladntext1"/>
        <w:numPr>
          <w:ilvl w:val="0"/>
          <w:numId w:val="7"/>
        </w:numPr>
        <w:tabs>
          <w:tab w:val="left" w:pos="396"/>
        </w:tabs>
        <w:ind w:left="460" w:hanging="460"/>
        <w:jc w:val="both"/>
      </w:pPr>
      <w:r>
        <w:t>Pokud dojde k ukončení Zaměstnání Pracovníka v průběhu garanční doby uvedené níže, má Klient nárok na vrácení poměrné části zaplacené odměny dle této smlouvy, příp. na poskytnutí slevy v příslušné výši při následném poskytnutí služeb (resp. vyúčtování odměny za další služby) Agenturou, a to dle níže uvedených podmínek:</w:t>
      </w:r>
    </w:p>
    <w:p w14:paraId="3CB086F3" w14:textId="77777777" w:rsidR="00B75D1C" w:rsidRDefault="00692136">
      <w:pPr>
        <w:pStyle w:val="Zkladntext1"/>
        <w:numPr>
          <w:ilvl w:val="0"/>
          <w:numId w:val="8"/>
        </w:numPr>
        <w:tabs>
          <w:tab w:val="left" w:pos="754"/>
        </w:tabs>
        <w:ind w:left="740" w:hanging="280"/>
        <w:jc w:val="both"/>
      </w:pPr>
      <w:r>
        <w:t>v případě ukončení Zaměstnání v prvním měsíci zaměstnání: 90 % (slovy: devadesát procent) odměny za daného Pracovníka,</w:t>
      </w:r>
    </w:p>
    <w:p w14:paraId="5B35ED2B" w14:textId="77777777" w:rsidR="00B75D1C" w:rsidRDefault="00692136">
      <w:pPr>
        <w:pStyle w:val="Zkladntext1"/>
        <w:numPr>
          <w:ilvl w:val="0"/>
          <w:numId w:val="8"/>
        </w:numPr>
        <w:tabs>
          <w:tab w:val="left" w:pos="778"/>
        </w:tabs>
        <w:ind w:left="740" w:hanging="280"/>
        <w:jc w:val="both"/>
      </w:pPr>
      <w:r>
        <w:t>v případě ukončení Zaměstnání v druhém měsíci zaměstnání: 60 % (slovy: šedesát procent) odměny za daného Pracovníka,</w:t>
      </w:r>
    </w:p>
    <w:p w14:paraId="3ED8831B" w14:textId="77777777" w:rsidR="00B75D1C" w:rsidRDefault="00692136">
      <w:pPr>
        <w:pStyle w:val="Zkladntext1"/>
        <w:numPr>
          <w:ilvl w:val="0"/>
          <w:numId w:val="8"/>
        </w:numPr>
        <w:tabs>
          <w:tab w:val="left" w:pos="754"/>
        </w:tabs>
        <w:ind w:left="740" w:hanging="280"/>
        <w:jc w:val="both"/>
      </w:pPr>
      <w:r>
        <w:t xml:space="preserve">v případě </w:t>
      </w:r>
      <w:r>
        <w:t>ukončení Zaměstnání v třetím měsíci zaměstnání: 30 % (slovy: třicet procent) odměny za daného Pracovníka;</w:t>
      </w:r>
    </w:p>
    <w:p w14:paraId="132A7FA6" w14:textId="77777777" w:rsidR="00B75D1C" w:rsidRDefault="00692136">
      <w:pPr>
        <w:pStyle w:val="Zkladntext1"/>
        <w:numPr>
          <w:ilvl w:val="0"/>
          <w:numId w:val="8"/>
        </w:numPr>
        <w:tabs>
          <w:tab w:val="left" w:pos="768"/>
        </w:tabs>
        <w:ind w:left="740" w:hanging="280"/>
        <w:jc w:val="both"/>
      </w:pPr>
      <w:r>
        <w:t>v případě ukončení Zaměstnání ve čtvrtém měsíci zaměstnání: 10 % (slovy: deset procent) odměny za daného Pracovníka;</w:t>
      </w:r>
    </w:p>
    <w:p w14:paraId="606FB8CD" w14:textId="77777777" w:rsidR="00B75D1C" w:rsidRDefault="00692136">
      <w:pPr>
        <w:pStyle w:val="Zkladntext1"/>
        <w:ind w:left="460"/>
        <w:jc w:val="both"/>
      </w:pPr>
      <w:r>
        <w:t>pro účely tohoto ustanovení se měsícem rozumí 30 (slovy: třicet) kalendářních dnů po sobě jdoucích.</w:t>
      </w:r>
    </w:p>
    <w:p w14:paraId="391184D6" w14:textId="77777777" w:rsidR="00B75D1C" w:rsidRDefault="00692136">
      <w:pPr>
        <w:pStyle w:val="Zkladntext1"/>
        <w:numPr>
          <w:ilvl w:val="0"/>
          <w:numId w:val="7"/>
        </w:numPr>
        <w:tabs>
          <w:tab w:val="left" w:pos="396"/>
        </w:tabs>
        <w:ind w:left="460" w:hanging="460"/>
        <w:jc w:val="both"/>
      </w:pPr>
      <w:r>
        <w:t>Garance se nevztahují na situaci, kdy bylo ukončeno zaměstnání Pracovníka z důvodů uvedených v ustanovení § 52 písm. a), b), c), d) a § 56 zákoníku práce, nebo z důvodů prokazatelného nedodržení dohodnutých či právními předpisy stanovených pracovních podmínek ze strany Klienta.</w:t>
      </w:r>
    </w:p>
    <w:p w14:paraId="7021E2F3" w14:textId="77777777" w:rsidR="00B75D1C" w:rsidRDefault="00692136">
      <w:pPr>
        <w:pStyle w:val="Zkladntext1"/>
        <w:numPr>
          <w:ilvl w:val="0"/>
          <w:numId w:val="7"/>
        </w:numPr>
        <w:tabs>
          <w:tab w:val="left" w:pos="396"/>
        </w:tabs>
        <w:ind w:left="460" w:hanging="460"/>
        <w:jc w:val="both"/>
      </w:pPr>
      <w:r>
        <w:t>Klient je povinen informovat písemně Agenturu o ukončení zaměstnání Pracovníka a uplatnit nárok na garanci nejpozději do 10 (slovy: deseti) kalendářních dnů ode dne ukončení Zaměstnání Pracovníka, jinak tento nárok zaniká.</w:t>
      </w:r>
    </w:p>
    <w:p w14:paraId="5F0C82FB" w14:textId="77777777" w:rsidR="00B75D1C" w:rsidRDefault="00692136">
      <w:pPr>
        <w:pStyle w:val="Zkladntext1"/>
        <w:numPr>
          <w:ilvl w:val="0"/>
          <w:numId w:val="7"/>
        </w:numPr>
        <w:tabs>
          <w:tab w:val="left" w:pos="396"/>
        </w:tabs>
        <w:spacing w:after="240"/>
        <w:ind w:left="460" w:hanging="460"/>
        <w:jc w:val="both"/>
      </w:pPr>
      <w:r>
        <w:t>V případě, že je Klient v prodlení s úhradou více faktur, jimiž jsou účtovány odměny za Pracovníka po dobu delší než 10 (slovy: deset) kalendářních dní, může Agentura odmítnout uplatnění garančních podmínek na tohoto Pracovníka.</w:t>
      </w:r>
    </w:p>
    <w:p w14:paraId="7E09B703" w14:textId="77777777" w:rsidR="00B75D1C" w:rsidRDefault="00692136">
      <w:pPr>
        <w:pStyle w:val="Nadpis20"/>
        <w:keepNext/>
        <w:keepLines/>
        <w:numPr>
          <w:ilvl w:val="0"/>
          <w:numId w:val="5"/>
        </w:numPr>
        <w:tabs>
          <w:tab w:val="left" w:pos="428"/>
        </w:tabs>
      </w:pPr>
      <w:bookmarkStart w:id="4" w:name="bookmark11"/>
      <w:r>
        <w:t>Povinnost mlčenlivosti a ochrana osobních údajů</w:t>
      </w:r>
      <w:bookmarkEnd w:id="4"/>
    </w:p>
    <w:p w14:paraId="55BEFA81" w14:textId="77777777" w:rsidR="00B75D1C" w:rsidRDefault="00692136">
      <w:pPr>
        <w:pStyle w:val="Zkladntext1"/>
        <w:numPr>
          <w:ilvl w:val="0"/>
          <w:numId w:val="9"/>
        </w:numPr>
        <w:tabs>
          <w:tab w:val="left" w:pos="396"/>
        </w:tabs>
        <w:ind w:left="460" w:hanging="460"/>
        <w:jc w:val="both"/>
      </w:pPr>
      <w:r>
        <w:t>Smluvní strany se zavazují, že uchovají v tajnosti veškeré vzájemně si poskytnuté informace týkající se pracovních Pozic, personální politiky Klienta a vyhledaných Kandidátů a že tyto informace nezpřístupní žádné třetí osobě ani je nevyužijí ve svůj prospěch nebo ve prospěch třetí osoby nebo v neprospěch druhé smluvní strany, stejně tak uchovají v tajnosti veškeré další informace, které se dozvěděly v souvislosti s poskytnutím služby. Tato povinnost trvá i po ukončení smluvního vztahu a vzájemné spolupráce.</w:t>
      </w:r>
    </w:p>
    <w:p w14:paraId="1A9D0FFE" w14:textId="77777777" w:rsidR="00B75D1C" w:rsidRDefault="00692136">
      <w:pPr>
        <w:pStyle w:val="Zkladntext1"/>
        <w:numPr>
          <w:ilvl w:val="0"/>
          <w:numId w:val="9"/>
        </w:numPr>
        <w:tabs>
          <w:tab w:val="left" w:pos="396"/>
        </w:tabs>
        <w:ind w:left="460" w:hanging="460"/>
        <w:jc w:val="both"/>
      </w:pPr>
      <w:r>
        <w:t>Smluvní strany prohlašují, že zajistí ochranu osobních údajů týkající se zejména vyhledaných Kandidátů v souladu s platnými právními předpisy, zejména se zákonem č. 110/2019 Sb., o zpracování osobních údajů, ve znění pozdějších předpisů, a nařízením Evropského parlamentu a Rady (EU) 2016/679, o ochraně fyzických osob v souvislosti se zpracováním osobních údajů a o volném pohybu těchto údajů a o zrušení směrnice 95/46/ES (GDPR).</w:t>
      </w:r>
    </w:p>
    <w:p w14:paraId="167B30AF" w14:textId="77777777" w:rsidR="00B75D1C" w:rsidRDefault="00692136">
      <w:pPr>
        <w:pStyle w:val="Zkladntext1"/>
        <w:numPr>
          <w:ilvl w:val="0"/>
          <w:numId w:val="9"/>
        </w:numPr>
        <w:tabs>
          <w:tab w:val="left" w:pos="396"/>
        </w:tabs>
        <w:spacing w:after="240"/>
        <w:ind w:left="460" w:hanging="460"/>
        <w:jc w:val="both"/>
      </w:pPr>
      <w:r>
        <w:t>Smluvní strany berou na vědomí, že Agentura vystupuje v daném vztahu převážně jako správce osobních údajů a není tedy povinna se řídit jakýmikoli pokyny Klienta, pouze se v této souvislosti zavazuje plnit všechny povinnosti, které jsou vyžadovány příslušnými zákony.</w:t>
      </w:r>
    </w:p>
    <w:p w14:paraId="0F075FE7" w14:textId="77777777" w:rsidR="00B75D1C" w:rsidRDefault="00692136">
      <w:pPr>
        <w:pStyle w:val="Zkladntext1"/>
        <w:numPr>
          <w:ilvl w:val="0"/>
          <w:numId w:val="9"/>
        </w:numPr>
        <w:tabs>
          <w:tab w:val="left" w:pos="417"/>
        </w:tabs>
        <w:spacing w:after="240"/>
        <w:ind w:left="440" w:hanging="440"/>
        <w:jc w:val="both"/>
      </w:pPr>
      <w:r>
        <w:t>V případech, kdy Agentura vystupuje jako zpracovatel osobních údajů Kandidátů se zavazuje plnit veškeré povinnosti z tohoto postavení vyplývající. Dále se Agentura zavazuje, že se bude řídit pokyny Klienta jako správce osobních údajů Kandidátů. Klient se zavazuje k plnění všech povinností vyplývajících z postavení správce osobních údajů Kandidátů.</w:t>
      </w:r>
    </w:p>
    <w:p w14:paraId="28F6C87B" w14:textId="77777777" w:rsidR="00B75D1C" w:rsidRDefault="00692136">
      <w:pPr>
        <w:pStyle w:val="Nadpis20"/>
        <w:keepNext/>
        <w:keepLines/>
        <w:numPr>
          <w:ilvl w:val="0"/>
          <w:numId w:val="5"/>
        </w:numPr>
        <w:tabs>
          <w:tab w:val="left" w:pos="514"/>
        </w:tabs>
        <w:spacing w:line="259" w:lineRule="auto"/>
      </w:pPr>
      <w:bookmarkStart w:id="5" w:name="bookmark13"/>
      <w:r>
        <w:lastRenderedPageBreak/>
        <w:t>Doba trvání a ukončení smlouvy</w:t>
      </w:r>
      <w:bookmarkEnd w:id="5"/>
    </w:p>
    <w:p w14:paraId="1E75ECEE" w14:textId="77777777" w:rsidR="00B75D1C" w:rsidRDefault="00692136">
      <w:pPr>
        <w:pStyle w:val="Zkladntext1"/>
        <w:numPr>
          <w:ilvl w:val="0"/>
          <w:numId w:val="10"/>
        </w:numPr>
        <w:tabs>
          <w:tab w:val="left" w:pos="417"/>
        </w:tabs>
        <w:ind w:left="440" w:hanging="440"/>
        <w:jc w:val="both"/>
      </w:pPr>
      <w:r>
        <w:t>Tato smlouvy se uzavírá na dobu určitou a to na období jednoho roku (12 měsíců) od nabytí účinnosti této smlouvy. Smluvní vztah bude ukončen dříve, pokud bude před uplynutím sjednané doby vyčerpána maximální výše finančního plnění dle článku IV. odst. 7 této smlouvy. Za těchto okolností bude smluvní vztah ukončen jednostranně písemným oznámením Klienta, prokazatelně doručeném Agentuře, o vyčerpání maximálního finančního plnění při poskytování služeb v oblasti recruitmentu.</w:t>
      </w:r>
    </w:p>
    <w:p w14:paraId="2D0F1C90" w14:textId="77777777" w:rsidR="00B75D1C" w:rsidRDefault="00692136">
      <w:pPr>
        <w:pStyle w:val="Zkladntext1"/>
        <w:numPr>
          <w:ilvl w:val="0"/>
          <w:numId w:val="10"/>
        </w:numPr>
        <w:tabs>
          <w:tab w:val="left" w:pos="417"/>
        </w:tabs>
        <w:ind w:left="440" w:hanging="440"/>
        <w:jc w:val="both"/>
      </w:pPr>
      <w:r>
        <w:t>Před uplynutím doby trvání smluvního vztahu dle odst. 1 tohoto článku smlouvy smlouva může být rovněž ukončena písemnou dohodou smluvních stran.</w:t>
      </w:r>
    </w:p>
    <w:p w14:paraId="37C77955" w14:textId="77777777" w:rsidR="00B75D1C" w:rsidRDefault="00692136">
      <w:pPr>
        <w:pStyle w:val="Zkladntext1"/>
        <w:numPr>
          <w:ilvl w:val="0"/>
          <w:numId w:val="10"/>
        </w:numPr>
        <w:tabs>
          <w:tab w:val="left" w:pos="417"/>
        </w:tabs>
        <w:ind w:left="440" w:hanging="440"/>
        <w:jc w:val="both"/>
      </w:pPr>
      <w:r>
        <w:t>Kterákoliv ze Smluvních stran může od této smlouvy odstoupit v případě podstatného porušení povinnosti druhé smluvní strany, kterým se mimo jiné rozumí porušení povinností uvedených v čl. III. odst. 2, 7, 8, 9 a 10, závazku mlčenlivosti, prodlení při poskytnutí součinnosti, kontaktování vyhledaných Kandidátů jinak než prostřednictvím Agentury a prodlení se zaplacením dlužné platby po dobu delší než 30 (slovy: třicet) kalendářních dní.</w:t>
      </w:r>
    </w:p>
    <w:p w14:paraId="7A86947B" w14:textId="77777777" w:rsidR="00B75D1C" w:rsidRDefault="00692136">
      <w:pPr>
        <w:pStyle w:val="Zkladntext1"/>
        <w:numPr>
          <w:ilvl w:val="0"/>
          <w:numId w:val="10"/>
        </w:numPr>
        <w:tabs>
          <w:tab w:val="left" w:pos="417"/>
        </w:tabs>
        <w:spacing w:after="240"/>
        <w:ind w:left="440" w:hanging="440"/>
        <w:jc w:val="both"/>
      </w:pPr>
      <w:r>
        <w:t>Ukončením této smlouvy není dotčena povinnost mlčenlivosti dle čl. VI. této smlouvy, a závazky definované v čl. IV. a V.</w:t>
      </w:r>
    </w:p>
    <w:p w14:paraId="17FB3463" w14:textId="77777777" w:rsidR="00B75D1C" w:rsidRDefault="00692136">
      <w:pPr>
        <w:pStyle w:val="Nadpis20"/>
        <w:keepNext/>
        <w:keepLines/>
        <w:numPr>
          <w:ilvl w:val="0"/>
          <w:numId w:val="5"/>
        </w:numPr>
        <w:tabs>
          <w:tab w:val="left" w:pos="601"/>
        </w:tabs>
        <w:spacing w:line="259" w:lineRule="auto"/>
      </w:pPr>
      <w:bookmarkStart w:id="6" w:name="bookmark15"/>
      <w:r>
        <w:t>Závěrečná ustanovení</w:t>
      </w:r>
      <w:bookmarkEnd w:id="6"/>
    </w:p>
    <w:p w14:paraId="1B157DA1" w14:textId="77777777" w:rsidR="00B75D1C" w:rsidRDefault="00692136">
      <w:pPr>
        <w:pStyle w:val="Zkladntext1"/>
        <w:numPr>
          <w:ilvl w:val="0"/>
          <w:numId w:val="11"/>
        </w:numPr>
        <w:tabs>
          <w:tab w:val="left" w:pos="417"/>
        </w:tabs>
        <w:ind w:left="440" w:hanging="440"/>
        <w:jc w:val="both"/>
      </w:pPr>
      <w:r>
        <w:t>Tato smlouva a práva a povinnosti z této smlouvy vyplývající se řídí právním řádem České republiky, primárně potom ustanoveními zákona č. 89/2012 Sb., občanský zákoník, ve znění pozdějších předpisů (dále jen „občanský zákoník“). Jakýkoliv spor týkající se této smlouvy nebo z této smlouvy vyplývající bude rozhodován výlučně českým soudem.</w:t>
      </w:r>
    </w:p>
    <w:p w14:paraId="22813DCA" w14:textId="77777777" w:rsidR="00B75D1C" w:rsidRDefault="00692136">
      <w:pPr>
        <w:pStyle w:val="Zkladntext1"/>
        <w:numPr>
          <w:ilvl w:val="0"/>
          <w:numId w:val="11"/>
        </w:numPr>
        <w:tabs>
          <w:tab w:val="left" w:pos="408"/>
          <w:tab w:val="left" w:pos="417"/>
        </w:tabs>
        <w:spacing w:line="259" w:lineRule="auto"/>
        <w:jc w:val="both"/>
      </w:pPr>
      <w:r>
        <w:t>Je-li nebo stane-li se některé ustanovení této smlouvy neplatné nebo neúčinné, nedotýká se to</w:t>
      </w:r>
    </w:p>
    <w:p w14:paraId="532C3FFB" w14:textId="77777777" w:rsidR="00B75D1C" w:rsidRDefault="00692136">
      <w:pPr>
        <w:pStyle w:val="Zkladntext1"/>
        <w:spacing w:line="259" w:lineRule="auto"/>
        <w:ind w:left="440" w:firstLine="20"/>
        <w:jc w:val="both"/>
      </w:pPr>
      <w:r>
        <w:t xml:space="preserve">ostatních </w:t>
      </w:r>
      <w:r>
        <w:t>ustanovení této smlouvy, která zůstávají platná a účinná. Smluvní strany se v tomto případě zavazují dohodou nahradit ustanovení neplatné nebo neúčinné ustanovením platným a účinným, které nejlépe odpovídá původně zamýšlenému účelu ustanovení neplatného nebo neúčinného.</w:t>
      </w:r>
    </w:p>
    <w:p w14:paraId="639F529A" w14:textId="77777777" w:rsidR="00B75D1C" w:rsidRDefault="00692136">
      <w:pPr>
        <w:pStyle w:val="Zkladntext1"/>
        <w:numPr>
          <w:ilvl w:val="0"/>
          <w:numId w:val="11"/>
        </w:numPr>
        <w:tabs>
          <w:tab w:val="left" w:pos="417"/>
        </w:tabs>
        <w:spacing w:line="259" w:lineRule="auto"/>
        <w:ind w:left="440" w:hanging="440"/>
        <w:jc w:val="both"/>
      </w:pPr>
      <w:r>
        <w:t>Tuto smlouvu lze změnit nebo zrušit jen písemně, nevyplývá-li z jejích ustanovení něco jiného. Písemné změny této smlouvy lze provádět pouze formou písemných dodatků odsouhlasených oběma Smluvními stranami.</w:t>
      </w:r>
    </w:p>
    <w:p w14:paraId="7230D6A7" w14:textId="77777777" w:rsidR="00B75D1C" w:rsidRDefault="00692136">
      <w:pPr>
        <w:pStyle w:val="Zkladntext1"/>
        <w:numPr>
          <w:ilvl w:val="0"/>
          <w:numId w:val="11"/>
        </w:numPr>
        <w:tabs>
          <w:tab w:val="left" w:pos="417"/>
        </w:tabs>
        <w:spacing w:line="259" w:lineRule="auto"/>
        <w:ind w:left="440" w:hanging="440"/>
        <w:jc w:val="both"/>
      </w:pPr>
      <w:r>
        <w:t>Tato smlouva nabývá platnosti dnem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6A7B668" w14:textId="77777777" w:rsidR="00B75D1C" w:rsidRDefault="00692136">
      <w:pPr>
        <w:pStyle w:val="Zkladntext1"/>
        <w:numPr>
          <w:ilvl w:val="0"/>
          <w:numId w:val="11"/>
        </w:numPr>
        <w:tabs>
          <w:tab w:val="left" w:pos="417"/>
        </w:tabs>
        <w:spacing w:line="259" w:lineRule="auto"/>
        <w:ind w:left="440" w:hanging="440"/>
        <w:jc w:val="both"/>
      </w:pPr>
      <w:r>
        <w:t>Smluvní strany se dohodly, že Klient bezodkladně po uzavření této smlouvy odešle ji k řádnému uveřejnění do registru smluv. O uveřejnění této smlouvy Klient bezodkladně informuje druhou Smluvní stranu.</w:t>
      </w:r>
    </w:p>
    <w:p w14:paraId="7B0DA9CA" w14:textId="77777777" w:rsidR="00B75D1C" w:rsidRDefault="00692136">
      <w:pPr>
        <w:pStyle w:val="Zkladntext1"/>
        <w:numPr>
          <w:ilvl w:val="0"/>
          <w:numId w:val="11"/>
        </w:numPr>
        <w:tabs>
          <w:tab w:val="left" w:pos="417"/>
        </w:tabs>
        <w:spacing w:line="259" w:lineRule="auto"/>
        <w:ind w:left="440" w:hanging="440"/>
        <w:jc w:val="both"/>
      </w:pPr>
      <w:r>
        <w:t>Smluvní strany berou na vědomí, že nebude-li smlouva zveřejněna ani do tří měsíců od jejího uzavření, je následujícím dnem zrušena od počátku s účinky případného bezdůvodného obohacení.</w:t>
      </w:r>
    </w:p>
    <w:p w14:paraId="5637ADCE" w14:textId="77777777" w:rsidR="00B75D1C" w:rsidRDefault="00692136">
      <w:pPr>
        <w:pStyle w:val="Zkladntext1"/>
        <w:numPr>
          <w:ilvl w:val="0"/>
          <w:numId w:val="11"/>
        </w:numPr>
        <w:tabs>
          <w:tab w:val="left" w:pos="417"/>
        </w:tabs>
        <w:spacing w:line="259" w:lineRule="auto"/>
        <w:ind w:left="440" w:hanging="440"/>
        <w:jc w:val="both"/>
      </w:pPr>
      <w:r>
        <w:t>Smluvní strany prohlašují, že žádná část smlouvy nenaplňuje znaky obchodního tajemství (§ 504 občanského zákoníku).</w:t>
      </w:r>
    </w:p>
    <w:p w14:paraId="3113A8C1" w14:textId="77777777" w:rsidR="00B75D1C" w:rsidRDefault="00692136">
      <w:pPr>
        <w:pStyle w:val="Zkladntext1"/>
        <w:numPr>
          <w:ilvl w:val="0"/>
          <w:numId w:val="11"/>
        </w:numPr>
        <w:tabs>
          <w:tab w:val="left" w:pos="417"/>
        </w:tabs>
        <w:spacing w:line="259" w:lineRule="auto"/>
        <w:ind w:left="440" w:hanging="440"/>
        <w:jc w:val="both"/>
      </w:pPr>
      <w:r>
        <w:t>Smluvní strany se dohodly, že smlouva bude uveřejněna bez takových údajů, jakými jsou rodné číslo, e-mailová adresa, telefonní číslo, číslo účtu fyzické osoby, bydliště/sídlo fyzické osoby. Pokud smlouva obsahuje osobní údaje, které nejsou zahrnuty v předchozím výčtu a které zároveň nepodléhají uveřejnění dle příslušných právních předpisů, poskytuje Agentura svůj souhlas se zpracováním těchto údajů, konkrétně s jejich zveřejněním v registru smluv ve smyslu zákona o</w:t>
      </w:r>
      <w:r>
        <w:br w:type="page"/>
      </w:r>
      <w:r>
        <w:lastRenderedPageBreak/>
        <w:t>registru smluv. Souhlas se uděluje na dobu neurčitou a je poskytnut dobrovolně. Smluvní strany se dohodly, že smlouva bude uveřejněna bez podpisů Smluvních stran.</w:t>
      </w:r>
    </w:p>
    <w:p w14:paraId="5A3DC3B0" w14:textId="77777777" w:rsidR="00B75D1C" w:rsidRDefault="00692136">
      <w:pPr>
        <w:pStyle w:val="Zkladntext1"/>
        <w:numPr>
          <w:ilvl w:val="0"/>
          <w:numId w:val="11"/>
        </w:numPr>
        <w:tabs>
          <w:tab w:val="left" w:pos="408"/>
        </w:tabs>
        <w:spacing w:line="254" w:lineRule="auto"/>
        <w:ind w:left="440" w:hanging="440"/>
      </w:pPr>
      <w:r>
        <w:t>Tato smlouva se vyhotovuje v jednom elektronickém vyhotovení s připojenými zaručenými digitálními podpisy obou smluvních stran.</w:t>
      </w:r>
    </w:p>
    <w:p w14:paraId="0E890D09" w14:textId="77777777" w:rsidR="00B75D1C" w:rsidRDefault="00692136">
      <w:pPr>
        <w:pStyle w:val="Zkladntext1"/>
        <w:numPr>
          <w:ilvl w:val="0"/>
          <w:numId w:val="11"/>
        </w:numPr>
        <w:tabs>
          <w:tab w:val="left" w:pos="411"/>
        </w:tabs>
        <w:spacing w:after="240" w:line="254" w:lineRule="auto"/>
        <w:ind w:left="440" w:hanging="440"/>
      </w:pPr>
      <w:r>
        <w:t>Smluvní strany prohlašují, že si tuto smlouvy přečetly a s jejím obsahem souhlasí, což stvrzují svými zaručenými digitálními podpisy.</w:t>
      </w:r>
    </w:p>
    <w:p w14:paraId="3AC5BA6F" w14:textId="77777777" w:rsidR="00B75D1C" w:rsidRDefault="00692136">
      <w:pPr>
        <w:pStyle w:val="Zkladntext1"/>
      </w:pPr>
      <w:r>
        <w:rPr>
          <w:noProof/>
        </w:rPr>
        <mc:AlternateContent>
          <mc:Choice Requires="wps">
            <w:drawing>
              <wp:anchor distT="0" distB="0" distL="114300" distR="114300" simplePos="0" relativeHeight="125829378" behindDoc="0" locked="0" layoutInCell="1" allowOverlap="1" wp14:anchorId="70CC3092" wp14:editId="647057AF">
                <wp:simplePos x="0" y="0"/>
                <wp:positionH relativeFrom="page">
                  <wp:posOffset>4027805</wp:posOffset>
                </wp:positionH>
                <wp:positionV relativeFrom="paragraph">
                  <wp:posOffset>12700</wp:posOffset>
                </wp:positionV>
                <wp:extent cx="664210" cy="1739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64210" cy="173990"/>
                        </a:xfrm>
                        <a:prstGeom prst="rect">
                          <a:avLst/>
                        </a:prstGeom>
                        <a:noFill/>
                      </wps:spPr>
                      <wps:txbx>
                        <w:txbxContent>
                          <w:p w14:paraId="3DDFBB79" w14:textId="77777777" w:rsidR="00B75D1C" w:rsidRDefault="00692136">
                            <w:pPr>
                              <w:pStyle w:val="Zkladntext1"/>
                            </w:pPr>
                            <w:r>
                              <w:rPr>
                                <w:lang w:val="en-US" w:eastAsia="en-US" w:bidi="en-US"/>
                              </w:rPr>
                              <w:t>Za Klienta:</w:t>
                            </w:r>
                          </w:p>
                        </w:txbxContent>
                      </wps:txbx>
                      <wps:bodyPr wrap="none" lIns="0" tIns="0" rIns="0" bIns="0"/>
                    </wps:wsp>
                  </a:graphicData>
                </a:graphic>
              </wp:anchor>
            </w:drawing>
          </mc:Choice>
          <mc:Fallback>
            <w:pict>
              <v:shapetype w14:anchorId="70CC3092" id="_x0000_t202" coordsize="21600,21600" o:spt="202" path="m,l,21600r21600,l21600,xe">
                <v:stroke joinstyle="miter"/>
                <v:path gradientshapeok="t" o:connecttype="rect"/>
              </v:shapetype>
              <v:shape id="Shape 1" o:spid="_x0000_s1026" type="#_x0000_t202" style="position:absolute;margin-left:317.15pt;margin-top:1pt;width:52.3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" filled="f" stroked="f">
                <v:textbox inset="0,0,0,0">
                  <w:txbxContent>
                    <w:p w14:paraId="3DDFBB79" w14:textId="77777777" w:rsidR="00B75D1C" w:rsidRDefault="00692136">
                      <w:pPr>
                        <w:pStyle w:val="Zkladntext1"/>
                      </w:pPr>
                      <w:r>
                        <w:rPr>
                          <w:lang w:val="en-US" w:eastAsia="en-US" w:bidi="en-US"/>
                        </w:rPr>
                        <w:t>Za Klienta:</w:t>
                      </w:r>
                    </w:p>
                  </w:txbxContent>
                </v:textbox>
                <w10:wrap type="square" side="left" anchorx="page"/>
              </v:shape>
            </w:pict>
          </mc:Fallback>
        </mc:AlternateContent>
      </w:r>
      <w:r>
        <w:t>Za ADECCO spol. s r. o.:</w:t>
      </w:r>
    </w:p>
    <w:p w14:paraId="4E8DF596" w14:textId="77777777" w:rsidR="00B75D1C" w:rsidRDefault="00692136">
      <w:pPr>
        <w:spacing w:line="1" w:lineRule="exact"/>
      </w:pPr>
      <w:r>
        <w:rPr>
          <w:noProof/>
        </w:rPr>
        <mc:AlternateContent>
          <mc:Choice Requires="wps">
            <w:drawing>
              <wp:anchor distT="0" distB="0" distL="0" distR="0" simplePos="0" relativeHeight="125829380" behindDoc="0" locked="0" layoutInCell="1" allowOverlap="1" wp14:anchorId="44E0BE26" wp14:editId="7CEB8F05">
                <wp:simplePos x="0" y="0"/>
                <wp:positionH relativeFrom="page">
                  <wp:posOffset>934085</wp:posOffset>
                </wp:positionH>
                <wp:positionV relativeFrom="paragraph">
                  <wp:posOffset>0</wp:posOffset>
                </wp:positionV>
                <wp:extent cx="948055" cy="97853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48055" cy="978535"/>
                        </a:xfrm>
                        <a:prstGeom prst="rect">
                          <a:avLst/>
                        </a:prstGeom>
                        <a:noFill/>
                      </wps:spPr>
                      <wps:txbx>
                        <w:txbxContent>
                          <w:p w14:paraId="52370A82" w14:textId="77777777" w:rsidR="00B75D1C" w:rsidRDefault="00692136">
                            <w:pPr>
                              <w:pStyle w:val="Zkladntext50"/>
                            </w:pPr>
                            <w:r>
                              <w:t>Kamila Hlubučkov á Stejskalová</w:t>
                            </w:r>
                          </w:p>
                        </w:txbxContent>
                      </wps:txbx>
                      <wps:bodyPr lIns="0" tIns="0" rIns="0" bIns="0"/>
                    </wps:wsp>
                  </a:graphicData>
                </a:graphic>
              </wp:anchor>
            </w:drawing>
          </mc:Choice>
          <mc:Fallback>
            <w:pict>
              <v:shape w14:anchorId="44E0BE26" id="Shape 3" o:spid="_x0000_s1027" type="#_x0000_t202" style="position:absolute;margin-left:73.55pt;margin-top:0;width:74.65pt;height:77.05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" filled="f" stroked="f">
                <v:textbox inset="0,0,0,0">
                  <w:txbxContent>
                    <w:p w14:paraId="52370A82" w14:textId="77777777" w:rsidR="00B75D1C" w:rsidRDefault="00692136">
                      <w:pPr>
                        <w:pStyle w:val="Zkladntext50"/>
                      </w:pPr>
                      <w:r>
                        <w:t>Kamila Hlubučkov á Stejskalová</w:t>
                      </w:r>
                    </w:p>
                  </w:txbxContent>
                </v:textbox>
                <w10:wrap type="topAndBottom" anchorx="page"/>
              </v:shape>
            </w:pict>
          </mc:Fallback>
        </mc:AlternateContent>
      </w:r>
      <w:r>
        <w:rPr>
          <w:noProof/>
        </w:rPr>
        <mc:AlternateContent>
          <mc:Choice Requires="wps">
            <w:drawing>
              <wp:anchor distT="39370" distB="9525" distL="0" distR="0" simplePos="0" relativeHeight="125829382" behindDoc="0" locked="0" layoutInCell="1" allowOverlap="1" wp14:anchorId="73DA9D23" wp14:editId="24CB3E54">
                <wp:simplePos x="0" y="0"/>
                <wp:positionH relativeFrom="page">
                  <wp:posOffset>1924685</wp:posOffset>
                </wp:positionH>
                <wp:positionV relativeFrom="paragraph">
                  <wp:posOffset>39370</wp:posOffset>
                </wp:positionV>
                <wp:extent cx="966470" cy="92964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66470" cy="929640"/>
                        </a:xfrm>
                        <a:prstGeom prst="rect">
                          <a:avLst/>
                        </a:prstGeom>
                        <a:noFill/>
                      </wps:spPr>
                      <wps:txbx>
                        <w:txbxContent>
                          <w:p w14:paraId="6ADF37FF" w14:textId="77777777" w:rsidR="00B75D1C" w:rsidRDefault="00692136">
                            <w:pPr>
                              <w:pStyle w:val="Zkladntext20"/>
                            </w:pPr>
                            <w:r>
                              <w:rPr>
                                <w:lang w:val="en-US" w:eastAsia="en-US" w:bidi="en-US"/>
                              </w:rPr>
                              <w:t xml:space="preserve">Digitally signed </w:t>
                            </w:r>
                            <w:r>
                              <w:t>by Kamila Hlubučková Stejskalová DN: c=CZ, 2.5.4.97=NTRCZ-45806403, o=ADECCO spol.s r.o., ou=0011477, cn=Kamila Hlubučková Stejskalová, sn=Hlubučková Stejskalová, givenName=Kamila, serialNumber=P1029855</w:t>
                            </w:r>
                          </w:p>
                          <w:p w14:paraId="10742674" w14:textId="77777777" w:rsidR="00B75D1C" w:rsidRDefault="00692136">
                            <w:pPr>
                              <w:pStyle w:val="Zkladntext20"/>
                            </w:pPr>
                            <w:r>
                              <w:rPr>
                                <w:lang w:val="en-US" w:eastAsia="en-US" w:bidi="en-US"/>
                              </w:rPr>
                              <w:t xml:space="preserve">Date: </w:t>
                            </w:r>
                            <w:r>
                              <w:t>2026.01.29 15:05:20 +01'00'</w:t>
                            </w:r>
                          </w:p>
                        </w:txbxContent>
                      </wps:txbx>
                      <wps:bodyPr lIns="0" tIns="0" rIns="0" bIns="0"/>
                    </wps:wsp>
                  </a:graphicData>
                </a:graphic>
              </wp:anchor>
            </w:drawing>
          </mc:Choice>
          <mc:Fallback>
            <w:pict>
              <v:shape w14:anchorId="73DA9D23" id="Shape 5" o:spid="_x0000_s1028" type="#_x0000_t202" style="position:absolute;margin-left:151.55pt;margin-top:3.1pt;width:76.1pt;height:73.2pt;z-index:125829382;visibility:visible;mso-wrap-style:square;mso-wrap-distance-left:0;mso-wrap-distance-top:3.1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" filled="f" stroked="f">
                <v:textbox inset="0,0,0,0">
                  <w:txbxContent>
                    <w:p w14:paraId="6ADF37FF" w14:textId="77777777" w:rsidR="00B75D1C" w:rsidRDefault="00692136">
                      <w:pPr>
                        <w:pStyle w:val="Zkladntext20"/>
                      </w:pPr>
                      <w:r>
                        <w:rPr>
                          <w:lang w:val="en-US" w:eastAsia="en-US" w:bidi="en-US"/>
                        </w:rPr>
                        <w:t xml:space="preserve">Digitally signed </w:t>
                      </w:r>
                      <w:r>
                        <w:t>by Kamila Hlubučková Stejskalová DN: c=CZ, 2.5.4.97=NTRCZ-45806403, o=ADECCO spol.s r.o., ou=0011477, cn=Kamila Hlubučková Stejskalová, sn=Hlubučková Stejskalová, givenName=Kamila, serialNumber=P1029855</w:t>
                      </w:r>
                    </w:p>
                    <w:p w14:paraId="10742674" w14:textId="77777777" w:rsidR="00B75D1C" w:rsidRDefault="00692136">
                      <w:pPr>
                        <w:pStyle w:val="Zkladntext20"/>
                      </w:pPr>
                      <w:r>
                        <w:rPr>
                          <w:lang w:val="en-US" w:eastAsia="en-US" w:bidi="en-US"/>
                        </w:rPr>
                        <w:t xml:space="preserve">Date: </w:t>
                      </w:r>
                      <w:r>
                        <w:t>2026.01.29 15:05:20 +01'00'</w:t>
                      </w:r>
                    </w:p>
                  </w:txbxContent>
                </v:textbox>
                <w10:wrap type="topAndBottom" anchorx="page"/>
              </v:shape>
            </w:pict>
          </mc:Fallback>
        </mc:AlternateContent>
      </w:r>
      <w:r>
        <w:rPr>
          <w:noProof/>
        </w:rPr>
        <mc:AlternateContent>
          <mc:Choice Requires="wps">
            <w:drawing>
              <wp:anchor distT="167640" distB="109855" distL="0" distR="0" simplePos="0" relativeHeight="125829384" behindDoc="0" locked="0" layoutInCell="1" allowOverlap="1" wp14:anchorId="2422E4AC" wp14:editId="69AB7140">
                <wp:simplePos x="0" y="0"/>
                <wp:positionH relativeFrom="page">
                  <wp:posOffset>4164965</wp:posOffset>
                </wp:positionH>
                <wp:positionV relativeFrom="paragraph">
                  <wp:posOffset>167640</wp:posOffset>
                </wp:positionV>
                <wp:extent cx="1517650" cy="7010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517650" cy="701040"/>
                        </a:xfrm>
                        <a:prstGeom prst="rect">
                          <a:avLst/>
                        </a:prstGeom>
                        <a:noFill/>
                      </wps:spPr>
                      <wps:txbx>
                        <w:txbxContent>
                          <w:p w14:paraId="72786A2B" w14:textId="77777777" w:rsidR="00B75D1C" w:rsidRDefault="00692136">
                            <w:pPr>
                              <w:pStyle w:val="Zkladntext60"/>
                            </w:pPr>
                            <w:r>
                              <w:t>Jiří Turek</w:t>
                            </w:r>
                          </w:p>
                          <w:p w14:paraId="108DF7DF" w14:textId="77777777" w:rsidR="00B75D1C" w:rsidRDefault="00692136">
                            <w:pPr>
                              <w:pStyle w:val="Zkladntext40"/>
                              <w:ind w:firstLine="0"/>
                            </w:pPr>
                            <w:r>
                              <w:rPr>
                                <w:color w:val="E2001A"/>
                              </w:rPr>
                              <w:t xml:space="preserve">IRM </w:t>
                            </w:r>
                            <w:r>
                              <w:t>Digitální podpis:</w:t>
                            </w:r>
                          </w:p>
                          <w:p w14:paraId="316AF06B" w14:textId="77777777" w:rsidR="00B75D1C" w:rsidRDefault="00692136">
                            <w:pPr>
                              <w:pStyle w:val="Zkladntext40"/>
                              <w:ind w:firstLine="640"/>
                            </w:pPr>
                            <w:r>
                              <w:t>11.02.2026 08:41</w:t>
                            </w:r>
                          </w:p>
                        </w:txbxContent>
                      </wps:txbx>
                      <wps:bodyPr lIns="0" tIns="0" rIns="0" bIns="0"/>
                    </wps:wsp>
                  </a:graphicData>
                </a:graphic>
              </wp:anchor>
            </w:drawing>
          </mc:Choice>
          <mc:Fallback>
            <w:pict>
              <v:shape w14:anchorId="2422E4AC" id="Shape 7" o:spid="_x0000_s1029" type="#_x0000_t202" style="position:absolute;margin-left:327.95pt;margin-top:13.2pt;width:119.5pt;height:55.2pt;z-index:125829384;visibility:visible;mso-wrap-style:square;mso-wrap-distance-left:0;mso-wrap-distance-top:13.2pt;mso-wrap-distance-right:0;mso-wrap-distance-bottom: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" filled="f" stroked="f">
                <v:textbox inset="0,0,0,0">
                  <w:txbxContent>
                    <w:p w14:paraId="72786A2B" w14:textId="77777777" w:rsidR="00B75D1C" w:rsidRDefault="00692136">
                      <w:pPr>
                        <w:pStyle w:val="Zkladntext60"/>
                      </w:pPr>
                      <w:r>
                        <w:t>Jiří Turek</w:t>
                      </w:r>
                    </w:p>
                    <w:p w14:paraId="108DF7DF" w14:textId="77777777" w:rsidR="00B75D1C" w:rsidRDefault="00692136">
                      <w:pPr>
                        <w:pStyle w:val="Zkladntext40"/>
                        <w:ind w:firstLine="0"/>
                      </w:pPr>
                      <w:r>
                        <w:rPr>
                          <w:color w:val="E2001A"/>
                        </w:rPr>
                        <w:t xml:space="preserve">IRM </w:t>
                      </w:r>
                      <w:r>
                        <w:t>Digitální podpis:</w:t>
                      </w:r>
                    </w:p>
                    <w:p w14:paraId="316AF06B" w14:textId="77777777" w:rsidR="00B75D1C" w:rsidRDefault="00692136">
                      <w:pPr>
                        <w:pStyle w:val="Zkladntext40"/>
                        <w:ind w:firstLine="640"/>
                      </w:pPr>
                      <w:r>
                        <w:t>11.02.2026 08:41</w:t>
                      </w:r>
                    </w:p>
                  </w:txbxContent>
                </v:textbox>
                <w10:wrap type="topAndBottom" anchorx="page"/>
              </v:shape>
            </w:pict>
          </mc:Fallback>
        </mc:AlternateContent>
      </w:r>
    </w:p>
    <w:p w14:paraId="37135D59" w14:textId="77777777" w:rsidR="00B75D1C" w:rsidRDefault="00692136">
      <w:pPr>
        <w:spacing w:line="1" w:lineRule="exact"/>
      </w:pPr>
      <w:r>
        <w:rPr>
          <w:noProof/>
        </w:rPr>
        <mc:AlternateContent>
          <mc:Choice Requires="wps">
            <w:drawing>
              <wp:anchor distT="63500" distB="0" distL="0" distR="0" simplePos="0" relativeHeight="125829386" behindDoc="0" locked="0" layoutInCell="1" allowOverlap="1" wp14:anchorId="71248B20" wp14:editId="21FA3387">
                <wp:simplePos x="0" y="0"/>
                <wp:positionH relativeFrom="page">
                  <wp:posOffset>882015</wp:posOffset>
                </wp:positionH>
                <wp:positionV relativeFrom="paragraph">
                  <wp:posOffset>63500</wp:posOffset>
                </wp:positionV>
                <wp:extent cx="1844040" cy="3416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844040" cy="341630"/>
                        </a:xfrm>
                        <a:prstGeom prst="rect">
                          <a:avLst/>
                        </a:prstGeom>
                        <a:noFill/>
                      </wps:spPr>
                      <wps:txbx>
                        <w:txbxContent>
                          <w:p w14:paraId="0AB82B91" w14:textId="77777777" w:rsidR="00B75D1C" w:rsidRDefault="00692136">
                            <w:pPr>
                              <w:pStyle w:val="Zkladntext1"/>
                              <w:pBdr>
                                <w:top w:val="single" w:sz="4" w:space="0" w:color="auto"/>
                              </w:pBdr>
                            </w:pPr>
                            <w:r>
                              <w:rPr>
                                <w:lang w:val="en-US" w:eastAsia="en-US" w:bidi="en-US"/>
                              </w:rPr>
                              <w:t xml:space="preserve">Kamila </w:t>
                            </w:r>
                            <w:r>
                              <w:t>Hlubučková Stejskalová</w:t>
                            </w:r>
                          </w:p>
                          <w:p w14:paraId="566C0129" w14:textId="77777777" w:rsidR="00B75D1C" w:rsidRDefault="00692136">
                            <w:pPr>
                              <w:pStyle w:val="Zkladntext1"/>
                            </w:pPr>
                            <w:r>
                              <w:rPr>
                                <w:lang w:val="en-US" w:eastAsia="en-US" w:bidi="en-US"/>
                              </w:rPr>
                              <w:t>Branch Manager</w:t>
                            </w:r>
                          </w:p>
                        </w:txbxContent>
                      </wps:txbx>
                      <wps:bodyPr lIns="0" tIns="0" rIns="0" bIns="0"/>
                    </wps:wsp>
                  </a:graphicData>
                </a:graphic>
              </wp:anchor>
            </w:drawing>
          </mc:Choice>
          <mc:Fallback>
            <w:pict>
              <v:shape w14:anchorId="71248B20" id="Shape 9" o:spid="_x0000_s1030" type="#_x0000_t202" style="position:absolute;margin-left:69.45pt;margin-top:5pt;width:145.2pt;height:26.9pt;z-index:125829386;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" filled="f" stroked="f">
                <v:textbox inset="0,0,0,0">
                  <w:txbxContent>
                    <w:p w14:paraId="0AB82B91" w14:textId="77777777" w:rsidR="00B75D1C" w:rsidRDefault="00692136">
                      <w:pPr>
                        <w:pStyle w:val="Zkladntext1"/>
                        <w:pBdr>
                          <w:top w:val="single" w:sz="4" w:space="0" w:color="auto"/>
                        </w:pBdr>
                      </w:pPr>
                      <w:r>
                        <w:rPr>
                          <w:lang w:val="en-US" w:eastAsia="en-US" w:bidi="en-US"/>
                        </w:rPr>
                        <w:t xml:space="preserve">Kamila </w:t>
                      </w:r>
                      <w:r>
                        <w:t>Hlubučková Stejskalová</w:t>
                      </w:r>
                    </w:p>
                    <w:p w14:paraId="566C0129" w14:textId="77777777" w:rsidR="00B75D1C" w:rsidRDefault="00692136">
                      <w:pPr>
                        <w:pStyle w:val="Zkladntext1"/>
                      </w:pPr>
                      <w:r>
                        <w:rPr>
                          <w:lang w:val="en-US" w:eastAsia="en-US" w:bidi="en-US"/>
                        </w:rPr>
                        <w:t>Branch Manager</w:t>
                      </w:r>
                    </w:p>
                  </w:txbxContent>
                </v:textbox>
                <w10:wrap type="topAndBottom" anchorx="page"/>
              </v:shape>
            </w:pict>
          </mc:Fallback>
        </mc:AlternateContent>
      </w:r>
      <w:r>
        <w:rPr>
          <w:noProof/>
        </w:rPr>
        <mc:AlternateContent>
          <mc:Choice Requires="wps">
            <w:drawing>
              <wp:anchor distT="63500" distB="0" distL="0" distR="0" simplePos="0" relativeHeight="125829388" behindDoc="0" locked="0" layoutInCell="1" allowOverlap="1" wp14:anchorId="169780E9" wp14:editId="4D392D55">
                <wp:simplePos x="0" y="0"/>
                <wp:positionH relativeFrom="page">
                  <wp:posOffset>4097655</wp:posOffset>
                </wp:positionH>
                <wp:positionV relativeFrom="paragraph">
                  <wp:posOffset>63500</wp:posOffset>
                </wp:positionV>
                <wp:extent cx="1633855" cy="3416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633855" cy="341630"/>
                        </a:xfrm>
                        <a:prstGeom prst="rect">
                          <a:avLst/>
                        </a:prstGeom>
                        <a:noFill/>
                      </wps:spPr>
                      <wps:txbx>
                        <w:txbxContent>
                          <w:p w14:paraId="1D777CFE" w14:textId="77777777" w:rsidR="00B75D1C" w:rsidRDefault="00692136">
                            <w:pPr>
                              <w:pStyle w:val="Zkladntext1"/>
                              <w:pBdr>
                                <w:top w:val="single" w:sz="4" w:space="0" w:color="auto"/>
                              </w:pBdr>
                              <w:jc w:val="center"/>
                            </w:pPr>
                            <w:r>
                              <w:t>Jiří Turek</w:t>
                            </w:r>
                            <w:r>
                              <w:br/>
                              <w:t>vedoucí kanceláře tajemníka</w:t>
                            </w:r>
                          </w:p>
                        </w:txbxContent>
                      </wps:txbx>
                      <wps:bodyPr lIns="0" tIns="0" rIns="0" bIns="0"/>
                    </wps:wsp>
                  </a:graphicData>
                </a:graphic>
              </wp:anchor>
            </w:drawing>
          </mc:Choice>
          <mc:Fallback>
            <w:pict>
              <v:shape w14:anchorId="169780E9" id="Shape 11" o:spid="_x0000_s1031" type="#_x0000_t202" style="position:absolute;margin-left:322.65pt;margin-top:5pt;width:128.65pt;height:26.9pt;z-index:125829388;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" filled="f" stroked="f">
                <v:textbox inset="0,0,0,0">
                  <w:txbxContent>
                    <w:p w14:paraId="1D777CFE" w14:textId="77777777" w:rsidR="00B75D1C" w:rsidRDefault="00692136">
                      <w:pPr>
                        <w:pStyle w:val="Zkladntext1"/>
                        <w:pBdr>
                          <w:top w:val="single" w:sz="4" w:space="0" w:color="auto"/>
                        </w:pBdr>
                        <w:jc w:val="center"/>
                      </w:pPr>
                      <w:r>
                        <w:t>Jiří Turek</w:t>
                      </w:r>
                      <w:r>
                        <w:br/>
                        <w:t>vedoucí kanceláře tajemníka</w:t>
                      </w:r>
                    </w:p>
                  </w:txbxContent>
                </v:textbox>
                <w10:wrap type="topAndBottom" anchorx="page"/>
              </v:shape>
            </w:pict>
          </mc:Fallback>
        </mc:AlternateContent>
      </w:r>
    </w:p>
    <w:p w14:paraId="7CF101B6" w14:textId="77777777" w:rsidR="00B75D1C" w:rsidRDefault="00692136">
      <w:pPr>
        <w:spacing w:line="1" w:lineRule="exact"/>
      </w:pPr>
      <w:r>
        <w:rPr>
          <w:noProof/>
        </w:rPr>
        <mc:AlternateContent>
          <mc:Choice Requires="wps">
            <w:drawing>
              <wp:anchor distT="406400" distB="0" distL="0" distR="0" simplePos="0" relativeHeight="125829390" behindDoc="0" locked="0" layoutInCell="1" allowOverlap="1" wp14:anchorId="258CE2AF" wp14:editId="28E10E05">
                <wp:simplePos x="0" y="0"/>
                <wp:positionH relativeFrom="page">
                  <wp:posOffset>882015</wp:posOffset>
                </wp:positionH>
                <wp:positionV relativeFrom="paragraph">
                  <wp:posOffset>406400</wp:posOffset>
                </wp:positionV>
                <wp:extent cx="1027430" cy="90805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27430" cy="908050"/>
                        </a:xfrm>
                        <a:prstGeom prst="rect">
                          <a:avLst/>
                        </a:prstGeom>
                        <a:noFill/>
                      </wps:spPr>
                      <wps:txbx>
                        <w:txbxContent>
                          <w:p w14:paraId="63AF217F" w14:textId="77777777" w:rsidR="00B75D1C" w:rsidRDefault="00692136">
                            <w:pPr>
                              <w:pStyle w:val="Nadpis10"/>
                              <w:keepNext/>
                              <w:keepLines/>
                            </w:pPr>
                            <w:bookmarkStart w:id="7" w:name="bookmark0"/>
                            <w:r>
                              <w:t>Daniel</w:t>
                            </w:r>
                            <w:bookmarkEnd w:id="7"/>
                          </w:p>
                          <w:p w14:paraId="50A4F514" w14:textId="77777777" w:rsidR="00B75D1C" w:rsidRDefault="00692136">
                            <w:pPr>
                              <w:pStyle w:val="Nadpis10"/>
                              <w:keepNext/>
                              <w:keepLines/>
                            </w:pPr>
                            <w:r>
                              <w:t>Vera</w:t>
                            </w:r>
                          </w:p>
                        </w:txbxContent>
                      </wps:txbx>
                      <wps:bodyPr lIns="0" tIns="0" rIns="0" bIns="0"/>
                    </wps:wsp>
                  </a:graphicData>
                </a:graphic>
              </wp:anchor>
            </w:drawing>
          </mc:Choice>
          <mc:Fallback>
            <w:pict>
              <v:shape w14:anchorId="258CE2AF" id="Shape 13" o:spid="_x0000_s1032" type="#_x0000_t202" style="position:absolute;margin-left:69.45pt;margin-top:32pt;width:80.9pt;height:71.5pt;z-index:125829390;visibility:visible;mso-wrap-style:square;mso-wrap-distance-left:0;mso-wrap-distance-top:3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" filled="f" stroked="f">
                <v:textbox inset="0,0,0,0">
                  <w:txbxContent>
                    <w:p w14:paraId="63AF217F" w14:textId="77777777" w:rsidR="00B75D1C" w:rsidRDefault="00692136">
                      <w:pPr>
                        <w:pStyle w:val="Nadpis10"/>
                        <w:keepNext/>
                        <w:keepLines/>
                      </w:pPr>
                      <w:bookmarkStart w:id="8" w:name="bookmark0"/>
                      <w:r>
                        <w:t>Daniel</w:t>
                      </w:r>
                      <w:bookmarkEnd w:id="8"/>
                    </w:p>
                    <w:p w14:paraId="50A4F514" w14:textId="77777777" w:rsidR="00B75D1C" w:rsidRDefault="00692136">
                      <w:pPr>
                        <w:pStyle w:val="Nadpis10"/>
                        <w:keepNext/>
                        <w:keepLines/>
                      </w:pPr>
                      <w:r>
                        <w:t>Vera</w:t>
                      </w:r>
                    </w:p>
                  </w:txbxContent>
                </v:textbox>
                <w10:wrap type="topAndBottom" anchorx="page"/>
              </v:shape>
            </w:pict>
          </mc:Fallback>
        </mc:AlternateContent>
      </w:r>
      <w:r>
        <w:rPr>
          <w:noProof/>
        </w:rPr>
        <mc:AlternateContent>
          <mc:Choice Requires="wps">
            <w:drawing>
              <wp:anchor distT="504190" distB="72390" distL="0" distR="0" simplePos="0" relativeHeight="125829392" behindDoc="0" locked="0" layoutInCell="1" allowOverlap="1" wp14:anchorId="5CE3A35E" wp14:editId="23FF26EA">
                <wp:simplePos x="0" y="0"/>
                <wp:positionH relativeFrom="page">
                  <wp:posOffset>1994535</wp:posOffset>
                </wp:positionH>
                <wp:positionV relativeFrom="paragraph">
                  <wp:posOffset>504190</wp:posOffset>
                </wp:positionV>
                <wp:extent cx="1057910" cy="7378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57910" cy="737870"/>
                        </a:xfrm>
                        <a:prstGeom prst="rect">
                          <a:avLst/>
                        </a:prstGeom>
                        <a:noFill/>
                      </wps:spPr>
                      <wps:txbx>
                        <w:txbxContent>
                          <w:p w14:paraId="319036E9" w14:textId="77777777" w:rsidR="00B75D1C" w:rsidRDefault="00692136">
                            <w:pPr>
                              <w:pStyle w:val="Zkladntext30"/>
                            </w:pPr>
                            <w:r>
                              <w:t xml:space="preserve">Digitally signed </w:t>
                            </w:r>
                            <w:r>
                              <w:rPr>
                                <w:lang w:val="cs-CZ" w:eastAsia="cs-CZ" w:bidi="cs-CZ"/>
                              </w:rPr>
                              <w:t xml:space="preserve">by Daniel </w:t>
                            </w:r>
                            <w:r>
                              <w:t>Vera Date: 2026.01.29 15:28:12 +01'00'</w:t>
                            </w:r>
                          </w:p>
                        </w:txbxContent>
                      </wps:txbx>
                      <wps:bodyPr lIns="0" tIns="0" rIns="0" bIns="0"/>
                    </wps:wsp>
                  </a:graphicData>
                </a:graphic>
              </wp:anchor>
            </w:drawing>
          </mc:Choice>
          <mc:Fallback>
            <w:pict>
              <v:shape w14:anchorId="5CE3A35E" id="Shape 15" o:spid="_x0000_s1033" type="#_x0000_t202" style="position:absolute;margin-left:157.05pt;margin-top:39.7pt;width:83.3pt;height:58.1pt;z-index:125829392;visibility:visible;mso-wrap-style:square;mso-wrap-distance-left:0;mso-wrap-distance-top:39.7pt;mso-wrap-distance-right:0;mso-wrap-distance-bottom:5.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" filled="f" stroked="f">
                <v:textbox inset="0,0,0,0">
                  <w:txbxContent>
                    <w:p w14:paraId="319036E9" w14:textId="77777777" w:rsidR="00B75D1C" w:rsidRDefault="00692136">
                      <w:pPr>
                        <w:pStyle w:val="Zkladntext30"/>
                      </w:pPr>
                      <w:r>
                        <w:t xml:space="preserve">Digitally signed </w:t>
                      </w:r>
                      <w:r>
                        <w:rPr>
                          <w:lang w:val="cs-CZ" w:eastAsia="cs-CZ" w:bidi="cs-CZ"/>
                        </w:rPr>
                        <w:t xml:space="preserve">by Daniel </w:t>
                      </w:r>
                      <w:r>
                        <w:t>Vera Date: 2026.01.29 15:28:12 +01'00'</w:t>
                      </w:r>
                    </w:p>
                  </w:txbxContent>
                </v:textbox>
                <w10:wrap type="topAndBottom" anchorx="page"/>
              </v:shape>
            </w:pict>
          </mc:Fallback>
        </mc:AlternateContent>
      </w:r>
    </w:p>
    <w:p w14:paraId="44DB8FEA" w14:textId="77777777" w:rsidR="00B75D1C" w:rsidRDefault="00692136">
      <w:pPr>
        <w:pStyle w:val="Zkladntext1"/>
        <w:pBdr>
          <w:top w:val="single" w:sz="4" w:space="0" w:color="auto"/>
        </w:pBdr>
        <w:spacing w:after="1000"/>
      </w:pPr>
      <w:r>
        <w:rPr>
          <w:lang w:val="en-US" w:eastAsia="en-US" w:bidi="en-US"/>
        </w:rPr>
        <w:t xml:space="preserve">Daniel Vera Maroto </w:t>
      </w:r>
      <w:r>
        <w:rPr>
          <w:lang w:val="en-US" w:eastAsia="en-US" w:bidi="en-US"/>
        </w:rPr>
        <w:t>Operations Director</w:t>
      </w:r>
    </w:p>
    <w:p w14:paraId="362CD3F5" w14:textId="77777777" w:rsidR="00B75D1C" w:rsidRDefault="00692136">
      <w:pPr>
        <w:pStyle w:val="Zkladntext1"/>
      </w:pPr>
      <w:r>
        <w:t xml:space="preserve">Schváleno usnesením </w:t>
      </w:r>
      <w:r>
        <w:rPr>
          <w:lang w:val="en-US" w:eastAsia="en-US" w:bidi="en-US"/>
        </w:rPr>
        <w:t xml:space="preserve">Rady </w:t>
      </w:r>
      <w:r>
        <w:t xml:space="preserve">města </w:t>
      </w:r>
      <w:r>
        <w:rPr>
          <w:lang w:val="en-US" w:eastAsia="en-US" w:bidi="en-US"/>
        </w:rPr>
        <w:t xml:space="preserve">Pardubic ze dne 28.01.2026 </w:t>
      </w:r>
      <w:r>
        <w:t xml:space="preserve">č. usnesení </w:t>
      </w:r>
      <w:r>
        <w:rPr>
          <w:lang w:val="en-US" w:eastAsia="en-US" w:bidi="en-US"/>
        </w:rPr>
        <w:t>R/7013/2026.</w:t>
      </w:r>
    </w:p>
    <w:sectPr w:rsidR="00B75D1C">
      <w:pgSz w:w="11900" w:h="16840"/>
      <w:pgMar w:top="1417" w:right="1383" w:bottom="1241" w:left="1377" w:header="989" w:footer="81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A6CC" w14:textId="77777777" w:rsidR="00692136" w:rsidRDefault="00692136">
      <w:r>
        <w:separator/>
      </w:r>
    </w:p>
  </w:endnote>
  <w:endnote w:type="continuationSeparator" w:id="0">
    <w:p w14:paraId="72FFDBBD" w14:textId="77777777" w:rsidR="00692136" w:rsidRDefault="0069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88A1" w14:textId="77777777" w:rsidR="00B75D1C" w:rsidRDefault="00B75D1C"/>
  </w:footnote>
  <w:footnote w:type="continuationSeparator" w:id="0">
    <w:p w14:paraId="3BD216E1" w14:textId="77777777" w:rsidR="00B75D1C" w:rsidRDefault="00B75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0F4C"/>
    <w:multiLevelType w:val="multilevel"/>
    <w:tmpl w:val="2D44E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857B75"/>
    <w:multiLevelType w:val="multilevel"/>
    <w:tmpl w:val="E264A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6166B2"/>
    <w:multiLevelType w:val="multilevel"/>
    <w:tmpl w:val="FF2C0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664EFB"/>
    <w:multiLevelType w:val="multilevel"/>
    <w:tmpl w:val="7444C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6F7037"/>
    <w:multiLevelType w:val="multilevel"/>
    <w:tmpl w:val="8EBAF8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902EE3"/>
    <w:multiLevelType w:val="multilevel"/>
    <w:tmpl w:val="DD78F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8A6D97"/>
    <w:multiLevelType w:val="multilevel"/>
    <w:tmpl w:val="0BBC9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C36DC9"/>
    <w:multiLevelType w:val="multilevel"/>
    <w:tmpl w:val="F1BAF4A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AC112E"/>
    <w:multiLevelType w:val="multilevel"/>
    <w:tmpl w:val="7A2C87D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FD2C0B"/>
    <w:multiLevelType w:val="multilevel"/>
    <w:tmpl w:val="A0102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D43298"/>
    <w:multiLevelType w:val="multilevel"/>
    <w:tmpl w:val="67548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5057119">
    <w:abstractNumId w:val="1"/>
  </w:num>
  <w:num w:numId="2" w16cid:durableId="1599748037">
    <w:abstractNumId w:val="8"/>
  </w:num>
  <w:num w:numId="3" w16cid:durableId="854734861">
    <w:abstractNumId w:val="5"/>
  </w:num>
  <w:num w:numId="4" w16cid:durableId="659309618">
    <w:abstractNumId w:val="2"/>
  </w:num>
  <w:num w:numId="5" w16cid:durableId="1604996567">
    <w:abstractNumId w:val="7"/>
  </w:num>
  <w:num w:numId="6" w16cid:durableId="1028796177">
    <w:abstractNumId w:val="10"/>
  </w:num>
  <w:num w:numId="7" w16cid:durableId="293875346">
    <w:abstractNumId w:val="6"/>
  </w:num>
  <w:num w:numId="8" w16cid:durableId="217016841">
    <w:abstractNumId w:val="4"/>
  </w:num>
  <w:num w:numId="9" w16cid:durableId="294025850">
    <w:abstractNumId w:val="9"/>
  </w:num>
  <w:num w:numId="10" w16cid:durableId="592592170">
    <w:abstractNumId w:val="0"/>
  </w:num>
  <w:num w:numId="11" w16cid:durableId="942423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D1C"/>
    <w:rsid w:val="00692136"/>
    <w:rsid w:val="00B75D1C"/>
    <w:rsid w:val="00F24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5C39"/>
  <w15:docId w15:val="{521F21BE-86E5-460E-972B-A269C603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40"/>
      <w:szCs w:val="4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54"/>
      <w:szCs w:val="54"/>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2"/>
      <w:szCs w:val="22"/>
      <w:u w:val="none"/>
      <w:lang w:val="en-US" w:eastAsia="en-US" w:bidi="en-US"/>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paragraph" w:customStyle="1" w:styleId="Zkladntext1">
    <w:name w:val="Základní text1"/>
    <w:basedOn w:val="Normln"/>
    <w:link w:val="Zkladntext"/>
    <w:rPr>
      <w:rFonts w:ascii="Times New Roman" w:eastAsia="Times New Roman" w:hAnsi="Times New Roman" w:cs="Times New Roman"/>
      <w:sz w:val="22"/>
      <w:szCs w:val="22"/>
    </w:rPr>
  </w:style>
  <w:style w:type="paragraph" w:customStyle="1" w:styleId="Zkladntext50">
    <w:name w:val="Základní text (5)"/>
    <w:basedOn w:val="Normln"/>
    <w:link w:val="Zkladntext5"/>
    <w:pPr>
      <w:spacing w:line="228" w:lineRule="auto"/>
    </w:pPr>
    <w:rPr>
      <w:rFonts w:ascii="Segoe UI" w:eastAsia="Segoe UI" w:hAnsi="Segoe UI" w:cs="Segoe UI"/>
      <w:sz w:val="30"/>
      <w:szCs w:val="30"/>
    </w:rPr>
  </w:style>
  <w:style w:type="paragraph" w:customStyle="1" w:styleId="Zkladntext20">
    <w:name w:val="Základní text (2)"/>
    <w:basedOn w:val="Normln"/>
    <w:link w:val="Zkladntext2"/>
    <w:pPr>
      <w:spacing w:line="300" w:lineRule="auto"/>
    </w:pPr>
    <w:rPr>
      <w:rFonts w:ascii="Arial" w:eastAsia="Arial" w:hAnsi="Arial" w:cs="Arial"/>
      <w:sz w:val="9"/>
      <w:szCs w:val="9"/>
    </w:rPr>
  </w:style>
  <w:style w:type="paragraph" w:customStyle="1" w:styleId="Zkladntext60">
    <w:name w:val="Základní text (6)"/>
    <w:basedOn w:val="Normln"/>
    <w:link w:val="Zkladntext6"/>
    <w:rPr>
      <w:rFonts w:ascii="Arial" w:eastAsia="Arial" w:hAnsi="Arial" w:cs="Arial"/>
      <w:b/>
      <w:bCs/>
      <w:sz w:val="40"/>
      <w:szCs w:val="40"/>
    </w:rPr>
  </w:style>
  <w:style w:type="paragraph" w:customStyle="1" w:styleId="Zkladntext40">
    <w:name w:val="Základní text (4)"/>
    <w:basedOn w:val="Normln"/>
    <w:link w:val="Zkladntext4"/>
    <w:pPr>
      <w:ind w:firstLine="320"/>
    </w:pPr>
    <w:rPr>
      <w:rFonts w:ascii="Arial" w:eastAsia="Arial" w:hAnsi="Arial" w:cs="Arial"/>
      <w:sz w:val="20"/>
      <w:szCs w:val="20"/>
    </w:rPr>
  </w:style>
  <w:style w:type="paragraph" w:customStyle="1" w:styleId="Nadpis10">
    <w:name w:val="Nadpis #1"/>
    <w:basedOn w:val="Normln"/>
    <w:link w:val="Nadpis1"/>
    <w:pPr>
      <w:outlineLvl w:val="0"/>
    </w:pPr>
    <w:rPr>
      <w:rFonts w:ascii="Tahoma" w:eastAsia="Tahoma" w:hAnsi="Tahoma" w:cs="Tahoma"/>
      <w:sz w:val="54"/>
      <w:szCs w:val="54"/>
    </w:rPr>
  </w:style>
  <w:style w:type="paragraph" w:customStyle="1" w:styleId="Zkladntext30">
    <w:name w:val="Základní text (3)"/>
    <w:basedOn w:val="Normln"/>
    <w:link w:val="Zkladntext3"/>
    <w:pPr>
      <w:spacing w:line="233" w:lineRule="auto"/>
    </w:pPr>
    <w:rPr>
      <w:rFonts w:ascii="Segoe UI" w:eastAsia="Segoe UI" w:hAnsi="Segoe UI" w:cs="Segoe UI"/>
      <w:sz w:val="22"/>
      <w:szCs w:val="22"/>
      <w:lang w:val="en-US" w:eastAsia="en-US" w:bidi="en-US"/>
    </w:rPr>
  </w:style>
  <w:style w:type="paragraph" w:customStyle="1" w:styleId="Titulektabulky0">
    <w:name w:val="Titulek tabulky"/>
    <w:basedOn w:val="Normln"/>
    <w:link w:val="Titulektabulky"/>
    <w:rPr>
      <w:rFonts w:ascii="Times New Roman" w:eastAsia="Times New Roman" w:hAnsi="Times New Roman" w:cs="Times New Roman"/>
      <w:sz w:val="22"/>
      <w:szCs w:val="22"/>
    </w:rPr>
  </w:style>
  <w:style w:type="paragraph" w:customStyle="1" w:styleId="Jin0">
    <w:name w:val="Jiné"/>
    <w:basedOn w:val="Normln"/>
    <w:link w:val="Jin"/>
    <w:rPr>
      <w:rFonts w:ascii="Times New Roman" w:eastAsia="Times New Roman" w:hAnsi="Times New Roman" w:cs="Times New Roman"/>
      <w:sz w:val="22"/>
      <w:szCs w:val="22"/>
    </w:rPr>
  </w:style>
  <w:style w:type="paragraph" w:customStyle="1" w:styleId="Nadpis20">
    <w:name w:val="Nadpis #2"/>
    <w:basedOn w:val="Normln"/>
    <w:link w:val="Nadpis2"/>
    <w:pPr>
      <w:spacing w:after="240"/>
      <w:jc w:val="center"/>
      <w:outlineLvl w:val="1"/>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eronika.pospisilova@mmp.cz" TargetMode="External"/><Relationship Id="rId3" Type="http://schemas.openxmlformats.org/officeDocument/2006/relationships/settings" Target="settings.xml"/><Relationship Id="rId7" Type="http://schemas.openxmlformats.org/officeDocument/2006/relationships/hyperlink" Target="mailto:daniela.stank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2711</Words>
  <Characters>15996</Characters>
  <Application>Microsoft Office Word</Application>
  <DocSecurity>0</DocSecurity>
  <Lines>133</Lines>
  <Paragraphs>37</Paragraphs>
  <ScaleCrop>false</ScaleCrop>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cp:lastModifiedBy>Veselá Ilona</cp:lastModifiedBy>
  <cp:revision>2</cp:revision>
  <dcterms:created xsi:type="dcterms:W3CDTF">2026-02-11T08:29:00Z</dcterms:created>
  <dcterms:modified xsi:type="dcterms:W3CDTF">2026-02-11T08:30:00Z</dcterms:modified>
</cp:coreProperties>
</file>