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86" w:lineRule="auto"/>
        <w:ind w:left="0" w:right="0" w:firstLine="3040"/>
        <w:jc w:val="left"/>
        <w:rPr>
          <w:sz w:val="20"/>
          <w:szCs w:val="20"/>
        </w:rPr>
      </w:pPr>
      <w:bookmarkStart w:id="3" w:name="bookmark3"/>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3"/>
    </w:p>
    <w:p>
      <w:pPr>
        <w:pStyle w:val="Style4"/>
        <w:keepNext w:val="0"/>
        <w:keepLines w:val="0"/>
        <w:widowControl w:val="0"/>
        <w:shd w:val="clear" w:color="auto" w:fill="auto"/>
        <w:tabs>
          <w:tab w:pos="283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příkazce:</w:t>
        <w:tab/>
        <w:t>175/2026</w:t>
      </w:r>
    </w:p>
    <w:p>
      <w:pPr>
        <w:pStyle w:val="Style4"/>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Název díla:</w:t>
      </w:r>
    </w:p>
    <w:p>
      <w:pPr>
        <w:pStyle w:val="Style4"/>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„VD Habrovický kačák - doporučená opatření dle TBD” – autorský dozor</w:t>
      </w:r>
    </w:p>
    <w:p>
      <w:pPr>
        <w:widowControl w:val="0"/>
        <w:spacing w:line="1" w:lineRule="exact"/>
        <w:sectPr>
          <w:headerReference w:type="default" r:id="rId5"/>
          <w:footerReference w:type="default" r:id="rId6"/>
          <w:footnotePr>
            <w:pos w:val="pageBottom"/>
            <w:numFmt w:val="decimal"/>
            <w:numRestart w:val="continuous"/>
          </w:footnotePr>
          <w:pgSz w:w="11909" w:h="16838"/>
          <w:pgMar w:top="2289" w:left="1106" w:right="1096" w:bottom="1737" w:header="0" w:footer="3" w:gutter="0"/>
          <w:pgNumType w:start="1"/>
          <w:cols w:space="720"/>
          <w:noEndnote/>
          <w:rtlGutter w:val="0"/>
          <w:docGrid w:linePitch="360"/>
        </w:sectPr>
      </w:pPr>
      <w:r>
        <mc:AlternateContent>
          <mc:Choice Requires="wps">
            <w:drawing>
              <wp:anchor distT="254000" distB="0" distL="0" distR="0" simplePos="0" relativeHeight="125829378" behindDoc="0" locked="0" layoutInCell="1" allowOverlap="1">
                <wp:simplePos x="0" y="0"/>
                <wp:positionH relativeFrom="page">
                  <wp:posOffset>702310</wp:posOffset>
                </wp:positionH>
                <wp:positionV relativeFrom="paragraph">
                  <wp:posOffset>254000</wp:posOffset>
                </wp:positionV>
                <wp:extent cx="2072640" cy="1423670"/>
                <wp:wrapTopAndBottom/>
                <wp:docPr id="5" name="Shape 5"/>
                <a:graphic xmlns:a="http://schemas.openxmlformats.org/drawingml/2006/main">
                  <a:graphicData uri="http://schemas.microsoft.com/office/word/2010/wordprocessingShape">
                    <wps:wsp>
                      <wps:cNvSpPr txBox="1"/>
                      <wps:spPr>
                        <a:xfrm>
                          <a:ext cx="2072640" cy="1423670"/>
                        </a:xfrm>
                        <a:prstGeom prst="rect"/>
                        <a:noFill/>
                      </wps:spPr>
                      <wps:txbx>
                        <w:txbxContent>
                          <w:p>
                            <w:pPr>
                              <w:pStyle w:val="Style2"/>
                              <w:keepNext/>
                              <w:keepLines/>
                              <w:widowControl w:val="0"/>
                              <w:shd w:val="clear" w:color="auto" w:fill="auto"/>
                              <w:bidi w:val="0"/>
                              <w:spacing w:before="0" w:after="160" w:line="28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txbxContent>
                      </wps:txbx>
                      <wps:bodyPr lIns="0" tIns="0" rIns="0" bIns="0">
                        <a:noAutoFit/>
                      </wps:bodyPr>
                    </wps:wsp>
                  </a:graphicData>
                </a:graphic>
              </wp:anchor>
            </w:drawing>
          </mc:Choice>
          <mc:Fallback>
            <w:pict>
              <v:shape id="_x0000_s1031" type="#_x0000_t202" style="position:absolute;margin-left:55.300000000000004pt;margin-top:20.pt;width:163.20000000000002pt;height:112.10000000000001pt;z-index:-125829375;mso-wrap-distance-left:0;mso-wrap-distance-top:20.pt;mso-wrap-distance-right:0;mso-position-horizontal-relative:page" filled="f" stroked="f">
                <v:textbox inset="0,0,0,0">
                  <w:txbxContent>
                    <w:p>
                      <w:pPr>
                        <w:pStyle w:val="Style2"/>
                        <w:keepNext/>
                        <w:keepLines/>
                        <w:widowControl w:val="0"/>
                        <w:shd w:val="clear" w:color="auto" w:fill="auto"/>
                        <w:bidi w:val="0"/>
                        <w:spacing w:before="0" w:after="160" w:line="28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txbxContent>
                </v:textbox>
                <w10:wrap type="topAndBottom" anchorx="page"/>
              </v:shape>
            </w:pict>
          </mc:Fallback>
        </mc:AlternateContent>
      </w:r>
      <w:r>
        <mc:AlternateContent>
          <mc:Choice Requires="wps">
            <w:drawing>
              <wp:anchor distT="577215" distB="710565" distL="0" distR="0" simplePos="0" relativeHeight="125829380" behindDoc="0" locked="0" layoutInCell="1" allowOverlap="1">
                <wp:simplePos x="0" y="0"/>
                <wp:positionH relativeFrom="page">
                  <wp:posOffset>3220085</wp:posOffset>
                </wp:positionH>
                <wp:positionV relativeFrom="paragraph">
                  <wp:posOffset>577215</wp:posOffset>
                </wp:positionV>
                <wp:extent cx="2225040" cy="389890"/>
                <wp:wrapTopAndBottom/>
                <wp:docPr id="7" name="Shape 7"/>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53.55000000000001pt;margin-top:45.450000000000003pt;width:175.20000000000002pt;height:30.699999999999999pt;z-index:-125829373;mso-wrap-distance-left:0;mso-wrap-distance-top:45.450000000000003pt;mso-wrap-distance-right:0;mso-wrap-distance-bottom:55.95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p>
    <w:p>
      <w:pPr>
        <w:widowControl w:val="0"/>
        <w:spacing w:line="233" w:lineRule="exact"/>
        <w:rPr>
          <w:sz w:val="19"/>
          <w:szCs w:val="19"/>
        </w:rPr>
      </w:pPr>
    </w:p>
    <w:p>
      <w:pPr>
        <w:widowControl w:val="0"/>
        <w:spacing w:line="1" w:lineRule="exact"/>
        <w:sectPr>
          <w:footnotePr>
            <w:pos w:val="pageBottom"/>
            <w:numFmt w:val="decimal"/>
            <w:numRestart w:val="continuous"/>
          </w:footnotePr>
          <w:type w:val="continuous"/>
          <w:pgSz w:w="11909" w:h="16838"/>
          <w:pgMar w:top="1169" w:left="0" w:right="0" w:bottom="1139" w:header="0" w:footer="3" w:gutter="0"/>
          <w:cols w:space="720"/>
          <w:noEndnote/>
          <w:rtlGutter w:val="0"/>
          <w:docGrid w:linePitch="360"/>
        </w:sectPr>
      </w:pPr>
    </w:p>
    <w:p>
      <w:pPr>
        <w:widowControl w:val="0"/>
        <w:spacing w:line="1" w:lineRule="exact"/>
      </w:pPr>
      <w:r>
        <mc:AlternateContent>
          <mc:Choice Requires="wps">
            <w:drawing>
              <wp:anchor distT="0" distB="1527175" distL="114300" distR="114300" simplePos="0" relativeHeight="125829382" behindDoc="0" locked="0" layoutInCell="1" allowOverlap="1">
                <wp:simplePos x="0" y="0"/>
                <wp:positionH relativeFrom="page">
                  <wp:posOffset>705485</wp:posOffset>
                </wp:positionH>
                <wp:positionV relativeFrom="paragraph">
                  <wp:posOffset>12700</wp:posOffset>
                </wp:positionV>
                <wp:extent cx="1774190" cy="1188720"/>
                <wp:wrapSquare wrapText="right"/>
                <wp:docPr id="9" name="Shape 9"/>
                <a:graphic xmlns:a="http://schemas.openxmlformats.org/drawingml/2006/main">
                  <a:graphicData uri="http://schemas.microsoft.com/office/word/2010/wordprocessingShape">
                    <wps:wsp>
                      <wps:cNvSpPr txBox="1"/>
                      <wps:spPr>
                        <a:xfrm>
                          <a:ext cx="1774190" cy="11887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5" type="#_x0000_t202" style="position:absolute;margin-left:55.550000000000004pt;margin-top:1.pt;width:139.70000000000002pt;height:93.600000000000009pt;z-index:-125829371;mso-wrap-distance-left:9.pt;mso-wrap-distance-right:9.pt;mso-wrap-distance-bottom:120.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v:textbox>
                <w10:wrap type="square" side="right" anchorx="page"/>
              </v:shape>
            </w:pict>
          </mc:Fallback>
        </mc:AlternateContent>
      </w:r>
      <w:r>
        <mc:AlternateContent>
          <mc:Choice Requires="wps">
            <w:drawing>
              <wp:anchor distT="1844040" distB="0" distL="114300" distR="836930" simplePos="0" relativeHeight="125829384" behindDoc="0" locked="0" layoutInCell="1" allowOverlap="1">
                <wp:simplePos x="0" y="0"/>
                <wp:positionH relativeFrom="page">
                  <wp:posOffset>705485</wp:posOffset>
                </wp:positionH>
                <wp:positionV relativeFrom="paragraph">
                  <wp:posOffset>1856740</wp:posOffset>
                </wp:positionV>
                <wp:extent cx="1051560" cy="871855"/>
                <wp:wrapSquare wrapText="right"/>
                <wp:docPr id="11" name="Shape 11"/>
                <a:graphic xmlns:a="http://schemas.openxmlformats.org/drawingml/2006/main">
                  <a:graphicData uri="http://schemas.microsoft.com/office/word/2010/wordprocessingShape">
                    <wps:wsp>
                      <wps:cNvSpPr txBox="1"/>
                      <wps:spPr>
                        <a:xfrm>
                          <a:ext cx="1051560" cy="8718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IČO:</w:t>
                            </w:r>
                            <w:bookmarkEnd w:id="5"/>
                          </w:p>
                          <w:p>
                            <w:pPr>
                              <w:pStyle w:val="Style4"/>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DIČ: statutární orgán:</w:t>
                            </w:r>
                            <w:bookmarkEnd w:id="6"/>
                          </w:p>
                        </w:txbxContent>
                      </wps:txbx>
                      <wps:bodyPr lIns="0" tIns="0" rIns="0" bIns="0">
                        <a:noAutoFit/>
                      </wps:bodyPr>
                    </wps:wsp>
                  </a:graphicData>
                </a:graphic>
              </wp:anchor>
            </w:drawing>
          </mc:Choice>
          <mc:Fallback>
            <w:pict>
              <v:shape id="_x0000_s1037" type="#_x0000_t202" style="position:absolute;margin-left:55.550000000000004pt;margin-top:146.20000000000002pt;width:82.799999999999997pt;height:68.650000000000006pt;z-index:-125829369;mso-wrap-distance-left:9.pt;mso-wrap-distance-top:145.20000000000002pt;mso-wrap-distance-right:65.90000000000000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IČO:</w:t>
                      </w:r>
                      <w:bookmarkEnd w:id="5"/>
                    </w:p>
                    <w:p>
                      <w:pPr>
                        <w:pStyle w:val="Style4"/>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DIČ: statutární orgán:</w:t>
                      </w:r>
                      <w:bookmarkEnd w:id="6"/>
                    </w:p>
                  </w:txbxContent>
                </v:textbox>
                <w10:wrap type="square" side="right" anchorx="page"/>
              </v:shape>
            </w:pict>
          </mc:Fallback>
        </mc:AlternateContent>
      </w:r>
    </w:p>
    <w:p>
      <w:pPr>
        <w:pStyle w:val="Style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440" w:line="240" w:lineRule="auto"/>
        <w:ind w:left="0" w:right="0" w:firstLine="1000"/>
        <w:jc w:val="left"/>
      </w:pPr>
      <w:r>
        <w:rPr>
          <w:color w:val="000000"/>
          <w:spacing w:val="0"/>
          <w:w w:val="100"/>
          <w:position w:val="0"/>
          <w:shd w:val="clear" w:color="auto" w:fill="auto"/>
          <w:lang w:val="cs-CZ" w:eastAsia="cs-CZ" w:bidi="cs-CZ"/>
        </w:rPr>
        <w:t>CZ70889988</w:t>
      </w:r>
    </w:p>
    <w:p>
      <w:pPr>
        <w:pStyle w:val="Style4"/>
        <w:keepNext w:val="0"/>
        <w:keepLines w:val="0"/>
        <w:widowControl w:val="0"/>
        <w:shd w:val="clear" w:color="auto" w:fill="auto"/>
        <w:bidi w:val="0"/>
        <w:spacing w:before="0" w:after="1320" w:line="240" w:lineRule="auto"/>
        <w:ind w:left="1000" w:right="0" w:firstLine="0"/>
        <w:jc w:val="left"/>
      </w:pPr>
      <w:r>
        <w:rPr>
          <w:color w:val="000000"/>
          <w:spacing w:val="0"/>
          <w:w w:val="100"/>
          <w:position w:val="0"/>
          <w:shd w:val="clear" w:color="auto" w:fill="auto"/>
          <w:lang w:val="cs-CZ" w:eastAsia="cs-CZ" w:bidi="cs-CZ"/>
        </w:rPr>
        <w:t>Krajský soud v Ústí nad Labem, oddíl A, vložka 13052</w:t>
      </w:r>
    </w:p>
    <w:p>
      <w:pPr>
        <w:pStyle w:val="Style4"/>
        <w:keepNext w:val="0"/>
        <w:keepLines w:val="0"/>
        <w:widowControl w:val="0"/>
        <w:shd w:val="clear" w:color="auto" w:fill="auto"/>
        <w:bidi w:val="0"/>
        <w:spacing w:before="0" w:after="0" w:line="240" w:lineRule="auto"/>
        <w:ind w:left="1000" w:right="0" w:firstLine="0"/>
        <w:jc w:val="left"/>
      </w:pPr>
      <w:r>
        <w:rPr>
          <w:b/>
          <w:bCs/>
          <w:color w:val="000000"/>
          <w:spacing w:val="0"/>
          <w:w w:val="100"/>
          <w:position w:val="0"/>
          <w:shd w:val="clear" w:color="auto" w:fill="auto"/>
          <w:lang w:val="cs-CZ" w:eastAsia="cs-CZ" w:bidi="cs-CZ"/>
        </w:rPr>
        <w:t>VODNÍ DÍLA – TBD a.s.</w:t>
      </w:r>
    </w:p>
    <w:p>
      <w:pPr>
        <w:pStyle w:val="Style4"/>
        <w:keepNext w:val="0"/>
        <w:keepLines w:val="0"/>
        <w:widowControl w:val="0"/>
        <w:shd w:val="clear" w:color="auto" w:fill="auto"/>
        <w:bidi w:val="0"/>
        <w:spacing w:before="0" w:after="0" w:line="240" w:lineRule="auto"/>
        <w:ind w:left="1000" w:right="0" w:firstLine="0"/>
        <w:jc w:val="left"/>
      </w:pPr>
      <w:r>
        <w:rPr>
          <w:color w:val="000000"/>
          <w:spacing w:val="0"/>
          <w:w w:val="100"/>
          <w:position w:val="0"/>
          <w:shd w:val="clear" w:color="auto" w:fill="auto"/>
          <w:lang w:val="cs-CZ" w:eastAsia="cs-CZ" w:bidi="cs-CZ"/>
        </w:rPr>
        <w:t>Hybernská 1617/40, 110 00 Praha 1 49241648</w:t>
      </w:r>
    </w:p>
    <w:p>
      <w:pPr>
        <w:pStyle w:val="Style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 xml:space="preserve">CZ 49241648 </w:t>
      </w:r>
      <w:r>
        <w:rPr>
          <w:color w:val="000000"/>
          <w:spacing w:val="0"/>
          <w:w w:val="100"/>
          <w:position w:val="0"/>
          <w:shd w:val="clear" w:color="auto" w:fill="auto"/>
          <w:lang w:val="cs-CZ" w:eastAsia="cs-CZ" w:bidi="cs-CZ"/>
        </w:rPr>
        <w:t>zástupce ve věcech smluvních:</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tabs>
          <w:tab w:pos="3965" w:val="left"/>
        </w:tabs>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w:t>
        <w:tab/>
        <w:t>Městský soud v Praze, v oddílu B, vložce č. 2154</w:t>
      </w:r>
    </w:p>
    <w:p>
      <w:pPr>
        <w:pStyle w:val="Style4"/>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2"/>
        <w:keepNext/>
        <w:keepLines/>
        <w:widowControl w:val="0"/>
        <w:numPr>
          <w:ilvl w:val="0"/>
          <w:numId w:val="1"/>
        </w:numPr>
        <w:shd w:val="clear" w:color="auto" w:fill="auto"/>
        <w:tabs>
          <w:tab w:pos="317" w:val="left"/>
        </w:tabs>
        <w:bidi w:val="0"/>
        <w:spacing w:before="0" w:line="240" w:lineRule="auto"/>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u w:val="single"/>
          <w:shd w:val="clear" w:color="auto" w:fill="auto"/>
          <w:lang w:val="cs-CZ" w:eastAsia="cs-CZ" w:bidi="cs-CZ"/>
        </w:rPr>
        <w:t>Účel a předmět smlouvy</w:t>
      </w:r>
      <w:bookmarkEnd w:id="10"/>
      <w:bookmarkEnd w:id="7"/>
      <w:bookmarkEnd w:id="8"/>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„VD Habrovický kačák - doporučená opatření dle TBD” </w:t>
      </w:r>
      <w:r>
        <w:rPr>
          <w:color w:val="000000"/>
          <w:spacing w:val="0"/>
          <w:w w:val="100"/>
          <w:position w:val="0"/>
          <w:shd w:val="clear" w:color="auto" w:fill="auto"/>
          <w:lang w:val="cs-CZ" w:eastAsia="cs-CZ" w:bidi="cs-CZ"/>
        </w:rPr>
        <w:t>(dále jen „stavba“).</w:t>
      </w:r>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4" w:name="bookmark14"/>
      <w:bookmarkEnd w:id="14"/>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5" w:name="bookmark15"/>
      <w:bookmarkEnd w:id="15"/>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6" w:name="bookmark16"/>
      <w:bookmarkEnd w:id="16"/>
      <w:r>
        <w:rPr>
          <w:color w:val="000000"/>
          <w:spacing w:val="0"/>
          <w:w w:val="100"/>
          <w:position w:val="0"/>
          <w:shd w:val="clear" w:color="auto" w:fill="auto"/>
          <w:lang w:val="cs-CZ" w:eastAsia="cs-CZ" w:bidi="cs-CZ"/>
        </w:rPr>
        <w:t>kontrola souladu realizační dokumentace zhotovitele stavby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8" w:name="bookmark18"/>
      <w:bookmarkEnd w:id="18"/>
      <w:r>
        <w:rPr>
          <w:color w:val="000000"/>
          <w:spacing w:val="0"/>
          <w:w w:val="100"/>
          <w:position w:val="0"/>
          <w:shd w:val="clear" w:color="auto" w:fill="auto"/>
          <w:lang w:val="cs-CZ" w:eastAsia="cs-CZ" w:bidi="cs-CZ"/>
        </w:rPr>
        <w:t>kontrola souladu zabezpečení úrovně staveniště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9" w:name="bookmark19"/>
      <w:bookmarkEnd w:id="19"/>
      <w:r>
        <w:rPr>
          <w:color w:val="000000"/>
          <w:spacing w:val="0"/>
          <w:w w:val="100"/>
          <w:position w:val="0"/>
          <w:shd w:val="clear" w:color="auto" w:fill="auto"/>
          <w:lang w:val="cs-CZ" w:eastAsia="cs-CZ" w:bidi="cs-CZ"/>
        </w:rPr>
        <w:t>kontrola souladu provádění vytyčovacích prací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4" w:name="bookmark24"/>
      <w:bookmarkEnd w:id="24"/>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5" w:name="bookmark25"/>
      <w:bookmarkEnd w:id="25"/>
      <w:r>
        <w:rPr>
          <w:color w:val="000000"/>
          <w:spacing w:val="0"/>
          <w:w w:val="100"/>
          <w:position w:val="0"/>
          <w:shd w:val="clear" w:color="auto" w:fill="auto"/>
          <w:lang w:val="cs-CZ" w:eastAsia="cs-CZ" w:bidi="cs-CZ"/>
        </w:rPr>
        <w:t>kontrola souladu dokumentace skutečného provedení stavby s dokončenou stavbou,</w:t>
      </w:r>
    </w:p>
    <w:p>
      <w:pPr>
        <w:pStyle w:val="Style4"/>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6" w:name="bookmark26"/>
      <w:bookmarkEnd w:id="26"/>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4"/>
        <w:keepNext w:val="0"/>
        <w:keepLines w:val="0"/>
        <w:widowControl w:val="0"/>
        <w:numPr>
          <w:ilvl w:val="0"/>
          <w:numId w:val="5"/>
        </w:numPr>
        <w:shd w:val="clear" w:color="auto" w:fill="auto"/>
        <w:tabs>
          <w:tab w:pos="897" w:val="left"/>
        </w:tabs>
        <w:bidi w:val="0"/>
        <w:spacing w:before="0" w:after="40" w:line="240" w:lineRule="auto"/>
        <w:ind w:left="0" w:right="0" w:firstLine="440"/>
        <w:jc w:val="both"/>
      </w:pPr>
      <w:bookmarkStart w:id="27" w:name="bookmark27"/>
      <w:bookmarkEnd w:id="27"/>
      <w:r>
        <w:rPr>
          <w:color w:val="000000"/>
          <w:spacing w:val="0"/>
          <w:w w:val="100"/>
          <w:position w:val="0"/>
          <w:shd w:val="clear" w:color="auto" w:fill="auto"/>
          <w:lang w:val="cs-CZ" w:eastAsia="cs-CZ" w:bidi="cs-CZ"/>
        </w:rPr>
        <w:t>sledování postupu provádění stavby z technického a časového hlediska a</w:t>
      </w:r>
    </w:p>
    <w:p>
      <w:pPr>
        <w:pStyle w:val="Style4"/>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8" w:name="bookmark28"/>
      <w:bookmarkEnd w:id="28"/>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4"/>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0" w:name="bookmark30"/>
      <w:bookmarkEnd w:id="30"/>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4"/>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1" w:name="bookmark31"/>
      <w:bookmarkEnd w:id="31"/>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4"/>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4"/>
        <w:keepNext w:val="0"/>
        <w:keepLines w:val="0"/>
        <w:widowControl w:val="0"/>
        <w:numPr>
          <w:ilvl w:val="0"/>
          <w:numId w:val="3"/>
        </w:numPr>
        <w:shd w:val="clear" w:color="auto" w:fill="auto"/>
        <w:tabs>
          <w:tab w:pos="400" w:val="left"/>
        </w:tabs>
        <w:bidi w:val="0"/>
        <w:spacing w:before="0" w:line="240" w:lineRule="auto"/>
        <w:ind w:left="0" w:right="0" w:firstLine="0"/>
        <w:jc w:val="both"/>
      </w:pPr>
      <w:bookmarkStart w:id="35" w:name="bookmark35"/>
      <w:bookmarkEnd w:id="35"/>
      <w:r>
        <w:rPr>
          <w:color w:val="000000"/>
          <w:spacing w:val="0"/>
          <w:w w:val="100"/>
          <w:position w:val="0"/>
          <w:shd w:val="clear" w:color="auto" w:fill="auto"/>
          <w:lang w:val="cs-CZ" w:eastAsia="cs-CZ" w:bidi="cs-CZ"/>
        </w:rPr>
        <w:t>Příkazce poskytne příkazníkovi součinnost nezbytnou k plnění této smlouvy.</w:t>
      </w:r>
    </w:p>
    <w:p>
      <w:pPr>
        <w:pStyle w:val="Style4"/>
        <w:keepNext w:val="0"/>
        <w:keepLines w:val="0"/>
        <w:widowControl w:val="0"/>
        <w:numPr>
          <w:ilvl w:val="0"/>
          <w:numId w:val="3"/>
        </w:numPr>
        <w:shd w:val="clear" w:color="auto" w:fill="auto"/>
        <w:tabs>
          <w:tab w:pos="400" w:val="left"/>
        </w:tabs>
        <w:bidi w:val="0"/>
        <w:spacing w:before="0" w:after="24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2"/>
        <w:keepNext/>
        <w:keepLines/>
        <w:widowControl w:val="0"/>
        <w:numPr>
          <w:ilvl w:val="0"/>
          <w:numId w:val="1"/>
        </w:numPr>
        <w:shd w:val="clear" w:color="auto" w:fill="auto"/>
        <w:tabs>
          <w:tab w:pos="400" w:val="left"/>
        </w:tabs>
        <w:bidi w:val="0"/>
        <w:spacing w:before="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Doba plněn í</w:t>
      </w:r>
      <w:bookmarkEnd w:id="37"/>
      <w:bookmarkEnd w:id="38"/>
      <w:bookmarkEnd w:id="40"/>
    </w:p>
    <w:p>
      <w:pPr>
        <w:pStyle w:val="Style4"/>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4"/>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4"/>
        <w:keepNext w:val="0"/>
        <w:keepLines w:val="0"/>
        <w:widowControl w:val="0"/>
        <w:numPr>
          <w:ilvl w:val="0"/>
          <w:numId w:val="9"/>
        </w:numPr>
        <w:shd w:val="clear" w:color="auto" w:fill="auto"/>
        <w:tabs>
          <w:tab w:pos="400" w:val="left"/>
        </w:tabs>
        <w:bidi w:val="0"/>
        <w:spacing w:before="0" w:after="24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2"/>
        <w:keepNext/>
        <w:keepLines/>
        <w:widowControl w:val="0"/>
        <w:numPr>
          <w:ilvl w:val="0"/>
          <w:numId w:val="1"/>
        </w:numPr>
        <w:shd w:val="clear" w:color="auto" w:fill="auto"/>
        <w:tabs>
          <w:tab w:pos="445" w:val="left"/>
        </w:tabs>
        <w:bidi w:val="0"/>
        <w:spacing w:before="0" w:line="240" w:lineRule="auto"/>
        <w:ind w:left="0" w:right="0" w:firstLine="0"/>
        <w:jc w:val="center"/>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Odměna a náhrada nákladů</w:t>
      </w:r>
      <w:bookmarkEnd w:id="44"/>
      <w:bookmarkEnd w:id="45"/>
      <w:bookmarkEnd w:id="47"/>
    </w:p>
    <w:p>
      <w:pPr>
        <w:pStyle w:val="Style4"/>
        <w:keepNext w:val="0"/>
        <w:keepLines w:val="0"/>
        <w:widowControl w:val="0"/>
        <w:numPr>
          <w:ilvl w:val="0"/>
          <w:numId w:val="11"/>
        </w:numPr>
        <w:shd w:val="clear" w:color="auto" w:fill="auto"/>
        <w:tabs>
          <w:tab w:pos="400"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Příkazníkovi náleží odměna ve výši</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9" w:name="bookmark49"/>
      <w:bookmarkEnd w:id="49"/>
      <w:r>
        <w:rPr>
          <w:b/>
          <w:bCs/>
          <w:color w:val="000000"/>
          <w:spacing w:val="0"/>
          <w:w w:val="100"/>
          <w:position w:val="0"/>
          <w:shd w:val="clear" w:color="auto" w:fill="auto"/>
          <w:lang w:val="cs-CZ" w:eastAsia="cs-CZ" w:bidi="cs-CZ"/>
        </w:rPr>
        <w:t xml:space="preserve">11 320,- Kč bez DPH </w:t>
      </w:r>
      <w:r>
        <w:rPr>
          <w:color w:val="000000"/>
          <w:spacing w:val="0"/>
          <w:w w:val="100"/>
          <w:position w:val="0"/>
          <w:shd w:val="clear" w:color="auto" w:fill="auto"/>
          <w:lang w:val="cs-CZ" w:eastAsia="cs-CZ" w:bidi="cs-CZ"/>
        </w:rPr>
        <w:t>za aktivní účast na 1 kontrolním dnu stavby včetně dopravy</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50" w:name="bookmark50"/>
      <w:bookmarkEnd w:id="50"/>
      <w:r>
        <w:rPr>
          <w:b/>
          <w:bCs/>
          <w:color w:val="000000"/>
          <w:spacing w:val="0"/>
          <w:w w:val="100"/>
          <w:position w:val="0"/>
          <w:shd w:val="clear" w:color="auto" w:fill="auto"/>
          <w:lang w:val="cs-CZ" w:eastAsia="cs-CZ" w:bidi="cs-CZ"/>
        </w:rPr>
        <w:t xml:space="preserve">1 100,- Kč bez DPH </w:t>
      </w:r>
      <w:r>
        <w:rPr>
          <w:color w:val="000000"/>
          <w:spacing w:val="0"/>
          <w:w w:val="100"/>
          <w:position w:val="0"/>
          <w:shd w:val="clear" w:color="auto" w:fill="auto"/>
          <w:lang w:val="cs-CZ" w:eastAsia="cs-CZ" w:bidi="cs-CZ"/>
        </w:rPr>
        <w:t>za 1 člověkohodinu výkonu dalších činností.</w:t>
      </w:r>
    </w:p>
    <w:p>
      <w:pPr>
        <w:pStyle w:val="Style4"/>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179 200,- Kč bez DPH.</w:t>
      </w:r>
    </w:p>
    <w:p>
      <w:pPr>
        <w:pStyle w:val="Style4"/>
        <w:keepNext w:val="0"/>
        <w:keepLines w:val="0"/>
        <w:widowControl w:val="0"/>
        <w:numPr>
          <w:ilvl w:val="0"/>
          <w:numId w:val="11"/>
        </w:numPr>
        <w:shd w:val="clear" w:color="auto" w:fill="auto"/>
        <w:tabs>
          <w:tab w:pos="400"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4"/>
        <w:keepNext w:val="0"/>
        <w:keepLines w:val="0"/>
        <w:widowControl w:val="0"/>
        <w:numPr>
          <w:ilvl w:val="0"/>
          <w:numId w:val="11"/>
        </w:numPr>
        <w:shd w:val="clear" w:color="auto" w:fill="auto"/>
        <w:tabs>
          <w:tab w:pos="415" w:val="left"/>
        </w:tabs>
        <w:bidi w:val="0"/>
        <w:spacing w:before="0" w:after="24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Vykazování a platební podmínky</w:t>
      </w:r>
      <w:bookmarkEnd w:id="53"/>
      <w:bookmarkEnd w:id="54"/>
      <w:bookmarkEnd w:id="56"/>
    </w:p>
    <w:p>
      <w:pPr>
        <w:pStyle w:val="Style4"/>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4"/>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4"/>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4"/>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4"/>
        <w:keepNext w:val="0"/>
        <w:keepLines w:val="0"/>
        <w:widowControl w:val="0"/>
        <w:numPr>
          <w:ilvl w:val="0"/>
          <w:numId w:val="15"/>
        </w:numPr>
        <w:shd w:val="clear" w:color="auto" w:fill="auto"/>
        <w:tabs>
          <w:tab w:pos="415"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Splatnost každé faktury je do 30 kalendářních dnů ode dne doručení příkazci.</w:t>
      </w:r>
    </w:p>
    <w:p>
      <w:pPr>
        <w:pStyle w:val="Style4"/>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4"/>
        <w:keepNext w:val="0"/>
        <w:keepLines w:val="0"/>
        <w:widowControl w:val="0"/>
        <w:numPr>
          <w:ilvl w:val="0"/>
          <w:numId w:val="15"/>
        </w:numPr>
        <w:shd w:val="clear" w:color="auto" w:fill="auto"/>
        <w:tabs>
          <w:tab w:pos="415" w:val="left"/>
        </w:tabs>
        <w:bidi w:val="0"/>
        <w:spacing w:before="0" w:after="24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2"/>
        <w:keepNext/>
        <w:keepLines/>
        <w:widowControl w:val="0"/>
        <w:numPr>
          <w:ilvl w:val="0"/>
          <w:numId w:val="1"/>
        </w:numPr>
        <w:shd w:val="clear" w:color="auto" w:fill="auto"/>
        <w:tabs>
          <w:tab w:pos="346" w:val="left"/>
        </w:tabs>
        <w:bidi w:val="0"/>
        <w:spacing w:before="0" w:line="240" w:lineRule="auto"/>
        <w:ind w:left="0" w:right="0" w:firstLine="0"/>
        <w:jc w:val="center"/>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Odpovědnost za škodu</w:t>
      </w:r>
      <w:bookmarkEnd w:id="64"/>
      <w:bookmarkEnd w:id="65"/>
      <w:bookmarkEnd w:id="67"/>
    </w:p>
    <w:p>
      <w:pPr>
        <w:pStyle w:val="Style4"/>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4"/>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4"/>
        <w:keepNext w:val="0"/>
        <w:keepLines w:val="0"/>
        <w:widowControl w:val="0"/>
        <w:numPr>
          <w:ilvl w:val="0"/>
          <w:numId w:val="17"/>
        </w:numPr>
        <w:shd w:val="clear" w:color="auto" w:fill="auto"/>
        <w:tabs>
          <w:tab w:pos="415" w:val="left"/>
        </w:tabs>
        <w:bidi w:val="0"/>
        <w:spacing w:before="0" w:line="240" w:lineRule="auto"/>
        <w:ind w:left="0" w:right="0" w:firstLine="0"/>
        <w:jc w:val="left"/>
        <w:sectPr>
          <w:footnotePr>
            <w:pos w:val="pageBottom"/>
            <w:numFmt w:val="decimal"/>
            <w:numRestart w:val="continuous"/>
          </w:footnotePr>
          <w:type w:val="continuous"/>
          <w:pgSz w:w="11909" w:h="16838"/>
          <w:pgMar w:top="1169" w:left="1077" w:right="986" w:bottom="1139" w:header="0" w:footer="3" w:gutter="0"/>
          <w:cols w:space="720"/>
          <w:noEndnote/>
          <w:rtlGutter w:val="0"/>
          <w:docGrid w:linePitch="360"/>
        </w:sectPr>
      </w:pPr>
      <w:bookmarkStart w:id="70" w:name="bookmark70"/>
      <w:bookmarkEnd w:id="70"/>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3"/>
        <w:keepNext w:val="0"/>
        <w:keepLines w:val="0"/>
        <w:widowControl w:val="0"/>
        <w:shd w:val="clear" w:color="auto" w:fill="auto"/>
        <w:bidi w:val="0"/>
        <w:spacing w:before="0" w:after="0"/>
        <w:ind w:firstLine="0"/>
        <w:jc w:val="right"/>
      </w:pPr>
      <w:r>
        <w:rPr>
          <w:color w:val="000000"/>
          <w:spacing w:val="0"/>
          <w:w w:val="100"/>
          <w:position w:val="0"/>
          <w:shd w:val="clear" w:color="auto" w:fill="auto"/>
          <w:lang w:val="cs-CZ" w:eastAsia="cs-CZ" w:bidi="cs-CZ"/>
        </w:rPr>
        <w:t>Příkazní smlouva akce č. 502 202</w:t>
      </w:r>
    </w:p>
    <w:p>
      <w:pPr>
        <w:pStyle w:val="Style2"/>
        <w:keepNext/>
        <w:keepLines/>
        <w:widowControl w:val="0"/>
        <w:numPr>
          <w:ilvl w:val="0"/>
          <w:numId w:val="1"/>
        </w:numPr>
        <w:shd w:val="clear" w:color="auto" w:fill="auto"/>
        <w:tabs>
          <w:tab w:pos="432" w:val="left"/>
        </w:tabs>
        <w:bidi w:val="0"/>
        <w:spacing w:before="0" w:line="276" w:lineRule="auto"/>
        <w:ind w:left="0" w:right="0" w:firstLine="0"/>
        <w:jc w:val="center"/>
      </w:pPr>
      <w:bookmarkStart w:id="71" w:name="bookmark71"/>
      <w:bookmarkStart w:id="72" w:name="bookmark72"/>
      <w:bookmarkStart w:id="73" w:name="bookmark73"/>
      <w:bookmarkStart w:id="74" w:name="bookmark74"/>
      <w:bookmarkEnd w:id="73"/>
      <w:r>
        <w:rPr>
          <w:color w:val="000000"/>
          <w:spacing w:val="0"/>
          <w:w w:val="100"/>
          <w:position w:val="0"/>
          <w:u w:val="single"/>
          <w:shd w:val="clear" w:color="auto" w:fill="auto"/>
          <w:lang w:val="cs-CZ" w:eastAsia="cs-CZ" w:bidi="cs-CZ"/>
        </w:rPr>
        <w:t>Sankce</w:t>
      </w:r>
      <w:bookmarkEnd w:id="71"/>
      <w:bookmarkEnd w:id="72"/>
      <w:bookmarkEnd w:id="74"/>
    </w:p>
    <w:p>
      <w:pPr>
        <w:pStyle w:val="Style4"/>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4"/>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4"/>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4"/>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4"/>
        <w:keepNext w:val="0"/>
        <w:keepLines w:val="0"/>
        <w:widowControl w:val="0"/>
        <w:numPr>
          <w:ilvl w:val="0"/>
          <w:numId w:val="19"/>
        </w:numPr>
        <w:shd w:val="clear" w:color="auto" w:fill="auto"/>
        <w:tabs>
          <w:tab w:pos="402" w:val="left"/>
        </w:tabs>
        <w:bidi w:val="0"/>
        <w:spacing w:before="0" w:after="24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2"/>
        <w:keepNext/>
        <w:keepLines/>
        <w:widowControl w:val="0"/>
        <w:numPr>
          <w:ilvl w:val="0"/>
          <w:numId w:val="1"/>
        </w:numPr>
        <w:shd w:val="clear" w:color="auto" w:fill="auto"/>
        <w:tabs>
          <w:tab w:pos="494"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u w:val="single"/>
          <w:shd w:val="clear" w:color="auto" w:fill="auto"/>
          <w:lang w:val="cs-CZ" w:eastAsia="cs-CZ" w:bidi="cs-CZ"/>
        </w:rPr>
        <w:t>Odstoupení od smlouvy, výpověď</w:t>
      </w:r>
      <w:bookmarkEnd w:id="80"/>
      <w:bookmarkEnd w:id="81"/>
      <w:bookmarkEnd w:id="83"/>
    </w:p>
    <w:p>
      <w:pPr>
        <w:pStyle w:val="Style4"/>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4"/>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4"/>
        <w:keepNext w:val="0"/>
        <w:keepLines w:val="0"/>
        <w:widowControl w:val="0"/>
        <w:numPr>
          <w:ilvl w:val="0"/>
          <w:numId w:val="21"/>
        </w:numPr>
        <w:shd w:val="clear" w:color="auto" w:fill="auto"/>
        <w:tabs>
          <w:tab w:pos="402" w:val="left"/>
        </w:tabs>
        <w:bidi w:val="0"/>
        <w:spacing w:before="0" w:after="40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2"/>
        <w:keepNext/>
        <w:keepLines/>
        <w:widowControl w:val="0"/>
        <w:numPr>
          <w:ilvl w:val="0"/>
          <w:numId w:val="1"/>
        </w:numPr>
        <w:shd w:val="clear" w:color="auto" w:fill="auto"/>
        <w:tabs>
          <w:tab w:pos="552" w:val="left"/>
        </w:tabs>
        <w:bidi w:val="0"/>
        <w:spacing w:before="0" w:after="200" w:line="240" w:lineRule="auto"/>
        <w:ind w:left="0" w:right="0" w:firstLine="0"/>
        <w:jc w:val="center"/>
      </w:pPr>
      <w:bookmarkStart w:id="87" w:name="bookmark87"/>
      <w:bookmarkStart w:id="88" w:name="bookmark88"/>
      <w:bookmarkStart w:id="89" w:name="bookmark89"/>
      <w:bookmarkStart w:id="90" w:name="bookmark90"/>
      <w:bookmarkEnd w:id="89"/>
      <w:r>
        <w:rPr>
          <w:color w:val="000000"/>
          <w:spacing w:val="0"/>
          <w:w w:val="100"/>
          <w:position w:val="0"/>
          <w:u w:val="single"/>
          <w:shd w:val="clear" w:color="auto" w:fill="auto"/>
          <w:lang w:val="cs-CZ" w:eastAsia="cs-CZ" w:bidi="cs-CZ"/>
        </w:rPr>
        <w:t>Compliance doložka</w:t>
      </w:r>
      <w:bookmarkEnd w:id="87"/>
      <w:bookmarkEnd w:id="88"/>
      <w:bookmarkEnd w:id="90"/>
    </w:p>
    <w:p>
      <w:pPr>
        <w:pStyle w:val="Style4"/>
        <w:keepNext w:val="0"/>
        <w:keepLines w:val="0"/>
        <w:widowControl w:val="0"/>
        <w:numPr>
          <w:ilvl w:val="0"/>
          <w:numId w:val="23"/>
        </w:numPr>
        <w:shd w:val="clear" w:color="auto" w:fill="auto"/>
        <w:tabs>
          <w:tab w:pos="402" w:val="left"/>
        </w:tabs>
        <w:bidi w:val="0"/>
        <w:spacing w:before="0" w:after="20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23"/>
        </w:numPr>
        <w:shd w:val="clear" w:color="auto" w:fill="auto"/>
        <w:tabs>
          <w:tab w:pos="402" w:val="left"/>
        </w:tabs>
        <w:bidi w:val="0"/>
        <w:spacing w:before="0" w:after="6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23"/>
        </w:numPr>
        <w:shd w:val="clear" w:color="auto" w:fill="auto"/>
        <w:tabs>
          <w:tab w:pos="402" w:val="left"/>
        </w:tabs>
        <w:bidi w:val="0"/>
        <w:spacing w:before="0" w:after="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Příkazník prohlašuje, že se seznámil se zásadami, hodnotami a cíli Compliance programu</w:t>
      </w:r>
    </w:p>
    <w:p>
      <w:pPr>
        <w:pStyle w:val="Style4"/>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4"/>
        <w:keepNext w:val="0"/>
        <w:keepLines w:val="0"/>
        <w:widowControl w:val="0"/>
        <w:shd w:val="clear" w:color="auto" w:fill="auto"/>
        <w:bidi w:val="0"/>
        <w:spacing w:before="0" w:line="240" w:lineRule="auto"/>
        <w:ind w:left="380" w:right="0" w:firstLine="40"/>
        <w:jc w:val="both"/>
        <w:sectPr>
          <w:headerReference w:type="default" r:id="rId7"/>
          <w:footerReference w:type="default" r:id="rId8"/>
          <w:footnotePr>
            <w:pos w:val="pageBottom"/>
            <w:numFmt w:val="decimal"/>
            <w:numRestart w:val="continuous"/>
          </w:footnotePr>
          <w:pgSz w:w="11909" w:h="16838"/>
          <w:pgMar w:top="662" w:left="1111" w:right="924" w:bottom="912" w:header="234" w:footer="3" w:gutter="0"/>
          <w:cols w:space="720"/>
          <w:noEndnote/>
          <w:rtlGutter w:val="0"/>
          <w:docGrid w:linePitch="360"/>
        </w:sectPr>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4"/>
        <w:keepNext w:val="0"/>
        <w:keepLines w:val="0"/>
        <w:widowControl w:val="0"/>
        <w:numPr>
          <w:ilvl w:val="0"/>
          <w:numId w:val="23"/>
        </w:numPr>
        <w:shd w:val="clear" w:color="auto" w:fill="auto"/>
        <w:tabs>
          <w:tab w:pos="397"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418" w:val="left"/>
        </w:tabs>
        <w:bidi w:val="0"/>
        <w:spacing w:before="0" w:after="18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u w:val="single"/>
          <w:shd w:val="clear" w:color="auto" w:fill="auto"/>
          <w:lang w:val="cs-CZ" w:eastAsia="cs-CZ" w:bidi="cs-CZ"/>
        </w:rPr>
        <w:t>Ochrana a zpracování osobních údajů</w:t>
      </w:r>
      <w:bookmarkEnd w:id="95"/>
      <w:bookmarkEnd w:id="96"/>
      <w:bookmarkEnd w:id="98"/>
    </w:p>
    <w:p>
      <w:pPr>
        <w:pStyle w:val="Style4"/>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numPr>
          <w:ilvl w:val="0"/>
          <w:numId w:val="1"/>
        </w:numPr>
        <w:shd w:val="clear" w:color="auto" w:fill="auto"/>
        <w:tabs>
          <w:tab w:pos="397" w:val="left"/>
        </w:tabs>
        <w:bidi w:val="0"/>
        <w:spacing w:before="0" w:line="240" w:lineRule="auto"/>
        <w:ind w:left="0" w:right="0" w:firstLine="0"/>
        <w:jc w:val="center"/>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Závěrečná ustanoven í</w:t>
      </w:r>
      <w:bookmarkEnd w:id="100"/>
      <w:bookmarkEnd w:id="102"/>
      <w:bookmarkEnd w:id="99"/>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4"/>
        <w:keepNext w:val="0"/>
        <w:keepLines w:val="0"/>
        <w:widowControl w:val="0"/>
        <w:numPr>
          <w:ilvl w:val="0"/>
          <w:numId w:val="25"/>
        </w:numPr>
        <w:shd w:val="clear" w:color="auto" w:fill="auto"/>
        <w:tabs>
          <w:tab w:pos="397" w:val="left"/>
        </w:tabs>
        <w:bidi w:val="0"/>
        <w:spacing w:before="0" w:after="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4"/>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4"/>
        <w:keepNext w:val="0"/>
        <w:keepLines w:val="0"/>
        <w:widowControl w:val="0"/>
        <w:numPr>
          <w:ilvl w:val="0"/>
          <w:numId w:val="25"/>
        </w:numPr>
        <w:shd w:val="clear" w:color="auto" w:fill="auto"/>
        <w:tabs>
          <w:tab w:pos="397" w:val="left"/>
        </w:tabs>
        <w:bidi w:val="0"/>
        <w:spacing w:before="0" w:line="240" w:lineRule="auto"/>
        <w:ind w:left="0" w:right="0" w:firstLine="0"/>
        <w:jc w:val="left"/>
      </w:pPr>
      <w:bookmarkStart w:id="111" w:name="bookmark111"/>
      <w:bookmarkEnd w:id="111"/>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4"/>
        <w:keepNext w:val="0"/>
        <w:keepLines w:val="0"/>
        <w:widowControl w:val="0"/>
        <w:numPr>
          <w:ilvl w:val="0"/>
          <w:numId w:val="25"/>
        </w:numPr>
        <w:shd w:val="clear" w:color="auto" w:fill="auto"/>
        <w:tabs>
          <w:tab w:pos="442" w:val="left"/>
        </w:tabs>
        <w:bidi w:val="0"/>
        <w:spacing w:before="0" w:line="240" w:lineRule="auto"/>
        <w:ind w:left="440" w:right="0" w:hanging="440"/>
        <w:jc w:val="left"/>
      </w:pPr>
      <w:bookmarkStart w:id="112" w:name="bookmark112"/>
      <w:bookmarkEnd w:id="11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4"/>
        <w:keepNext w:val="0"/>
        <w:keepLines w:val="0"/>
        <w:widowControl w:val="0"/>
        <w:numPr>
          <w:ilvl w:val="0"/>
          <w:numId w:val="25"/>
        </w:numPr>
        <w:shd w:val="clear" w:color="auto" w:fill="auto"/>
        <w:tabs>
          <w:tab w:pos="442" w:val="left"/>
        </w:tabs>
        <w:bidi w:val="0"/>
        <w:spacing w:before="0" w:line="240" w:lineRule="auto"/>
        <w:ind w:left="440" w:right="0" w:hanging="440"/>
        <w:jc w:val="left"/>
      </w:pPr>
      <w:bookmarkStart w:id="113" w:name="bookmark113"/>
      <w:bookmarkEnd w:id="113"/>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4"/>
        <w:keepNext w:val="0"/>
        <w:keepLines w:val="0"/>
        <w:widowControl w:val="0"/>
        <w:numPr>
          <w:ilvl w:val="0"/>
          <w:numId w:val="25"/>
        </w:numPr>
        <w:shd w:val="clear" w:color="auto" w:fill="auto"/>
        <w:tabs>
          <w:tab w:pos="442" w:val="left"/>
        </w:tabs>
        <w:bidi w:val="0"/>
        <w:spacing w:before="0" w:after="560" w:line="240" w:lineRule="auto"/>
        <w:ind w:left="440" w:right="0" w:hanging="440"/>
        <w:jc w:val="left"/>
      </w:pPr>
      <w:bookmarkStart w:id="114" w:name="bookmark114"/>
      <w:bookmarkEnd w:id="11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tbl>
      <w:tblPr>
        <w:tblOverlap w:val="never"/>
        <w:jc w:val="center"/>
        <w:tblLayout w:type="fixed"/>
      </w:tblPr>
      <w:tblGrid>
        <w:gridCol w:w="3648"/>
        <w:gridCol w:w="6048"/>
      </w:tblGrid>
      <w:tr>
        <w:trPr>
          <w:trHeight w:val="102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V Praze</w:t>
            </w:r>
          </w:p>
        </w:tc>
      </w:tr>
      <w:tr>
        <w:trPr>
          <w:trHeight w:val="114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w:t>
            </w:r>
          </w:p>
        </w:tc>
      </w:tr>
      <w:tr>
        <w:trPr>
          <w:trHeight w:val="72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prokurista</w:t>
            </w:r>
          </w:p>
          <w:p>
            <w:pPr>
              <w:pStyle w:val="Style15"/>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VODNÍ DÍLA – TBD a.s.</w:t>
            </w:r>
          </w:p>
        </w:tc>
      </w:tr>
    </w:tbl>
    <w:sectPr>
      <w:headerReference w:type="default" r:id="rId9"/>
      <w:footerReference w:type="default" r:id="rId10"/>
      <w:footnotePr>
        <w:pos w:val="pageBottom"/>
        <w:numFmt w:val="decimal"/>
        <w:numRestart w:val="continuous"/>
      </w:footnotePr>
      <w:pgSz w:w="11909" w:h="16838"/>
      <w:pgMar w:top="1454" w:left="1111" w:right="939" w:bottom="14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3439160</wp:posOffset>
              </wp:positionH>
              <wp:positionV relativeFrom="page">
                <wp:posOffset>10160635</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80000000000001pt;margin-top:800.05000000000007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3439160</wp:posOffset>
              </wp:positionH>
              <wp:positionV relativeFrom="page">
                <wp:posOffset>10113010</wp:posOffset>
              </wp:positionV>
              <wp:extent cx="917575" cy="140335"/>
              <wp:wrapNone/>
              <wp:docPr id="13" name="Shape 1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9" type="#_x0000_t202" style="position:absolute;margin-left:270.80000000000001pt;margin-top:796.30000000000007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3439160</wp:posOffset>
              </wp:positionH>
              <wp:positionV relativeFrom="page">
                <wp:posOffset>10160635</wp:posOffset>
              </wp:positionV>
              <wp:extent cx="917575" cy="140335"/>
              <wp:wrapNone/>
              <wp:docPr id="17" name="Shape 17"/>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3" type="#_x0000_t202" style="position:absolute;margin-left:270.80000000000001pt;margin-top:800.05000000000007pt;width:72.25pt;height:11.05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6033135</wp:posOffset>
              </wp:positionH>
              <wp:positionV relativeFrom="page">
                <wp:posOffset>422910</wp:posOffset>
              </wp:positionV>
              <wp:extent cx="810895" cy="255905"/>
              <wp:wrapNone/>
              <wp:docPr id="1" name="Shape 1"/>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05000000000001pt;margin-top:33.299999999999997pt;width:63.850000000000001pt;height:20.15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6033135</wp:posOffset>
              </wp:positionH>
              <wp:positionV relativeFrom="page">
                <wp:posOffset>422910</wp:posOffset>
              </wp:positionV>
              <wp:extent cx="810895" cy="255905"/>
              <wp:wrapNone/>
              <wp:docPr id="15" name="Shape 15"/>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502 202</w:t>
                          </w:r>
                        </w:p>
                      </w:txbxContent>
                    </wps:txbx>
                    <wps:bodyPr wrap="none" lIns="0" tIns="0" rIns="0" bIns="0">
                      <a:spAutoFit/>
                    </wps:bodyPr>
                  </wps:wsp>
                </a:graphicData>
              </a:graphic>
            </wp:anchor>
          </w:drawing>
        </mc:Choice>
        <mc:Fallback>
          <w:pict>
            <v:shape id="_x0000_s1041" type="#_x0000_t202" style="position:absolute;margin-left:475.05000000000001pt;margin-top:33.299999999999997pt;width:63.850000000000001pt;height:20.15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6"/>
      <w:szCs w:val="16"/>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line="276" w:lineRule="auto"/>
      <w:ind w:left="8340" w:right="200"/>
      <w:jc w:val="right"/>
    </w:pPr>
    <w:rPr>
      <w:rFonts w:ascii="Arial" w:eastAsia="Arial" w:hAnsi="Arial" w:cs="Arial"/>
      <w:b w:val="0"/>
      <w:bCs w:val="0"/>
      <w:i w:val="0"/>
      <w:iCs w:val="0"/>
      <w:smallCaps w:val="0"/>
      <w:strike w:val="0"/>
      <w:sz w:val="16"/>
      <w:szCs w:val="16"/>
      <w:u w:val="none"/>
    </w:rPr>
  </w:style>
  <w:style w:type="paragraph" w:customStyle="1" w:styleId="Style15">
    <w:name w:val="Style 15"/>
    <w:basedOn w:val="Normal"/>
    <w:link w:val="CharStyle16"/>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