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80" w:rsidRDefault="004F29D6">
      <w:pPr>
        <w:spacing w:after="657" w:line="216" w:lineRule="auto"/>
        <w:ind w:left="4087" w:right="3140" w:hanging="125"/>
        <w:jc w:val="left"/>
      </w:pPr>
      <w:r>
        <w:rPr>
          <w:rFonts w:ascii="Calibri" w:eastAsia="Calibri" w:hAnsi="Calibri" w:cs="Calibri"/>
        </w:rPr>
        <w:t>Klicperovo divadlo Hradec Králové</w:t>
      </w:r>
    </w:p>
    <w:p w:rsidR="00092180" w:rsidRDefault="004F29D6">
      <w:pPr>
        <w:pStyle w:val="Nadpis1"/>
      </w:pPr>
      <w:r>
        <w:t>Smlouva</w:t>
      </w:r>
    </w:p>
    <w:p w:rsidR="00092180" w:rsidRDefault="004F29D6">
      <w:pPr>
        <w:spacing w:after="136" w:line="259" w:lineRule="auto"/>
        <w:ind w:left="29" w:right="0"/>
        <w:jc w:val="center"/>
      </w:pPr>
      <w:r>
        <w:rPr>
          <w:sz w:val="36"/>
        </w:rPr>
        <w:t>o pořádání divadelního představení</w:t>
      </w:r>
    </w:p>
    <w:p w:rsidR="00092180" w:rsidRDefault="004F29D6">
      <w:pPr>
        <w:spacing w:after="0" w:line="259" w:lineRule="auto"/>
        <w:ind w:left="43" w:right="0" w:hanging="10"/>
        <w:jc w:val="left"/>
      </w:pPr>
      <w:r>
        <w:rPr>
          <w:sz w:val="30"/>
        </w:rPr>
        <w:t>Klicperovo divadlo o. p. s.</w:t>
      </w:r>
    </w:p>
    <w:p w:rsidR="00092180" w:rsidRDefault="004F29D6">
      <w:pPr>
        <w:ind w:left="28"/>
      </w:pPr>
      <w:r>
        <w:t>se sídlem: Dlouhá 99/9, 500 01 Hradec Králové zastoupené: Ing. Evou Mikulkovou, ředitelkou IČO: 275 04 689, DIČ: CZ27504689</w:t>
      </w:r>
    </w:p>
    <w:p w:rsidR="00092180" w:rsidRDefault="00092180">
      <w:pPr>
        <w:ind w:left="28" w:right="14"/>
      </w:pPr>
    </w:p>
    <w:p w:rsidR="00092180" w:rsidRDefault="004F29D6">
      <w:pPr>
        <w:spacing w:after="25" w:line="265" w:lineRule="auto"/>
        <w:ind w:left="57" w:right="7169" w:hanging="10"/>
      </w:pPr>
      <w:r>
        <w:rPr>
          <w:sz w:val="24"/>
        </w:rPr>
        <w:t xml:space="preserve"> </w:t>
      </w:r>
      <w:r>
        <w:rPr>
          <w:sz w:val="24"/>
        </w:rPr>
        <w:t>(dále jen ”divadlo") a</w:t>
      </w:r>
    </w:p>
    <w:p w:rsidR="00092180" w:rsidRDefault="004F29D6">
      <w:pPr>
        <w:spacing w:after="0" w:line="259" w:lineRule="auto"/>
        <w:ind w:left="43" w:right="0" w:hanging="10"/>
        <w:jc w:val="left"/>
      </w:pPr>
      <w:r>
        <w:rPr>
          <w:sz w:val="30"/>
        </w:rPr>
        <w:t>Smetanův dům Litomyšl</w:t>
      </w:r>
    </w:p>
    <w:p w:rsidR="00092180" w:rsidRDefault="004F29D6">
      <w:pPr>
        <w:ind w:left="28" w:right="4331"/>
      </w:pPr>
      <w:r>
        <w:t>se sídlem: Komenského náměstí 402, 570 Ol Litomyšl zastoupené: MgA. Leoš</w:t>
      </w:r>
      <w:r>
        <w:t>em Krejčím, ředitelem IČO: 00527416</w:t>
      </w:r>
    </w:p>
    <w:p w:rsidR="00092180" w:rsidRDefault="00092180">
      <w:pPr>
        <w:spacing w:after="237"/>
        <w:ind w:left="28" w:right="3606"/>
      </w:pPr>
    </w:p>
    <w:p w:rsidR="00092180" w:rsidRDefault="004F29D6">
      <w:pPr>
        <w:spacing w:after="659" w:line="305" w:lineRule="auto"/>
        <w:ind w:left="230" w:right="202" w:hanging="187"/>
      </w:pPr>
      <w:r>
        <w:rPr>
          <w:sz w:val="26"/>
        </w:rPr>
        <w:t>(dále jen ”pořadatel”) uzavírají podle Zákona č. 89/2012 Sb., občanský zákoník, S 1746 odst. 2} 1746 odst. 2 tuto smlouvu o pořádání divadelního představení:</w:t>
      </w:r>
    </w:p>
    <w:p w:rsidR="00092180" w:rsidRDefault="004F29D6">
      <w:pPr>
        <w:numPr>
          <w:ilvl w:val="0"/>
          <w:numId w:val="1"/>
        </w:numPr>
        <w:spacing w:after="92" w:line="259" w:lineRule="auto"/>
        <w:ind w:right="0" w:hanging="279"/>
        <w:jc w:val="center"/>
      </w:pPr>
      <w:r>
        <w:rPr>
          <w:sz w:val="26"/>
        </w:rPr>
        <w:t>Předmět smlouvy</w:t>
      </w:r>
    </w:p>
    <w:p w:rsidR="00092180" w:rsidRDefault="004F29D6">
      <w:pPr>
        <w:spacing w:after="240"/>
        <w:ind w:left="28" w:right="14"/>
      </w:pPr>
      <w:r>
        <w:t>Předmětem této smlouvy je vymezení vzájemných práv a povinností při pořádání divad</w:t>
      </w:r>
      <w:r>
        <w:t>elního představení divadla na scéně zajištěné pořadatelem za podmínek dohodnutých v této smlouvě:</w:t>
      </w:r>
    </w:p>
    <w:p w:rsidR="00092180" w:rsidRDefault="004F29D6">
      <w:pPr>
        <w:spacing w:line="339" w:lineRule="auto"/>
        <w:ind w:left="28" w:right="3049"/>
      </w:pPr>
      <w:r>
        <w:t xml:space="preserve">, název PŘEDSTAVENÍ: KOČIČÍ HRA (režie.•T. Karpianus) </w:t>
      </w:r>
      <w:r>
        <w:rPr>
          <w:noProof/>
        </w:rPr>
        <w:drawing>
          <wp:inline distT="0" distB="0" distL="0" distR="0">
            <wp:extent cx="45739" cy="48782"/>
            <wp:effectExtent l="0" t="0" r="0" b="0"/>
            <wp:docPr id="1436" name="Picture 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Picture 14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9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místo konání: Smetanův dům Litomyšl </w:t>
      </w:r>
      <w:r>
        <w:rPr>
          <w:noProof/>
        </w:rPr>
        <w:drawing>
          <wp:inline distT="0" distB="0" distL="0" distR="0">
            <wp:extent cx="45739" cy="48782"/>
            <wp:effectExtent l="0" t="0" r="0" b="0"/>
            <wp:docPr id="1437" name="Picture 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Picture 14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9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kapacita hlediště: 487 </w:t>
      </w:r>
      <w:r>
        <w:rPr>
          <w:noProof/>
        </w:rPr>
        <w:drawing>
          <wp:inline distT="0" distB="0" distL="0" distR="0">
            <wp:extent cx="45739" cy="48782"/>
            <wp:effectExtent l="0" t="0" r="0" b="0"/>
            <wp:docPr id="1438" name="Picture 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Picture 14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9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datum a čas konání: 27. listopadu 2017 </w:t>
      </w:r>
      <w:r>
        <w:t>od 19.00 hodin</w:t>
      </w:r>
    </w:p>
    <w:p w:rsidR="00092180" w:rsidRDefault="004F29D6">
      <w:pPr>
        <w:spacing w:after="609" w:line="265" w:lineRule="auto"/>
        <w:ind w:left="57" w:right="0" w:hanging="10"/>
      </w:pPr>
      <w:r>
        <w:rPr>
          <w:sz w:val="24"/>
        </w:rPr>
        <w:t>(dále jen ' 'představení”)</w:t>
      </w:r>
    </w:p>
    <w:p w:rsidR="00092180" w:rsidRDefault="004F29D6">
      <w:pPr>
        <w:numPr>
          <w:ilvl w:val="0"/>
          <w:numId w:val="1"/>
        </w:numPr>
        <w:spacing w:after="212" w:line="259" w:lineRule="auto"/>
        <w:ind w:right="0" w:hanging="279"/>
        <w:jc w:val="center"/>
      </w:pPr>
      <w:r>
        <w:rPr>
          <w:sz w:val="24"/>
        </w:rPr>
        <w:t>Způsob plnění</w:t>
      </w:r>
    </w:p>
    <w:p w:rsidR="00092180" w:rsidRDefault="004F29D6">
      <w:pPr>
        <w:numPr>
          <w:ilvl w:val="0"/>
          <w:numId w:val="2"/>
        </w:numPr>
        <w:spacing w:after="139" w:line="265" w:lineRule="auto"/>
        <w:ind w:left="306" w:right="0" w:hanging="259"/>
      </w:pPr>
      <w:r>
        <w:rPr>
          <w:sz w:val="24"/>
        </w:rPr>
        <w:t>Za uvedené představení uhradí pořadatel divadlu honorář ve výši: 50.000,- Kč (slovy: padesáttisíckorunčeských). Částku je pořadatel povinen zaplatit divadlu na základě faktury vystavené KD po realizac</w:t>
      </w:r>
      <w:r>
        <w:rPr>
          <w:sz w:val="24"/>
        </w:rPr>
        <w:t>i představení, nejpozději do 15 dní od jejího vystavení. Za každý den prodlení je pořadatel povinen zaplatit divadlu smluvní pokutu ve výši 0,5 % z dlužné částky. Tržby z představení náleží pořadateli.</w:t>
      </w:r>
    </w:p>
    <w:p w:rsidR="00092180" w:rsidRDefault="004F29D6">
      <w:pPr>
        <w:numPr>
          <w:ilvl w:val="0"/>
          <w:numId w:val="2"/>
        </w:numPr>
        <w:spacing w:after="3" w:line="265" w:lineRule="auto"/>
        <w:ind w:left="306" w:right="0" w:hanging="259"/>
      </w:pPr>
      <w:r>
        <w:rPr>
          <w:sz w:val="24"/>
        </w:rPr>
        <w:t xml:space="preserve">Autorské odměny hradí pořadatel - (DIMA 8 </w:t>
      </w:r>
      <w:r>
        <w:rPr>
          <w:sz w:val="24"/>
          <w:vertAlign w:val="superscript"/>
        </w:rPr>
        <w:t>0</w:t>
      </w:r>
      <w:r>
        <w:rPr>
          <w:sz w:val="24"/>
        </w:rPr>
        <w:t>/0 + 220 EU</w:t>
      </w:r>
      <w:r>
        <w:rPr>
          <w:sz w:val="24"/>
        </w:rPr>
        <w:t xml:space="preserve">R autor + 21 </w:t>
      </w:r>
      <w:r>
        <w:rPr>
          <w:sz w:val="24"/>
          <w:vertAlign w:val="superscript"/>
        </w:rPr>
        <w:t>0</w:t>
      </w:r>
      <w:r>
        <w:rPr>
          <w:sz w:val="24"/>
        </w:rPr>
        <w:t>/0 DPH)</w:t>
      </w:r>
    </w:p>
    <w:p w:rsidR="00092180" w:rsidRDefault="004F29D6">
      <w:pPr>
        <w:spacing w:after="3" w:line="265" w:lineRule="auto"/>
        <w:ind w:left="332" w:right="0" w:hanging="10"/>
      </w:pPr>
      <w:r>
        <w:rPr>
          <w:sz w:val="24"/>
        </w:rPr>
        <w:t>Pořadatel se zavazuje nahlásit potřebné podklady pro jejich výpočet příslušné agentuře nejpozději do 15 dnů po odehrání představení.</w:t>
      </w:r>
    </w:p>
    <w:p w:rsidR="00092180" w:rsidRDefault="004F29D6">
      <w:pPr>
        <w:spacing w:after="508"/>
        <w:ind w:left="307" w:right="14" w:hanging="279"/>
      </w:pPr>
      <w:r>
        <w:t>6) Pořadatel odpovídá za případné úrazy a majetkové škody vzniklé v souvislosti s vystoupením v objektu konání představení, pokud nebyly průkazně zaviněny účinkujícími, za případné úrazy účinkujících v průběhu cesty neodpovídá.</w:t>
      </w:r>
    </w:p>
    <w:p w:rsidR="00092180" w:rsidRDefault="004F29D6">
      <w:pPr>
        <w:numPr>
          <w:ilvl w:val="0"/>
          <w:numId w:val="3"/>
        </w:numPr>
        <w:spacing w:after="119" w:line="259" w:lineRule="auto"/>
        <w:ind w:right="65" w:hanging="360"/>
        <w:jc w:val="center"/>
      </w:pPr>
      <w:r>
        <w:rPr>
          <w:sz w:val="24"/>
        </w:rPr>
        <w:lastRenderedPageBreak/>
        <w:t xml:space="preserve">Utajení informací a závazek </w:t>
      </w:r>
      <w:r>
        <w:rPr>
          <w:sz w:val="24"/>
        </w:rPr>
        <w:t>nezpracovávat osobní údaje</w:t>
      </w:r>
    </w:p>
    <w:p w:rsidR="00092180" w:rsidRDefault="004F29D6">
      <w:pPr>
        <w:spacing w:after="361"/>
        <w:ind w:left="28" w:right="14"/>
      </w:pPr>
      <w:r>
        <w:t>Smluvní strany jsou povinny zachovat mlčenlivost o obchodním tajemství druhé smluvní strany a o ostatních skutečnostech, o kterých se dozvěděly při plnění předmětu této Smlouvy a které by mohly poškodit druhou smluvní stranu. Sml</w:t>
      </w:r>
      <w:r>
        <w:t>uvní strany jsou povinny zejména chránit infornłace a údaje o zákaznících, obchodních podmínkách a know — how druhé smluvní strany. Tato povinnost přetrvává i po ukončení této Smlouvy.</w:t>
      </w:r>
    </w:p>
    <w:p w:rsidR="00092180" w:rsidRDefault="004F29D6">
      <w:pPr>
        <w:numPr>
          <w:ilvl w:val="0"/>
          <w:numId w:val="3"/>
        </w:numPr>
        <w:spacing w:after="119" w:line="259" w:lineRule="auto"/>
        <w:ind w:right="65" w:hanging="360"/>
        <w:jc w:val="center"/>
      </w:pPr>
      <w:r>
        <w:rPr>
          <w:sz w:val="24"/>
        </w:rPr>
        <w:t>Závěrečná ustanovení</w:t>
      </w:r>
    </w:p>
    <w:p w:rsidR="00092180" w:rsidRDefault="004F29D6">
      <w:pPr>
        <w:ind w:left="28" w:right="14"/>
      </w:pPr>
      <w:r>
        <w:t xml:space="preserve">l) V záležitostech touto smlouvou neupravených se </w:t>
      </w:r>
      <w:r>
        <w:t>vztahy ze smlouvy vzniklé řídí zákonem</w:t>
      </w:r>
    </w:p>
    <w:p w:rsidR="00092180" w:rsidRDefault="004F29D6">
      <w:pPr>
        <w:spacing w:after="58"/>
        <w:ind w:left="288" w:right="14"/>
      </w:pPr>
      <w:r>
        <w:t>č. 89/2012 Sb., občanský zákoník, a zákonem č. 121/2000 Sb., autorský zákon, ve znění pozdějších předpisů.</w:t>
      </w:r>
    </w:p>
    <w:p w:rsidR="00092180" w:rsidRDefault="004F29D6">
      <w:pPr>
        <w:numPr>
          <w:ilvl w:val="0"/>
          <w:numId w:val="4"/>
        </w:numPr>
        <w:ind w:right="14" w:hanging="274"/>
      </w:pPr>
      <w:r>
        <w:t>Dle Zákona č. 340/2015 Sb. o zvláštních podmínkách účinnosti některých smluv, uveřejňování těchto smluv a o re</w:t>
      </w:r>
      <w:r>
        <w:t>gistru smluv (zákon o registru smluv), je Klicperovo divadlo o.p.s. povinno prostřednictvím registru smluv uveřejňovat soukromoprávní smlouvy, jakož i smlouvy o poskytnutí dotace nebo návratné finanční výpomoci.</w:t>
      </w:r>
    </w:p>
    <w:p w:rsidR="00092180" w:rsidRDefault="004F29D6">
      <w:pPr>
        <w:spacing w:after="60"/>
        <w:ind w:left="293" w:right="14"/>
      </w:pPr>
      <w:r>
        <w:t xml:space="preserve">Pokud se na tuto smlouvu vztahuje povinnost </w:t>
      </w:r>
      <w:r>
        <w:t>uveřejnění prostřednictvím registru smluv, a pokud je protistrana také povinným subjektem dle Zákona č. 340/2015 Sb., zavazuje se Klicperovo divadlo tuto smlouvu uveřejnit.</w:t>
      </w:r>
    </w:p>
    <w:p w:rsidR="00092180" w:rsidRDefault="004F29D6">
      <w:pPr>
        <w:numPr>
          <w:ilvl w:val="0"/>
          <w:numId w:val="4"/>
        </w:numPr>
        <w:spacing w:after="52"/>
        <w:ind w:right="14" w:hanging="274"/>
      </w:pPr>
      <w:r>
        <w:t>Tato smlouva pak nabývá účinnosti dnem podpisu oběma stranami, v případě povinnosti</w:t>
      </w:r>
      <w:r>
        <w:t xml:space="preserve"> smlouvu uveřejnit v registru srrůuv pak jejím uveřejněním v tomto registru.</w:t>
      </w:r>
    </w:p>
    <w:p w:rsidR="00092180" w:rsidRDefault="004F29D6">
      <w:pPr>
        <w:numPr>
          <w:ilvl w:val="0"/>
          <w:numId w:val="4"/>
        </w:numPr>
        <w:spacing w:after="60"/>
        <w:ind w:right="14" w:hanging="274"/>
      </w:pPr>
      <w:r>
        <w:t>Přílohy této smlouvy tvoří její nedílnou součást.</w:t>
      </w:r>
    </w:p>
    <w:p w:rsidR="00092180" w:rsidRDefault="004F29D6">
      <w:pPr>
        <w:numPr>
          <w:ilvl w:val="0"/>
          <w:numId w:val="4"/>
        </w:numPr>
        <w:spacing w:after="56"/>
        <w:ind w:right="14" w:hanging="274"/>
      </w:pPr>
      <w:r>
        <w:t>Změny nebo dodatky této smlouvy mohou být platně učiněny pouze v písemné formě po dohodě obou stran.</w:t>
      </w:r>
    </w:p>
    <w:p w:rsidR="00092180" w:rsidRDefault="004F29D6">
      <w:pPr>
        <w:numPr>
          <w:ilvl w:val="0"/>
          <w:numId w:val="4"/>
        </w:numPr>
        <w:spacing w:after="709"/>
        <w:ind w:right="14" w:hanging="274"/>
      </w:pPr>
      <w:r>
        <w:t>Tato smlouva se sepisuje ve dvou vyhotoveních, z nichž každá strana obdrží jedno.</w:t>
      </w:r>
    </w:p>
    <w:p w:rsidR="004F29D6" w:rsidRDefault="004F29D6" w:rsidP="004F29D6">
      <w:pPr>
        <w:tabs>
          <w:tab w:val="center" w:pos="6423"/>
        </w:tabs>
        <w:ind w:left="0" w:right="0"/>
        <w:jc w:val="left"/>
      </w:pPr>
      <w:r>
        <w:t>V Hradci Králové dne: 12.9.2017</w:t>
      </w:r>
      <w:r>
        <w:tab/>
      </w:r>
      <w:bookmarkStart w:id="0" w:name="_GoBack"/>
      <w:bookmarkEnd w:id="0"/>
      <w:r>
        <w:t>V Litomyšli dne: 19.9. 2017</w:t>
      </w:r>
      <w:r>
        <w:rPr>
          <w:noProof/>
        </w:rPr>
        <w:br/>
      </w:r>
      <w:r>
        <w:t xml:space="preserve">Ing. Eva Mikulková, </w:t>
      </w:r>
      <w:r>
        <w:t>ředitelka Klicperova divadla</w:t>
      </w:r>
      <w:r>
        <w:t xml:space="preserve"> </w:t>
      </w:r>
    </w:p>
    <w:p w:rsidR="00092180" w:rsidRDefault="004F29D6" w:rsidP="004F29D6">
      <w:pPr>
        <w:spacing w:after="53"/>
        <w:ind w:left="5664" w:right="1008" w:firstLine="708"/>
      </w:pPr>
      <w:r>
        <w:t>MgA. Leoš Krejčí</w:t>
      </w:r>
      <w:r>
        <w:tab/>
        <w:t>ředitel</w:t>
      </w:r>
    </w:p>
    <w:p w:rsidR="00092180" w:rsidRDefault="00092180">
      <w:pPr>
        <w:spacing w:after="1496" w:line="259" w:lineRule="auto"/>
        <w:ind w:left="547" w:right="0"/>
        <w:jc w:val="left"/>
      </w:pPr>
    </w:p>
    <w:p w:rsidR="00092180" w:rsidRDefault="004F29D6">
      <w:pPr>
        <w:tabs>
          <w:tab w:val="center" w:pos="2828"/>
        </w:tabs>
        <w:ind w:left="0" w:right="0"/>
        <w:jc w:val="left"/>
      </w:pPr>
      <w:r>
        <w:t>Přílohy:</w:t>
      </w:r>
      <w:r>
        <w:tab/>
        <w:t>Technické podmínky Klicperova divadla</w:t>
      </w:r>
    </w:p>
    <w:sectPr w:rsidR="00092180">
      <w:pgSz w:w="11827" w:h="16742"/>
      <w:pgMar w:top="837" w:right="1282" w:bottom="933" w:left="13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03B3"/>
    <w:multiLevelType w:val="hybridMultilevel"/>
    <w:tmpl w:val="442E1D78"/>
    <w:lvl w:ilvl="0" w:tplc="07802E10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8580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E74A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CA25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C946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6A65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E3A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85EC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4067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C2E3A"/>
    <w:multiLevelType w:val="hybridMultilevel"/>
    <w:tmpl w:val="3A52D7DC"/>
    <w:lvl w:ilvl="0" w:tplc="9B6E6092">
      <w:start w:val="1"/>
      <w:numFmt w:val="upperRoman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64CC">
      <w:start w:val="1"/>
      <w:numFmt w:val="lowerLetter"/>
      <w:lvlText w:val="%2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6EF16">
      <w:start w:val="1"/>
      <w:numFmt w:val="lowerRoman"/>
      <w:lvlText w:val="%3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E81CE">
      <w:start w:val="1"/>
      <w:numFmt w:val="decimal"/>
      <w:lvlText w:val="%4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4B870">
      <w:start w:val="1"/>
      <w:numFmt w:val="lowerLetter"/>
      <w:lvlText w:val="%5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ECA6E">
      <w:start w:val="1"/>
      <w:numFmt w:val="lowerRoman"/>
      <w:lvlText w:val="%6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CECEA">
      <w:start w:val="1"/>
      <w:numFmt w:val="decimal"/>
      <w:lvlText w:val="%7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C16AE">
      <w:start w:val="1"/>
      <w:numFmt w:val="lowerLetter"/>
      <w:lvlText w:val="%8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645504">
      <w:start w:val="1"/>
      <w:numFmt w:val="lowerRoman"/>
      <w:lvlText w:val="%9"/>
      <w:lvlJc w:val="left"/>
      <w:pPr>
        <w:ind w:left="9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F4C83"/>
    <w:multiLevelType w:val="hybridMultilevel"/>
    <w:tmpl w:val="294CC588"/>
    <w:lvl w:ilvl="0" w:tplc="9DDA200A">
      <w:start w:val="2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EB74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C641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2577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48D7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89B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2908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0FAF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417C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50ECA"/>
    <w:multiLevelType w:val="hybridMultilevel"/>
    <w:tmpl w:val="163C6FDE"/>
    <w:lvl w:ilvl="0" w:tplc="201C44E6">
      <w:start w:val="5"/>
      <w:numFmt w:val="upperRoman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65962">
      <w:start w:val="1"/>
      <w:numFmt w:val="lowerLetter"/>
      <w:lvlText w:val="%2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CAA42">
      <w:start w:val="1"/>
      <w:numFmt w:val="lowerRoman"/>
      <w:lvlText w:val="%3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6A406">
      <w:start w:val="1"/>
      <w:numFmt w:val="decimal"/>
      <w:lvlText w:val="%4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2D1CA">
      <w:start w:val="1"/>
      <w:numFmt w:val="lowerLetter"/>
      <w:lvlText w:val="%5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2BA52">
      <w:start w:val="1"/>
      <w:numFmt w:val="lowerRoman"/>
      <w:lvlText w:val="%6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A8C66">
      <w:start w:val="1"/>
      <w:numFmt w:val="decimal"/>
      <w:lvlText w:val="%7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E6D6C">
      <w:start w:val="1"/>
      <w:numFmt w:val="lowerLetter"/>
      <w:lvlText w:val="%8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01BCA">
      <w:start w:val="1"/>
      <w:numFmt w:val="lowerRoman"/>
      <w:lvlText w:val="%9"/>
      <w:lvlJc w:val="left"/>
      <w:pPr>
        <w:ind w:left="8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80"/>
    <w:rsid w:val="00092180"/>
    <w:rsid w:val="003B542C"/>
    <w:rsid w:val="004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E34D"/>
  <w15:docId w15:val="{2F99544E-DC0D-439B-B0BF-C2E2B53E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38" w:right="491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</dc:creator>
  <cp:keywords/>
  <cp:lastModifiedBy>Souček</cp:lastModifiedBy>
  <cp:revision>3</cp:revision>
  <dcterms:created xsi:type="dcterms:W3CDTF">2017-09-19T08:32:00Z</dcterms:created>
  <dcterms:modified xsi:type="dcterms:W3CDTF">2017-09-19T08:34:00Z</dcterms:modified>
</cp:coreProperties>
</file>