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624840" distL="0" distR="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359410</wp:posOffset>
                </wp:positionV>
                <wp:extent cx="3502025" cy="12769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02025" cy="127698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229"/>
                              <w:gridCol w:w="4286"/>
                            </w:tblGrid>
                            <w:tr>
                              <w:trPr>
                                <w:tblHeader/>
                                <w:trHeight w:val="83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cs-CZ" w:eastAsia="cs-CZ" w:bidi="cs-CZ"/>
                                    </w:rPr>
                                    <w:t>Povodí Ohře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1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Váš dopis zn.: Ze dne: Naše zn.: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cs-CZ" w:eastAsia="cs-CZ" w:bidi="cs-CZ"/>
                                    </w:rPr>
                                    <w:t>POH/05853/2026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5.550000000000004pt;margin-top:28.300000000000001pt;width:275.75pt;height:100.55pt;z-index:-125829374;mso-wrap-distance-left:0;mso-wrap-distance-right:0;mso-wrap-distance-bottom:49.200000000000003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229"/>
                        <w:gridCol w:w="4286"/>
                      </w:tblGrid>
                      <w:tr>
                        <w:trPr>
                          <w:tblHeader/>
                          <w:trHeight w:val="83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c>
                      </w:tr>
                      <w:tr>
                        <w:trPr>
                          <w:trHeight w:val="1181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Váš dopis zn.: Ze dne: Naše zn.: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80808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POH/05853/2026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1673225</wp:posOffset>
                </wp:positionV>
                <wp:extent cx="472440" cy="5880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588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 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131.75pt;width:37.200000000000003pt;height:46.3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 E-mail: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50292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501383/364/2026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30.06.2026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51 509,00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32.65000000000001pt;margin-top:300.69999999999999pt;width:80.650000000000006pt;height:39.6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501383/364/2026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30.06.2026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51 509,00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229"/>
        <w:gridCol w:w="4286"/>
      </w:tblGrid>
      <w:tr>
        <w:trPr>
          <w:trHeight w:val="4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51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515" w:h="418" w:vSpace="61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06.02.2026</w:t>
            </w:r>
          </w:p>
        </w:tc>
      </w:tr>
    </w:tbl>
    <w:p>
      <w:pPr>
        <w:pStyle w:val="Style6"/>
        <w:keepNext w:val="0"/>
        <w:keepLines w:val="0"/>
        <w:framePr w:w="5515" w:h="509" w:hSpace="4239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framePr w:w="5515" w:h="509" w:hSpace="4239" w:wrap="notBeside" w:vAnchor="text" w:hAnchor="text" w:y="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úpravu řídícího systému FVE Podhora, který bude umožňovat optimalizaci provozu čerpadel povrchové vody do VN M. Lázně v závislosti na aktuální výrobě FVE.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pro objednatele: řídící systém FVE Podhora nemá zatím inventární číslo, investice bude zaúčtována po zavedení FVE do majetku.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1111" w:right="1044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